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C2D" w:rsidRDefault="00493C2D" w:rsidP="00493C2D">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FOR ONLINE PUBLICATION</w:t>
      </w:r>
    </w:p>
    <w:p w:rsidR="00493C2D" w:rsidRDefault="00493C2D" w:rsidP="00493C2D">
      <w:pPr>
        <w:jc w:val="center"/>
        <w:rPr>
          <w:rFonts w:ascii="Times New Roman" w:hAnsi="Times New Roman" w:cs="Times New Roman"/>
          <w:sz w:val="24"/>
          <w:szCs w:val="24"/>
        </w:rPr>
      </w:pPr>
      <w:r>
        <w:rPr>
          <w:rFonts w:ascii="Times New Roman" w:hAnsi="Times New Roman" w:cs="Times New Roman"/>
          <w:sz w:val="24"/>
          <w:szCs w:val="24"/>
        </w:rPr>
        <w:t>ONLINE APPENDIX</w:t>
      </w:r>
    </w:p>
    <w:p w:rsidR="00493C2D" w:rsidRDefault="00493C2D" w:rsidP="00493C2D">
      <w:pPr>
        <w:jc w:val="center"/>
        <w:rPr>
          <w:rFonts w:ascii="Times New Roman" w:hAnsi="Times New Roman" w:cs="Times New Roman"/>
          <w:sz w:val="24"/>
          <w:szCs w:val="24"/>
        </w:rPr>
      </w:pPr>
    </w:p>
    <w:p w:rsidR="00493C2D" w:rsidRDefault="0041048C" w:rsidP="00493C2D">
      <w:pPr>
        <w:spacing w:after="300" w:line="360" w:lineRule="auto"/>
        <w:jc w:val="center"/>
        <w:rPr>
          <w:rFonts w:ascii="Arial" w:hAnsi="Arial" w:cs="Arial"/>
          <w:b/>
          <w:sz w:val="28"/>
          <w:szCs w:val="28"/>
        </w:rPr>
      </w:pPr>
      <w:r>
        <w:rPr>
          <w:rFonts w:ascii="Arial" w:hAnsi="Arial" w:cs="Arial"/>
          <w:b/>
          <w:sz w:val="28"/>
          <w:szCs w:val="28"/>
        </w:rPr>
        <w:t>DOES MEDICAL MALPRACTICE LAW IMPROVE HEALTH CARE QUALITY</w:t>
      </w:r>
      <w:r w:rsidR="007C774C">
        <w:rPr>
          <w:rFonts w:ascii="Arial" w:hAnsi="Arial" w:cs="Arial"/>
          <w:b/>
          <w:sz w:val="28"/>
          <w:szCs w:val="28"/>
        </w:rPr>
        <w:t>?</w:t>
      </w:r>
    </w:p>
    <w:p w:rsidR="00493C2D" w:rsidRDefault="00493C2D" w:rsidP="00493C2D">
      <w:pPr>
        <w:jc w:val="center"/>
        <w:rPr>
          <w:smallCaps/>
        </w:rPr>
      </w:pPr>
      <w:r w:rsidRPr="00E27A7B">
        <w:rPr>
          <w:i/>
        </w:rPr>
        <w:t>By</w:t>
      </w:r>
      <w:r>
        <w:t xml:space="preserve"> </w:t>
      </w:r>
      <w:r w:rsidRPr="00E27A7B">
        <w:rPr>
          <w:smallCaps/>
        </w:rPr>
        <w:t xml:space="preserve">Michael </w:t>
      </w:r>
      <w:proofErr w:type="spellStart"/>
      <w:r w:rsidRPr="00E27A7B">
        <w:rPr>
          <w:smallCaps/>
        </w:rPr>
        <w:t>Frakes</w:t>
      </w:r>
      <w:proofErr w:type="spellEnd"/>
      <w:r w:rsidR="0041048C">
        <w:rPr>
          <w:smallCaps/>
        </w:rPr>
        <w:t xml:space="preserve"> and </w:t>
      </w:r>
      <w:proofErr w:type="spellStart"/>
      <w:r w:rsidR="0041048C">
        <w:rPr>
          <w:smallCaps/>
        </w:rPr>
        <w:t>Anupam</w:t>
      </w:r>
      <w:proofErr w:type="spellEnd"/>
      <w:r w:rsidR="0041048C">
        <w:rPr>
          <w:smallCaps/>
        </w:rPr>
        <w:t xml:space="preserve"> B.</w:t>
      </w:r>
      <w:r>
        <w:rPr>
          <w:smallCaps/>
        </w:rPr>
        <w:t xml:space="preserve"> Jena</w:t>
      </w:r>
    </w:p>
    <w:p w:rsidR="00493C2D" w:rsidRPr="00493C2D" w:rsidRDefault="00493C2D" w:rsidP="00493C2D">
      <w:pPr>
        <w:jc w:val="center"/>
        <w:rPr>
          <w:rFonts w:ascii="Times New Roman" w:hAnsi="Times New Roman" w:cs="Times New Roman"/>
          <w:sz w:val="24"/>
          <w:szCs w:val="24"/>
        </w:rPr>
      </w:pPr>
    </w:p>
    <w:p w:rsidR="00493C2D" w:rsidRDefault="00493C2D" w:rsidP="00AC2B53">
      <w:pPr>
        <w:rPr>
          <w:rFonts w:ascii="Times New Roman" w:hAnsi="Times New Roman" w:cs="Times New Roman"/>
          <w:b/>
          <w:sz w:val="24"/>
          <w:szCs w:val="24"/>
        </w:rPr>
      </w:pPr>
    </w:p>
    <w:p w:rsidR="00E01759" w:rsidRDefault="003C27B1" w:rsidP="00AC2B53">
      <w:pPr>
        <w:rPr>
          <w:rFonts w:ascii="Times New Roman" w:hAnsi="Times New Roman" w:cs="Times New Roman"/>
          <w:b/>
          <w:sz w:val="24"/>
          <w:szCs w:val="24"/>
        </w:rPr>
      </w:pPr>
      <w:r>
        <w:rPr>
          <w:rFonts w:ascii="Times New Roman" w:hAnsi="Times New Roman" w:cs="Times New Roman"/>
          <w:b/>
          <w:sz w:val="24"/>
          <w:szCs w:val="24"/>
        </w:rPr>
        <w:t>Online Appendix A</w:t>
      </w:r>
      <w:r w:rsidR="000F2F9E">
        <w:rPr>
          <w:rFonts w:ascii="Times New Roman" w:hAnsi="Times New Roman" w:cs="Times New Roman"/>
          <w:b/>
          <w:sz w:val="24"/>
          <w:szCs w:val="24"/>
        </w:rPr>
        <w:t xml:space="preserve">: </w:t>
      </w:r>
      <w:r w:rsidR="00EB342A">
        <w:rPr>
          <w:rFonts w:ascii="Times New Roman" w:hAnsi="Times New Roman" w:cs="Times New Roman"/>
          <w:b/>
          <w:sz w:val="24"/>
          <w:szCs w:val="24"/>
        </w:rPr>
        <w:t>Conditions under w</w:t>
      </w:r>
      <w:r w:rsidR="00E01759">
        <w:rPr>
          <w:rFonts w:ascii="Times New Roman" w:hAnsi="Times New Roman" w:cs="Times New Roman"/>
          <w:b/>
          <w:sz w:val="24"/>
          <w:szCs w:val="24"/>
        </w:rPr>
        <w:t xml:space="preserve">hich Probability of Court Error Will </w:t>
      </w:r>
      <w:r w:rsidR="00D84EFD">
        <w:rPr>
          <w:rFonts w:ascii="Times New Roman" w:hAnsi="Times New Roman" w:cs="Times New Roman"/>
          <w:b/>
          <w:sz w:val="24"/>
          <w:szCs w:val="24"/>
        </w:rPr>
        <w:t xml:space="preserve">Induce Increase in Precaution-Taking Rate.  </w:t>
      </w:r>
    </w:p>
    <w:p w:rsidR="00D84EFD" w:rsidRPr="00D84EFD" w:rsidRDefault="00514686" w:rsidP="00AC2B53">
      <w:pPr>
        <w:rPr>
          <w:rFonts w:ascii="Times New Roman" w:hAnsi="Times New Roman" w:cs="Times New Roman"/>
          <w:sz w:val="24"/>
          <w:szCs w:val="24"/>
        </w:rPr>
      </w:pPr>
      <w:r>
        <w:rPr>
          <w:rFonts w:ascii="Times New Roman" w:hAnsi="Times New Roman" w:cs="Times New Roman"/>
          <w:sz w:val="24"/>
          <w:szCs w:val="24"/>
        </w:rPr>
        <w:t>Consider a situation as in</w:t>
      </w:r>
      <w:r w:rsidR="0042740E">
        <w:rPr>
          <w:rFonts w:ascii="Times New Roman" w:hAnsi="Times New Roman" w:cs="Times New Roman"/>
          <w:sz w:val="24"/>
          <w:szCs w:val="24"/>
        </w:rPr>
        <w:t xml:space="preserve"> Figure 2</w:t>
      </w:r>
      <w:r w:rsidR="00E300AC">
        <w:rPr>
          <w:rFonts w:ascii="Times New Roman" w:hAnsi="Times New Roman" w:cs="Times New Roman"/>
          <w:sz w:val="24"/>
          <w:szCs w:val="24"/>
        </w:rPr>
        <w:t xml:space="preserve"> of the text.  The</w:t>
      </w:r>
      <w:r>
        <w:rPr>
          <w:rFonts w:ascii="Times New Roman" w:hAnsi="Times New Roman" w:cs="Times New Roman"/>
          <w:sz w:val="24"/>
          <w:szCs w:val="24"/>
        </w:rPr>
        <w:t xml:space="preserve"> benefits of the precaution</w:t>
      </w:r>
      <w:r w:rsidR="00E300AC">
        <w:rPr>
          <w:rFonts w:ascii="Times New Roman" w:hAnsi="Times New Roman" w:cs="Times New Roman"/>
          <w:sz w:val="24"/>
          <w:szCs w:val="24"/>
        </w:rPr>
        <w:t xml:space="preserve"> perceived by the physician</w:t>
      </w:r>
      <w:r>
        <w:rPr>
          <w:rFonts w:ascii="Times New Roman" w:hAnsi="Times New Roman" w:cs="Times New Roman"/>
          <w:sz w:val="24"/>
          <w:szCs w:val="24"/>
        </w:rPr>
        <w:t xml:space="preserve">, as a function of </w:t>
      </w:r>
      <w:r w:rsidRPr="00EB342A">
        <w:rPr>
          <w:rFonts w:ascii="Times New Roman" w:hAnsi="Times New Roman" w:cs="Times New Roman"/>
          <w:i/>
          <w:sz w:val="24"/>
          <w:szCs w:val="24"/>
        </w:rPr>
        <w:t>s</w:t>
      </w:r>
      <w:r>
        <w:rPr>
          <w:rFonts w:ascii="Times New Roman" w:hAnsi="Times New Roman" w:cs="Times New Roman"/>
          <w:sz w:val="24"/>
          <w:szCs w:val="24"/>
        </w:rPr>
        <w:t xml:space="preserve">, </w:t>
      </w:r>
      <w:r w:rsidR="0041048C">
        <w:rPr>
          <w:rFonts w:ascii="Times New Roman" w:hAnsi="Times New Roman" w:cs="Times New Roman"/>
          <w:i/>
          <w:sz w:val="24"/>
          <w:szCs w:val="24"/>
        </w:rPr>
        <w:t>B*(s)</w:t>
      </w:r>
      <w:r>
        <w:rPr>
          <w:rFonts w:ascii="Times New Roman" w:hAnsi="Times New Roman" w:cs="Times New Roman"/>
          <w:sz w:val="24"/>
          <w:szCs w:val="24"/>
        </w:rPr>
        <w:t>, intersect</w:t>
      </w:r>
      <w:r w:rsidR="00E300AC">
        <w:rPr>
          <w:rFonts w:ascii="Times New Roman" w:hAnsi="Times New Roman" w:cs="Times New Roman"/>
          <w:sz w:val="24"/>
          <w:szCs w:val="24"/>
        </w:rPr>
        <w:t>s</w:t>
      </w:r>
      <w:r>
        <w:rPr>
          <w:rFonts w:ascii="Times New Roman" w:hAnsi="Times New Roman" w:cs="Times New Roman"/>
          <w:sz w:val="24"/>
          <w:szCs w:val="24"/>
        </w:rPr>
        <w:t xml:space="preserve"> with the costs of the precaut</w:t>
      </w:r>
      <w:r w:rsidR="00DC2DB7">
        <w:rPr>
          <w:rFonts w:ascii="Times New Roman" w:hAnsi="Times New Roman" w:cs="Times New Roman"/>
          <w:sz w:val="24"/>
          <w:szCs w:val="24"/>
        </w:rPr>
        <w:t xml:space="preserve">ion, </w:t>
      </w:r>
      <w:r w:rsidR="00DC2DB7" w:rsidRPr="00EB342A">
        <w:rPr>
          <w:rFonts w:ascii="Times New Roman" w:hAnsi="Times New Roman" w:cs="Times New Roman"/>
          <w:i/>
          <w:sz w:val="24"/>
          <w:szCs w:val="24"/>
        </w:rPr>
        <w:t>C</w:t>
      </w:r>
      <w:r w:rsidR="00DC2DB7">
        <w:rPr>
          <w:rFonts w:ascii="Times New Roman" w:hAnsi="Times New Roman" w:cs="Times New Roman"/>
          <w:sz w:val="24"/>
          <w:szCs w:val="24"/>
        </w:rPr>
        <w:t xml:space="preserve">, at </w:t>
      </w:r>
      <w:r w:rsidR="00DC2DB7" w:rsidRPr="00EB342A">
        <w:rPr>
          <w:rFonts w:ascii="Times New Roman" w:hAnsi="Times New Roman" w:cs="Times New Roman"/>
          <w:i/>
          <w:sz w:val="24"/>
          <w:szCs w:val="24"/>
        </w:rPr>
        <w:t>s*</w:t>
      </w:r>
      <w:r w:rsidR="00DC2DB7">
        <w:rPr>
          <w:rFonts w:ascii="Times New Roman" w:hAnsi="Times New Roman" w:cs="Times New Roman"/>
          <w:sz w:val="24"/>
          <w:szCs w:val="24"/>
        </w:rPr>
        <w:t>.</w:t>
      </w:r>
      <w:r w:rsidR="00E300AC">
        <w:rPr>
          <w:rFonts w:ascii="Times New Roman" w:hAnsi="Times New Roman" w:cs="Times New Roman"/>
          <w:sz w:val="24"/>
          <w:szCs w:val="24"/>
        </w:rPr>
        <w:t xml:space="preserve">  </w:t>
      </w:r>
      <w:r w:rsidR="00053564">
        <w:rPr>
          <w:rFonts w:ascii="Times New Roman" w:hAnsi="Times New Roman" w:cs="Times New Roman"/>
          <w:sz w:val="24"/>
          <w:szCs w:val="24"/>
        </w:rPr>
        <w:t xml:space="preserve">Consider a patient with risk characteristics, </w:t>
      </w:r>
      <w:r w:rsidR="00053564" w:rsidRPr="00EB342A">
        <w:rPr>
          <w:rFonts w:ascii="Times New Roman" w:hAnsi="Times New Roman" w:cs="Times New Roman"/>
          <w:i/>
          <w:sz w:val="24"/>
          <w:szCs w:val="24"/>
        </w:rPr>
        <w:t>s</w:t>
      </w:r>
      <w:r w:rsidR="00053564">
        <w:rPr>
          <w:rFonts w:ascii="Times New Roman" w:hAnsi="Times New Roman" w:cs="Times New Roman"/>
          <w:sz w:val="24"/>
          <w:szCs w:val="24"/>
        </w:rPr>
        <w:t xml:space="preserve">, just below </w:t>
      </w:r>
      <w:r w:rsidR="00053564" w:rsidRPr="00EB342A">
        <w:rPr>
          <w:rFonts w:ascii="Times New Roman" w:hAnsi="Times New Roman" w:cs="Times New Roman"/>
          <w:i/>
          <w:sz w:val="24"/>
          <w:szCs w:val="24"/>
        </w:rPr>
        <w:t>s*</w:t>
      </w:r>
      <w:r w:rsidR="00053564">
        <w:rPr>
          <w:rFonts w:ascii="Times New Roman" w:hAnsi="Times New Roman" w:cs="Times New Roman"/>
          <w:sz w:val="24"/>
          <w:szCs w:val="24"/>
        </w:rPr>
        <w:t xml:space="preserve">.  Typically, the physician would perceive the costs of the precaution as being greater than the benefits and elect not to provide the precaution for this patient.  </w:t>
      </w:r>
      <w:r w:rsidR="00F122A7">
        <w:rPr>
          <w:rFonts w:ascii="Times New Roman" w:hAnsi="Times New Roman" w:cs="Times New Roman"/>
          <w:sz w:val="24"/>
          <w:szCs w:val="24"/>
        </w:rPr>
        <w:t xml:space="preserve">However, introduce the possibility </w:t>
      </w:r>
      <w:r w:rsidR="004F3207">
        <w:rPr>
          <w:rFonts w:ascii="Times New Roman" w:hAnsi="Times New Roman" w:cs="Times New Roman"/>
          <w:sz w:val="24"/>
          <w:szCs w:val="24"/>
        </w:rPr>
        <w:t xml:space="preserve">that courts will err and expect that physicians indeed provide the precaution to this patient.  We assume that physicians will reevaluate their inclinations not to provide the precaution to this patient by comparing the expected level of damages that may </w:t>
      </w:r>
      <w:r w:rsidR="00473A5D">
        <w:rPr>
          <w:rFonts w:ascii="Times New Roman" w:hAnsi="Times New Roman" w:cs="Times New Roman"/>
          <w:sz w:val="24"/>
          <w:szCs w:val="24"/>
        </w:rPr>
        <w:t xml:space="preserve">ensue from failing to provide the precaution to this patient with the perceived net cost, in the eyes of the physician, associated with providing the patient with this precaution.  This latter cost is easily specified.  </w:t>
      </w:r>
      <w:r w:rsidR="003A3EB8">
        <w:rPr>
          <w:rFonts w:ascii="Times New Roman" w:hAnsi="Times New Roman" w:cs="Times New Roman"/>
          <w:sz w:val="24"/>
          <w:szCs w:val="24"/>
        </w:rPr>
        <w:t xml:space="preserve">In this range below </w:t>
      </w:r>
      <w:r w:rsidR="003A3EB8" w:rsidRPr="00B52379">
        <w:rPr>
          <w:rFonts w:ascii="Times New Roman" w:hAnsi="Times New Roman" w:cs="Times New Roman"/>
          <w:i/>
          <w:sz w:val="24"/>
          <w:szCs w:val="24"/>
        </w:rPr>
        <w:t>s*</w:t>
      </w:r>
      <w:r w:rsidR="003A3EB8">
        <w:rPr>
          <w:rFonts w:ascii="Times New Roman" w:hAnsi="Times New Roman" w:cs="Times New Roman"/>
          <w:sz w:val="24"/>
          <w:szCs w:val="24"/>
        </w:rPr>
        <w:t xml:space="preserve">, the cost of the precaution exceed the benefits of providing the precaution perceived by the physician by an amount equal to </w:t>
      </w:r>
      <w:r w:rsidR="003A3EB8" w:rsidRPr="00B52379">
        <w:rPr>
          <w:rFonts w:ascii="Times New Roman" w:hAnsi="Times New Roman" w:cs="Times New Roman"/>
          <w:i/>
          <w:sz w:val="24"/>
          <w:szCs w:val="24"/>
        </w:rPr>
        <w:t xml:space="preserve">C – </w:t>
      </w:r>
      <w:r w:rsidR="0041048C">
        <w:rPr>
          <w:rFonts w:ascii="Times New Roman" w:hAnsi="Times New Roman" w:cs="Times New Roman"/>
          <w:i/>
          <w:sz w:val="24"/>
          <w:szCs w:val="24"/>
        </w:rPr>
        <w:t>B*(s)</w:t>
      </w:r>
      <w:r w:rsidR="003A3EB8">
        <w:rPr>
          <w:rFonts w:ascii="Times New Roman" w:hAnsi="Times New Roman" w:cs="Times New Roman"/>
          <w:sz w:val="24"/>
          <w:szCs w:val="24"/>
        </w:rPr>
        <w:t>.</w:t>
      </w:r>
      <w:r w:rsidR="00113CAC">
        <w:rPr>
          <w:rFonts w:ascii="Times New Roman" w:hAnsi="Times New Roman" w:cs="Times New Roman"/>
          <w:sz w:val="24"/>
          <w:szCs w:val="24"/>
        </w:rPr>
        <w:t xml:space="preserve">  As long as the expected liability associated with not providing the precaution to this patient is less than this perceived cost of treatment, the physician will continue to </w:t>
      </w:r>
      <w:r w:rsidR="0042740E">
        <w:rPr>
          <w:rFonts w:ascii="Times New Roman" w:hAnsi="Times New Roman" w:cs="Times New Roman"/>
          <w:sz w:val="24"/>
          <w:szCs w:val="24"/>
        </w:rPr>
        <w:t>a</w:t>
      </w:r>
      <w:r w:rsidR="00113CAC">
        <w:rPr>
          <w:rFonts w:ascii="Times New Roman" w:hAnsi="Times New Roman" w:cs="Times New Roman"/>
          <w:sz w:val="24"/>
          <w:szCs w:val="24"/>
        </w:rPr>
        <w:t>void providing the precaution in the face of this patient.  If expected liability costs exceed these perceived net costs of precaution, the physician will go against their normal instincts and provide the precaution (note that we are simply assuming risk neutrality here).  As such, to specify those conditions under which</w:t>
      </w:r>
      <w:r w:rsidR="00884F4B">
        <w:rPr>
          <w:rFonts w:ascii="Times New Roman" w:hAnsi="Times New Roman" w:cs="Times New Roman"/>
          <w:sz w:val="24"/>
          <w:szCs w:val="24"/>
        </w:rPr>
        <w:t xml:space="preserve"> the possibility of court err in ascertaining customary practices will cause physicians to increase their precaution-taking rate, we must determine at what complication level, </w:t>
      </w:r>
      <w:r w:rsidR="00884F4B" w:rsidRPr="00B52379">
        <w:rPr>
          <w:rFonts w:ascii="Times New Roman" w:hAnsi="Times New Roman" w:cs="Times New Roman"/>
          <w:i/>
          <w:sz w:val="24"/>
          <w:szCs w:val="24"/>
        </w:rPr>
        <w:t>s</w:t>
      </w:r>
      <w:r w:rsidR="00884F4B">
        <w:rPr>
          <w:rFonts w:ascii="Times New Roman" w:hAnsi="Times New Roman" w:cs="Times New Roman"/>
          <w:sz w:val="24"/>
          <w:szCs w:val="24"/>
        </w:rPr>
        <w:t>, the expected lia</w:t>
      </w:r>
      <w:r w:rsidR="00AC7F9C">
        <w:rPr>
          <w:rFonts w:ascii="Times New Roman" w:hAnsi="Times New Roman" w:cs="Times New Roman"/>
          <w:sz w:val="24"/>
          <w:szCs w:val="24"/>
        </w:rPr>
        <w:t xml:space="preserve">bility costs at least equal </w:t>
      </w:r>
      <w:r w:rsidR="00AC7F9C" w:rsidRPr="00B52379">
        <w:rPr>
          <w:rFonts w:ascii="Times New Roman" w:hAnsi="Times New Roman" w:cs="Times New Roman"/>
          <w:i/>
          <w:sz w:val="24"/>
          <w:szCs w:val="24"/>
        </w:rPr>
        <w:t xml:space="preserve">C – </w:t>
      </w:r>
      <w:r w:rsidR="0041048C">
        <w:rPr>
          <w:rFonts w:ascii="Times New Roman" w:hAnsi="Times New Roman" w:cs="Times New Roman"/>
          <w:i/>
          <w:sz w:val="24"/>
          <w:szCs w:val="24"/>
        </w:rPr>
        <w:t>B*(s)</w:t>
      </w:r>
      <w:r w:rsidR="00AC7F9C">
        <w:rPr>
          <w:rFonts w:ascii="Times New Roman" w:hAnsi="Times New Roman" w:cs="Times New Roman"/>
          <w:sz w:val="24"/>
          <w:szCs w:val="24"/>
        </w:rPr>
        <w:t xml:space="preserve">.  </w:t>
      </w:r>
      <w:r w:rsidR="00113CAC">
        <w:rPr>
          <w:rFonts w:ascii="Times New Roman" w:hAnsi="Times New Roman" w:cs="Times New Roman"/>
          <w:sz w:val="24"/>
          <w:szCs w:val="24"/>
        </w:rPr>
        <w:t xml:space="preserve"> </w:t>
      </w:r>
      <w:r w:rsidR="003A3EB8">
        <w:rPr>
          <w:rFonts w:ascii="Times New Roman" w:hAnsi="Times New Roman" w:cs="Times New Roman"/>
          <w:sz w:val="24"/>
          <w:szCs w:val="24"/>
        </w:rPr>
        <w:t xml:space="preserve">  </w:t>
      </w:r>
      <w:r w:rsidR="00DC2DB7">
        <w:rPr>
          <w:rFonts w:ascii="Times New Roman" w:hAnsi="Times New Roman" w:cs="Times New Roman"/>
          <w:sz w:val="24"/>
          <w:szCs w:val="24"/>
        </w:rPr>
        <w:t xml:space="preserve">  </w:t>
      </w:r>
    </w:p>
    <w:p w:rsidR="006B2584" w:rsidRDefault="006B2584">
      <w:pPr>
        <w:rPr>
          <w:rFonts w:ascii="Times New Roman" w:hAnsi="Times New Roman" w:cs="Times New Roman"/>
          <w:sz w:val="24"/>
          <w:szCs w:val="24"/>
        </w:rPr>
      </w:pPr>
      <w:r>
        <w:rPr>
          <w:rFonts w:ascii="Times New Roman" w:hAnsi="Times New Roman" w:cs="Times New Roman"/>
          <w:sz w:val="24"/>
          <w:szCs w:val="24"/>
        </w:rPr>
        <w:t xml:space="preserve">For a given </w:t>
      </w:r>
      <w:r w:rsidRPr="00B52379">
        <w:rPr>
          <w:rFonts w:ascii="Times New Roman" w:hAnsi="Times New Roman" w:cs="Times New Roman"/>
          <w:i/>
          <w:sz w:val="24"/>
          <w:szCs w:val="24"/>
        </w:rPr>
        <w:t>s</w:t>
      </w:r>
      <w:r>
        <w:rPr>
          <w:rFonts w:ascii="Times New Roman" w:hAnsi="Times New Roman" w:cs="Times New Roman"/>
          <w:sz w:val="24"/>
          <w:szCs w:val="24"/>
        </w:rPr>
        <w:t xml:space="preserve"> in the range below </w:t>
      </w:r>
      <w:r w:rsidRPr="00B52379">
        <w:rPr>
          <w:rFonts w:ascii="Times New Roman" w:hAnsi="Times New Roman" w:cs="Times New Roman"/>
          <w:i/>
          <w:sz w:val="24"/>
          <w:szCs w:val="24"/>
        </w:rPr>
        <w:t>s*</w:t>
      </w:r>
      <w:r>
        <w:rPr>
          <w:rFonts w:ascii="Times New Roman" w:hAnsi="Times New Roman" w:cs="Times New Roman"/>
          <w:sz w:val="24"/>
          <w:szCs w:val="24"/>
        </w:rPr>
        <w:t xml:space="preserve">, the expected liability damages associated with not providing the precaution will depend on the distribution of court-determined damages.  Even though the true customary perceived benefits of </w:t>
      </w:r>
      <w:r w:rsidR="0021319C">
        <w:rPr>
          <w:rFonts w:ascii="Times New Roman" w:hAnsi="Times New Roman" w:cs="Times New Roman"/>
          <w:sz w:val="24"/>
          <w:szCs w:val="24"/>
        </w:rPr>
        <w:t xml:space="preserve">providing the precaution equal </w:t>
      </w:r>
      <w:r w:rsidR="0041048C">
        <w:rPr>
          <w:rFonts w:ascii="Times New Roman" w:hAnsi="Times New Roman" w:cs="Times New Roman"/>
          <w:i/>
          <w:sz w:val="24"/>
          <w:szCs w:val="24"/>
        </w:rPr>
        <w:t>B*(s)</w:t>
      </w:r>
      <w:r w:rsidR="0021319C">
        <w:rPr>
          <w:rFonts w:ascii="Times New Roman" w:hAnsi="Times New Roman" w:cs="Times New Roman"/>
          <w:sz w:val="24"/>
          <w:szCs w:val="24"/>
        </w:rPr>
        <w:t xml:space="preserve"> at this level of </w:t>
      </w:r>
      <w:r w:rsidR="0021319C" w:rsidRPr="00B52379">
        <w:rPr>
          <w:rFonts w:ascii="Times New Roman" w:hAnsi="Times New Roman" w:cs="Times New Roman"/>
          <w:i/>
          <w:sz w:val="24"/>
          <w:szCs w:val="24"/>
        </w:rPr>
        <w:t>s</w:t>
      </w:r>
      <w:r w:rsidR="0021319C">
        <w:rPr>
          <w:rFonts w:ascii="Times New Roman" w:hAnsi="Times New Roman" w:cs="Times New Roman"/>
          <w:sz w:val="24"/>
          <w:szCs w:val="24"/>
        </w:rPr>
        <w:t xml:space="preserve">, assume, for instance, that a court will err by implicitly assuming that the perceived benefits equal </w:t>
      </w:r>
      <w:r w:rsidR="007C774C">
        <w:rPr>
          <w:rFonts w:ascii="Times New Roman" w:hAnsi="Times New Roman" w:cs="Times New Roman"/>
          <w:i/>
          <w:sz w:val="24"/>
          <w:szCs w:val="24"/>
        </w:rPr>
        <w:lastRenderedPageBreak/>
        <w:t>B**</w:t>
      </w:r>
      <w:r w:rsidR="0021319C" w:rsidRPr="00B52379">
        <w:rPr>
          <w:rFonts w:ascii="Times New Roman" w:hAnsi="Times New Roman" w:cs="Times New Roman"/>
          <w:i/>
          <w:sz w:val="24"/>
          <w:szCs w:val="24"/>
        </w:rPr>
        <w:t>(s)</w:t>
      </w:r>
      <w:r w:rsidR="0021319C">
        <w:rPr>
          <w:rFonts w:ascii="Times New Roman" w:hAnsi="Times New Roman" w:cs="Times New Roman"/>
          <w:sz w:val="24"/>
          <w:szCs w:val="24"/>
        </w:rPr>
        <w:t xml:space="preserve">, a level that now exceeds the costs, </w:t>
      </w:r>
      <w:r w:rsidR="0021319C" w:rsidRPr="00B52379">
        <w:rPr>
          <w:rFonts w:ascii="Times New Roman" w:hAnsi="Times New Roman" w:cs="Times New Roman"/>
          <w:i/>
          <w:sz w:val="24"/>
          <w:szCs w:val="24"/>
        </w:rPr>
        <w:t>C</w:t>
      </w:r>
      <w:r w:rsidR="0021319C">
        <w:rPr>
          <w:rFonts w:ascii="Times New Roman" w:hAnsi="Times New Roman" w:cs="Times New Roman"/>
          <w:sz w:val="24"/>
          <w:szCs w:val="24"/>
        </w:rPr>
        <w:t xml:space="preserve">, of providing the precaution.  If the precaution is not provided, assume that courts will assess a level of damages equal to the forgone benefits associated with the precaution, </w:t>
      </w:r>
      <w:r w:rsidR="007C774C">
        <w:rPr>
          <w:rFonts w:ascii="Times New Roman" w:hAnsi="Times New Roman" w:cs="Times New Roman"/>
          <w:i/>
          <w:sz w:val="24"/>
          <w:szCs w:val="24"/>
        </w:rPr>
        <w:t>B**</w:t>
      </w:r>
      <w:r w:rsidR="0021319C" w:rsidRPr="00B52379">
        <w:rPr>
          <w:rFonts w:ascii="Times New Roman" w:hAnsi="Times New Roman" w:cs="Times New Roman"/>
          <w:i/>
          <w:sz w:val="24"/>
          <w:szCs w:val="24"/>
        </w:rPr>
        <w:t>(s)</w:t>
      </w:r>
      <w:r w:rsidR="0021319C">
        <w:rPr>
          <w:rFonts w:ascii="Times New Roman" w:hAnsi="Times New Roman" w:cs="Times New Roman"/>
          <w:sz w:val="24"/>
          <w:szCs w:val="24"/>
        </w:rPr>
        <w:t xml:space="preserve">, net of the costs of the precaution—i.e., </w:t>
      </w:r>
      <w:r w:rsidR="007C774C">
        <w:rPr>
          <w:rFonts w:ascii="Times New Roman" w:hAnsi="Times New Roman" w:cs="Times New Roman"/>
          <w:i/>
          <w:sz w:val="24"/>
          <w:szCs w:val="24"/>
        </w:rPr>
        <w:t>B**</w:t>
      </w:r>
      <w:r w:rsidR="0021319C" w:rsidRPr="00B52379">
        <w:rPr>
          <w:rFonts w:ascii="Times New Roman" w:hAnsi="Times New Roman" w:cs="Times New Roman"/>
          <w:i/>
          <w:sz w:val="24"/>
          <w:szCs w:val="24"/>
        </w:rPr>
        <w:t>(s) – C</w:t>
      </w:r>
      <w:r w:rsidR="0021319C">
        <w:rPr>
          <w:rFonts w:ascii="Times New Roman" w:hAnsi="Times New Roman" w:cs="Times New Roman"/>
          <w:sz w:val="24"/>
          <w:szCs w:val="24"/>
        </w:rPr>
        <w:t>.</w:t>
      </w:r>
      <w:r w:rsidR="008F2DA1">
        <w:rPr>
          <w:rFonts w:ascii="Times New Roman" w:hAnsi="Times New Roman" w:cs="Times New Roman"/>
          <w:sz w:val="24"/>
          <w:szCs w:val="24"/>
        </w:rPr>
        <w:t xml:space="preserve">  As such, the expected liability costs will equal </w:t>
      </w:r>
      <w:r w:rsidR="009451ED">
        <w:rPr>
          <w:rFonts w:ascii="Times New Roman" w:hAnsi="Times New Roman" w:cs="Times New Roman"/>
          <w:sz w:val="24"/>
          <w:szCs w:val="24"/>
        </w:rPr>
        <w:t xml:space="preserve">the expected value of such amounts over the distribution of possible </w:t>
      </w:r>
      <w:r w:rsidR="007C774C">
        <w:rPr>
          <w:rFonts w:ascii="Times New Roman" w:hAnsi="Times New Roman" w:cs="Times New Roman"/>
          <w:i/>
          <w:sz w:val="24"/>
          <w:szCs w:val="24"/>
        </w:rPr>
        <w:t>B**</w:t>
      </w:r>
      <w:r w:rsidR="009451ED" w:rsidRPr="00B52379">
        <w:rPr>
          <w:rFonts w:ascii="Times New Roman" w:hAnsi="Times New Roman" w:cs="Times New Roman"/>
          <w:i/>
          <w:sz w:val="24"/>
          <w:szCs w:val="24"/>
        </w:rPr>
        <w:t>(s)</w:t>
      </w:r>
      <w:r w:rsidR="009451ED">
        <w:rPr>
          <w:rFonts w:ascii="Times New Roman" w:hAnsi="Times New Roman" w:cs="Times New Roman"/>
          <w:sz w:val="24"/>
          <w:szCs w:val="24"/>
        </w:rPr>
        <w:t xml:space="preserve">’s (subject to the condition that such damage amounts be greater than zero).  For simplicity, assume that each possible </w:t>
      </w:r>
      <w:r w:rsidR="007C774C">
        <w:rPr>
          <w:rFonts w:ascii="Times New Roman" w:hAnsi="Times New Roman" w:cs="Times New Roman"/>
          <w:i/>
          <w:sz w:val="24"/>
          <w:szCs w:val="24"/>
        </w:rPr>
        <w:t>B**</w:t>
      </w:r>
      <w:r w:rsidR="009451ED" w:rsidRPr="00B52379">
        <w:rPr>
          <w:rFonts w:ascii="Times New Roman" w:hAnsi="Times New Roman" w:cs="Times New Roman"/>
          <w:i/>
          <w:sz w:val="24"/>
          <w:szCs w:val="24"/>
        </w:rPr>
        <w:t>(s)</w:t>
      </w:r>
      <w:r w:rsidR="00B52379">
        <w:rPr>
          <w:rFonts w:ascii="Times New Roman" w:hAnsi="Times New Roman" w:cs="Times New Roman"/>
          <w:sz w:val="24"/>
          <w:szCs w:val="24"/>
        </w:rPr>
        <w:t xml:space="preserve"> is simply a</w:t>
      </w:r>
      <w:r w:rsidR="009451ED">
        <w:rPr>
          <w:rFonts w:ascii="Times New Roman" w:hAnsi="Times New Roman" w:cs="Times New Roman"/>
          <w:sz w:val="24"/>
          <w:szCs w:val="24"/>
        </w:rPr>
        <w:t xml:space="preserve"> shift upwards of </w:t>
      </w:r>
      <w:r w:rsidR="0041048C">
        <w:rPr>
          <w:rFonts w:ascii="Times New Roman" w:hAnsi="Times New Roman" w:cs="Times New Roman"/>
          <w:i/>
          <w:sz w:val="24"/>
          <w:szCs w:val="24"/>
        </w:rPr>
        <w:t>B*(s)</w:t>
      </w:r>
      <w:r w:rsidR="009451ED">
        <w:rPr>
          <w:rFonts w:ascii="Times New Roman" w:hAnsi="Times New Roman" w:cs="Times New Roman"/>
          <w:sz w:val="24"/>
          <w:szCs w:val="24"/>
        </w:rPr>
        <w:t xml:space="preserve"> by an amount equal to </w:t>
      </w:r>
      <w:r w:rsidR="009451ED" w:rsidRPr="00B52379">
        <w:rPr>
          <w:rFonts w:ascii="Times New Roman" w:hAnsi="Times New Roman" w:cs="Times New Roman"/>
          <w:i/>
          <w:sz w:val="24"/>
          <w:szCs w:val="24"/>
        </w:rPr>
        <w:t>k</w:t>
      </w:r>
      <w:r w:rsidR="009451ED">
        <w:rPr>
          <w:rFonts w:ascii="Times New Roman" w:hAnsi="Times New Roman" w:cs="Times New Roman"/>
          <w:sz w:val="24"/>
          <w:szCs w:val="24"/>
        </w:rPr>
        <w:t xml:space="preserve">.  As such, for a given </w:t>
      </w:r>
      <w:r w:rsidR="009451ED" w:rsidRPr="00B52379">
        <w:rPr>
          <w:rFonts w:ascii="Times New Roman" w:hAnsi="Times New Roman" w:cs="Times New Roman"/>
          <w:i/>
          <w:sz w:val="24"/>
          <w:szCs w:val="24"/>
        </w:rPr>
        <w:t>s</w:t>
      </w:r>
      <w:r w:rsidR="009451ED">
        <w:rPr>
          <w:rFonts w:ascii="Times New Roman" w:hAnsi="Times New Roman" w:cs="Times New Roman"/>
          <w:sz w:val="24"/>
          <w:szCs w:val="24"/>
        </w:rPr>
        <w:t xml:space="preserve">, </w:t>
      </w:r>
      <w:r w:rsidR="00182C3A">
        <w:rPr>
          <w:rFonts w:ascii="Times New Roman" w:hAnsi="Times New Roman" w:cs="Times New Roman"/>
          <w:sz w:val="24"/>
          <w:szCs w:val="24"/>
        </w:rPr>
        <w:t>the expected liability damages equals:</w:t>
      </w:r>
    </w:p>
    <w:p w:rsidR="00182C3A" w:rsidRDefault="002B5481">
      <w:pPr>
        <w:rPr>
          <w:rFonts w:ascii="Times New Roman" w:hAnsi="Times New Roman" w:cs="Times New Roman"/>
          <w:sz w:val="24"/>
          <w:szCs w:val="24"/>
        </w:rPr>
      </w:pPr>
      <m:oMathPara>
        <m:oMath>
          <m:nary>
            <m:naryPr>
              <m:limLoc m:val="subSup"/>
              <m:ctrlPr>
                <w:rPr>
                  <w:rFonts w:ascii="Cambria Math" w:hAnsi="Cambria Math" w:cs="Times New Roman"/>
                  <w:i/>
                  <w:sz w:val="24"/>
                  <w:szCs w:val="24"/>
                </w:rPr>
              </m:ctrlPr>
            </m:naryPr>
            <m:sub>
              <m:r>
                <w:rPr>
                  <w:rFonts w:ascii="Cambria Math" w:hAnsi="Cambria Math" w:cs="Times New Roman"/>
                  <w:sz w:val="24"/>
                  <w:szCs w:val="24"/>
                </w:rPr>
                <m:t>k=0</m:t>
              </m:r>
            </m:sub>
            <m:sup>
              <m:r>
                <w:rPr>
                  <w:rFonts w:ascii="Cambria Math" w:hAnsi="Cambria Math" w:cs="Times New Roman"/>
                  <w:sz w:val="24"/>
                  <w:szCs w:val="24"/>
                </w:rPr>
                <m:t>∞</m:t>
              </m:r>
            </m:sup>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k</m:t>
                  </m:r>
                </m:e>
              </m:d>
            </m:e>
          </m:nary>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s+k</m:t>
                  </m:r>
                </m:e>
              </m:d>
              <m:r>
                <w:rPr>
                  <w:rFonts w:ascii="Cambria Math" w:hAnsi="Cambria Math" w:cs="Times New Roman"/>
                  <w:sz w:val="24"/>
                  <w:szCs w:val="24"/>
                </w:rPr>
                <m:t>-C</m:t>
              </m:r>
            </m:e>
          </m:d>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s+k</m:t>
              </m:r>
            </m:e>
          </m:d>
          <m:r>
            <w:rPr>
              <w:rFonts w:ascii="Cambria Math" w:hAnsi="Cambria Math" w:cs="Times New Roman"/>
              <w:sz w:val="24"/>
              <w:szCs w:val="24"/>
            </w:rPr>
            <m:t>-C&gt;0)</m:t>
          </m:r>
        </m:oMath>
      </m:oMathPara>
    </w:p>
    <w:p w:rsidR="006B2584" w:rsidRDefault="00F63C74">
      <w:pPr>
        <w:rPr>
          <w:rFonts w:ascii="Times New Roman" w:hAnsi="Times New Roman" w:cs="Times New Roman"/>
          <w:sz w:val="24"/>
          <w:szCs w:val="24"/>
        </w:rPr>
      </w:pPr>
      <w:r>
        <w:rPr>
          <w:rFonts w:ascii="Times New Roman" w:hAnsi="Times New Roman" w:cs="Times New Roman"/>
          <w:sz w:val="24"/>
          <w:szCs w:val="24"/>
        </w:rPr>
        <w:t xml:space="preserve">Thus, in the face of uncertainty regarding the courts assessment of where customary standards lie, physicians will increase their precaution-taking rate and thus lower their operable cut-off point below </w:t>
      </w:r>
      <w:r w:rsidRPr="00B52379">
        <w:rPr>
          <w:rFonts w:ascii="Times New Roman" w:hAnsi="Times New Roman" w:cs="Times New Roman"/>
          <w:i/>
          <w:sz w:val="24"/>
          <w:szCs w:val="24"/>
        </w:rPr>
        <w:t>s*</w:t>
      </w:r>
      <w:r>
        <w:rPr>
          <w:rFonts w:ascii="Times New Roman" w:hAnsi="Times New Roman" w:cs="Times New Roman"/>
          <w:sz w:val="24"/>
          <w:szCs w:val="24"/>
        </w:rPr>
        <w:t xml:space="preserve"> until the point at which</w:t>
      </w:r>
    </w:p>
    <w:p w:rsidR="00F63C74" w:rsidRDefault="00F63C74" w:rsidP="00F63C74">
      <w:pPr>
        <w:rPr>
          <w:rFonts w:ascii="Times New Roman" w:hAnsi="Times New Roman" w:cs="Times New Roman"/>
          <w:sz w:val="24"/>
          <w:szCs w:val="24"/>
        </w:rPr>
      </w:pPr>
      <m:oMathPara>
        <m:oMath>
          <m:r>
            <m:rPr>
              <m:sty m:val="p"/>
            </m:rPr>
            <w:rPr>
              <w:rFonts w:ascii="Cambria Math" w:hAnsi="Cambria Math" w:cs="Times New Roman"/>
              <w:sz w:val="24"/>
              <w:szCs w:val="24"/>
            </w:rPr>
            <w:br/>
          </m:r>
        </m:oMath>
        <m:oMath>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rPr>
            <m:t>=</m:t>
          </m:r>
          <m:nary>
            <m:naryPr>
              <m:limLoc m:val="subSup"/>
              <m:ctrlPr>
                <w:rPr>
                  <w:rFonts w:ascii="Cambria Math" w:hAnsi="Cambria Math" w:cs="Times New Roman"/>
                  <w:i/>
                  <w:sz w:val="24"/>
                  <w:szCs w:val="24"/>
                </w:rPr>
              </m:ctrlPr>
            </m:naryPr>
            <m:sub>
              <m:r>
                <w:rPr>
                  <w:rFonts w:ascii="Cambria Math" w:hAnsi="Cambria Math" w:cs="Times New Roman"/>
                  <w:sz w:val="24"/>
                  <w:szCs w:val="24"/>
                </w:rPr>
                <m:t>k=0</m:t>
              </m:r>
            </m:sub>
            <m:sup>
              <m:r>
                <w:rPr>
                  <w:rFonts w:ascii="Cambria Math" w:hAnsi="Cambria Math" w:cs="Times New Roman"/>
                  <w:sz w:val="24"/>
                  <w:szCs w:val="24"/>
                </w:rPr>
                <m:t>∞</m:t>
              </m:r>
            </m:sup>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k</m:t>
                  </m:r>
                </m:e>
              </m:d>
            </m:e>
          </m:nary>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s+k</m:t>
                  </m:r>
                </m:e>
              </m:d>
              <m:r>
                <w:rPr>
                  <w:rFonts w:ascii="Cambria Math" w:hAnsi="Cambria Math" w:cs="Times New Roman"/>
                  <w:sz w:val="24"/>
                  <w:szCs w:val="24"/>
                </w:rPr>
                <m:t>-C</m:t>
              </m:r>
            </m:e>
          </m:d>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s+k</m:t>
              </m:r>
            </m:e>
          </m:d>
          <m:r>
            <w:rPr>
              <w:rFonts w:ascii="Cambria Math" w:hAnsi="Cambria Math" w:cs="Times New Roman"/>
              <w:sz w:val="24"/>
              <w:szCs w:val="24"/>
            </w:rPr>
            <m:t>-C&gt;0)</m:t>
          </m:r>
        </m:oMath>
      </m:oMathPara>
    </w:p>
    <w:p w:rsidR="00F63C74" w:rsidRDefault="00F63C74">
      <w:pPr>
        <w:rPr>
          <w:rFonts w:ascii="Times New Roman" w:hAnsi="Times New Roman" w:cs="Times New Roman"/>
          <w:sz w:val="24"/>
          <w:szCs w:val="24"/>
        </w:rPr>
      </w:pPr>
    </w:p>
    <w:p w:rsidR="00F63C74" w:rsidRDefault="00F63C74">
      <w:pPr>
        <w:rPr>
          <w:rFonts w:ascii="Times New Roman" w:hAnsi="Times New Roman" w:cs="Times New Roman"/>
          <w:sz w:val="24"/>
          <w:szCs w:val="24"/>
        </w:rPr>
      </w:pPr>
    </w:p>
    <w:p w:rsidR="00B15D4B" w:rsidRPr="00B15D4B" w:rsidRDefault="00B15D4B">
      <w:pPr>
        <w:rPr>
          <w:rFonts w:ascii="Times New Roman" w:hAnsi="Times New Roman" w:cs="Times New Roman"/>
          <w:b/>
          <w:sz w:val="24"/>
          <w:szCs w:val="24"/>
          <w:u w:val="single"/>
        </w:rPr>
      </w:pPr>
      <w:r w:rsidRPr="00B15D4B">
        <w:rPr>
          <w:rFonts w:ascii="Times New Roman" w:hAnsi="Times New Roman" w:cs="Times New Roman"/>
          <w:b/>
          <w:sz w:val="24"/>
          <w:szCs w:val="24"/>
          <w:u w:val="single"/>
        </w:rPr>
        <w:t>Additional notes regarding indirect evidence bearing on the plausibility of malpractice law’s deterrence channel</w:t>
      </w:r>
    </w:p>
    <w:p w:rsidR="00B15D4B" w:rsidRPr="00A578AF" w:rsidRDefault="00B15D4B" w:rsidP="00B15D4B">
      <w:pPr>
        <w:spacing w:after="0"/>
        <w:ind w:firstLine="720"/>
        <w:jc w:val="both"/>
        <w:rPr>
          <w:rFonts w:ascii="Times New Roman" w:hAnsi="Times New Roman" w:cs="Times New Roman"/>
          <w:sz w:val="24"/>
          <w:szCs w:val="24"/>
        </w:rPr>
      </w:pPr>
      <w:r>
        <w:rPr>
          <w:rFonts w:ascii="Times New Roman" w:hAnsi="Times New Roman" w:cs="Times New Roman"/>
          <w:sz w:val="24"/>
          <w:szCs w:val="24"/>
        </w:rPr>
        <w:t>T</w:t>
      </w:r>
      <w:r w:rsidRPr="00A578AF">
        <w:rPr>
          <w:rFonts w:ascii="Times New Roman" w:hAnsi="Times New Roman" w:cs="Times New Roman"/>
          <w:sz w:val="24"/>
          <w:szCs w:val="24"/>
        </w:rPr>
        <w:t xml:space="preserve">here are many reasons to doubt whether the threat of liability will indeed induce the higher level of quality predicted by the above model.  To begin, are physicians even aware of how the law expects them to behave?  That is, if a jurisdiction shifts the standard of care from </w:t>
      </w:r>
      <w:r w:rsidRPr="009C63B9">
        <w:rPr>
          <w:rFonts w:ascii="Times New Roman" w:hAnsi="Times New Roman" w:cs="Times New Roman"/>
          <w:i/>
          <w:sz w:val="24"/>
          <w:szCs w:val="24"/>
        </w:rPr>
        <w:t>s*</w:t>
      </w:r>
      <w:r w:rsidRPr="00A578AF">
        <w:rPr>
          <w:rFonts w:ascii="Times New Roman" w:hAnsi="Times New Roman" w:cs="Times New Roman"/>
          <w:sz w:val="24"/>
          <w:szCs w:val="24"/>
        </w:rPr>
        <w:t xml:space="preserve"> </w:t>
      </w:r>
      <w:proofErr w:type="gramStart"/>
      <w:r w:rsidRPr="00A578AF">
        <w:rPr>
          <w:rFonts w:ascii="Times New Roman" w:hAnsi="Times New Roman" w:cs="Times New Roman"/>
          <w:sz w:val="24"/>
          <w:szCs w:val="24"/>
        </w:rPr>
        <w:t xml:space="preserve">to </w:t>
      </w:r>
      <w:proofErr w:type="gramEnd"/>
      <m:oMath>
        <m:acc>
          <m:accPr>
            <m:ctrlPr>
              <w:rPr>
                <w:rFonts w:ascii="Cambria Math" w:hAnsi="Cambria Math" w:cs="Times New Roman"/>
                <w:i/>
                <w:sz w:val="24"/>
                <w:szCs w:val="24"/>
              </w:rPr>
            </m:ctrlPr>
          </m:accPr>
          <m:e>
            <m:r>
              <w:rPr>
                <w:rFonts w:ascii="Cambria Math" w:hAnsi="Cambria Math" w:cs="Times New Roman"/>
                <w:sz w:val="24"/>
                <w:szCs w:val="24"/>
              </w:rPr>
              <m:t>s</m:t>
            </m:r>
          </m:e>
        </m:acc>
      </m:oMath>
      <w:r w:rsidRPr="00A578AF">
        <w:rPr>
          <w:rFonts w:ascii="Times New Roman" w:eastAsiaTheme="minorEastAsia" w:hAnsi="Times New Roman" w:cs="Times New Roman"/>
          <w:sz w:val="24"/>
          <w:szCs w:val="24"/>
        </w:rPr>
        <w:t>, as hypothesized above, will physicians become aware of the altered expectations</w:t>
      </w:r>
      <w:r w:rsidRPr="00A578AF">
        <w:rPr>
          <w:rFonts w:ascii="Times New Roman" w:hAnsi="Times New Roman" w:cs="Times New Roman"/>
          <w:sz w:val="24"/>
          <w:szCs w:val="24"/>
        </w:rPr>
        <w:t>?</w:t>
      </w:r>
      <w:r w:rsidRPr="00A578AF">
        <w:rPr>
          <w:rStyle w:val="FootnoteReference"/>
          <w:rFonts w:ascii="Times New Roman" w:hAnsi="Times New Roman" w:cs="Times New Roman"/>
          <w:sz w:val="24"/>
          <w:szCs w:val="24"/>
        </w:rPr>
        <w:footnoteReference w:id="1"/>
      </w:r>
      <w:r w:rsidRPr="00A578AF">
        <w:rPr>
          <w:rFonts w:ascii="Times New Roman" w:hAnsi="Times New Roman" w:cs="Times New Roman"/>
          <w:sz w:val="24"/>
          <w:szCs w:val="24"/>
        </w:rPr>
        <w:t xml:space="preserve">  </w:t>
      </w:r>
    </w:p>
    <w:p w:rsidR="00B15D4B" w:rsidRPr="00A578AF" w:rsidRDefault="00B15D4B" w:rsidP="00B15D4B">
      <w:pPr>
        <w:spacing w:after="0"/>
        <w:ind w:firstLine="720"/>
        <w:jc w:val="both"/>
        <w:rPr>
          <w:rFonts w:ascii="Times New Roman" w:hAnsi="Times New Roman" w:cs="Times New Roman"/>
          <w:sz w:val="24"/>
          <w:szCs w:val="24"/>
        </w:rPr>
      </w:pPr>
      <w:r w:rsidRPr="00A578AF">
        <w:rPr>
          <w:rFonts w:ascii="Times New Roman" w:hAnsi="Times New Roman" w:cs="Times New Roman"/>
          <w:sz w:val="24"/>
          <w:szCs w:val="24"/>
        </w:rPr>
        <w:t>Moreover, even if physicians have knowledge of such standards, it is unclear whether they would alter their practices accordingly.  Deterrent forces are potentially blunted by the fact that a very small percentage (possibly as low as 3%) of those who are harmed by a negligent medical error actually pursue a malpractice claim in the first place (</w:t>
      </w:r>
      <w:proofErr w:type="spellStart"/>
      <w:r w:rsidRPr="00A578AF">
        <w:rPr>
          <w:rFonts w:ascii="Times New Roman" w:hAnsi="Times New Roman" w:cs="Times New Roman"/>
          <w:sz w:val="24"/>
          <w:szCs w:val="24"/>
        </w:rPr>
        <w:t>Localio</w:t>
      </w:r>
      <w:proofErr w:type="spellEnd"/>
      <w:r w:rsidRPr="00A578AF">
        <w:rPr>
          <w:rFonts w:ascii="Times New Roman" w:hAnsi="Times New Roman" w:cs="Times New Roman"/>
          <w:sz w:val="24"/>
          <w:szCs w:val="24"/>
        </w:rPr>
        <w:t xml:space="preserve"> et al. 1991).</w:t>
      </w:r>
      <w:r w:rsidRPr="00A578AF">
        <w:rPr>
          <w:rStyle w:val="FootnoteReference"/>
          <w:rFonts w:ascii="Times New Roman" w:hAnsi="Times New Roman" w:cs="Times New Roman"/>
          <w:sz w:val="24"/>
          <w:szCs w:val="24"/>
        </w:rPr>
        <w:footnoteReference w:id="2"/>
      </w:r>
      <w:r w:rsidRPr="00A578AF">
        <w:rPr>
          <w:rFonts w:ascii="Times New Roman" w:hAnsi="Times New Roman" w:cs="Times New Roman"/>
          <w:sz w:val="24"/>
          <w:szCs w:val="24"/>
        </w:rPr>
        <w:t xml:space="preserve">  That is, while the damages to be imposed for failure to take the expected precaution in the above model equal the foregone benefits, </w:t>
      </w:r>
      <w:r w:rsidRPr="00A578AF">
        <w:rPr>
          <w:rFonts w:ascii="Times New Roman" w:hAnsi="Times New Roman" w:cs="Times New Roman"/>
          <w:i/>
          <w:sz w:val="24"/>
          <w:szCs w:val="24"/>
        </w:rPr>
        <w:t>B(s)</w:t>
      </w:r>
      <w:r w:rsidRPr="00A578AF">
        <w:rPr>
          <w:rFonts w:ascii="Times New Roman" w:hAnsi="Times New Roman" w:cs="Times New Roman"/>
          <w:sz w:val="24"/>
          <w:szCs w:val="24"/>
        </w:rPr>
        <w:t xml:space="preserve">, the physician may only assign a small fraction, </w:t>
      </w:r>
      <w:r w:rsidRPr="00A578AF">
        <w:rPr>
          <w:rFonts w:ascii="Times New Roman" w:hAnsi="Times New Roman" w:cs="Times New Roman"/>
          <w:i/>
          <w:sz w:val="24"/>
          <w:szCs w:val="24"/>
        </w:rPr>
        <w:t>α</w:t>
      </w:r>
      <w:r w:rsidRPr="00A578AF">
        <w:rPr>
          <w:rFonts w:ascii="Times New Roman" w:hAnsi="Times New Roman" w:cs="Times New Roman"/>
          <w:sz w:val="24"/>
          <w:szCs w:val="24"/>
        </w:rPr>
        <w:t xml:space="preserve">, of this amount in weighing the costs and benefits of the proposed action.  </w:t>
      </w:r>
      <w:r w:rsidRPr="009C63B9">
        <w:rPr>
          <w:rFonts w:ascii="Times New Roman" w:hAnsi="Times New Roman" w:cs="Times New Roman"/>
          <w:sz w:val="24"/>
          <w:szCs w:val="24"/>
        </w:rPr>
        <w:t>In this instance, if the courts set a new standard at the optimal cutoff</w:t>
      </w:r>
      <w:proofErr w:type="gramStart"/>
      <w:r w:rsidRPr="009C63B9">
        <w:rPr>
          <w:rFonts w:ascii="Times New Roman" w:hAnsi="Times New Roman" w:cs="Times New Roman"/>
          <w:sz w:val="24"/>
          <w:szCs w:val="24"/>
        </w:rPr>
        <w:t xml:space="preserve">, </w:t>
      </w:r>
      <w:proofErr w:type="gramEnd"/>
      <m:oMath>
        <m:acc>
          <m:accPr>
            <m:ctrlPr>
              <w:rPr>
                <w:rFonts w:ascii="Cambria Math" w:hAnsi="Cambria Math" w:cs="Times New Roman"/>
                <w:i/>
                <w:sz w:val="24"/>
                <w:szCs w:val="24"/>
              </w:rPr>
            </m:ctrlPr>
          </m:accPr>
          <m:e>
            <m:r>
              <w:rPr>
                <w:rFonts w:ascii="Cambria Math" w:hAnsi="Cambria Math" w:cs="Times New Roman"/>
                <w:sz w:val="24"/>
                <w:szCs w:val="24"/>
              </w:rPr>
              <m:t>s</m:t>
            </m:r>
          </m:e>
        </m:acc>
      </m:oMath>
      <w:r w:rsidRPr="00A578AF">
        <w:rPr>
          <w:rFonts w:ascii="Times New Roman" w:eastAsiaTheme="minorEastAsia" w:hAnsi="Times New Roman" w:cs="Times New Roman"/>
          <w:sz w:val="24"/>
          <w:szCs w:val="24"/>
        </w:rPr>
        <w:t xml:space="preserve">, physicians will only increase precaution-taking in the </w:t>
      </w:r>
      <w:r w:rsidRPr="00A578AF">
        <w:rPr>
          <w:rFonts w:ascii="Times New Roman" w:eastAsiaTheme="minorEastAsia" w:hAnsi="Times New Roman" w:cs="Times New Roman"/>
          <w:sz w:val="24"/>
          <w:szCs w:val="24"/>
        </w:rPr>
        <w:lastRenderedPageBreak/>
        <w:t xml:space="preserve">direction of </w:t>
      </w:r>
      <m:oMath>
        <m:acc>
          <m:accPr>
            <m:ctrlPr>
              <w:rPr>
                <w:rFonts w:ascii="Cambria Math" w:hAnsi="Cambria Math" w:cs="Times New Roman"/>
                <w:i/>
                <w:sz w:val="24"/>
                <w:szCs w:val="24"/>
              </w:rPr>
            </m:ctrlPr>
          </m:accPr>
          <m:e>
            <m:r>
              <w:rPr>
                <w:rFonts w:ascii="Cambria Math" w:hAnsi="Cambria Math" w:cs="Times New Roman"/>
                <w:sz w:val="24"/>
                <w:szCs w:val="24"/>
              </w:rPr>
              <m:t>s</m:t>
            </m:r>
          </m:e>
        </m:acc>
      </m:oMath>
      <w:r w:rsidRPr="00A578AF">
        <w:rPr>
          <w:rFonts w:ascii="Times New Roman" w:eastAsiaTheme="minorEastAsia" w:hAnsi="Times New Roman" w:cs="Times New Roman"/>
          <w:sz w:val="24"/>
          <w:szCs w:val="24"/>
        </w:rPr>
        <w:t xml:space="preserve"> (and away from their starting point, </w:t>
      </w:r>
      <w:r w:rsidRPr="00B15D4B">
        <w:rPr>
          <w:rFonts w:ascii="Times New Roman" w:eastAsiaTheme="minorEastAsia" w:hAnsi="Times New Roman" w:cs="Times New Roman"/>
          <w:i/>
          <w:sz w:val="24"/>
          <w:szCs w:val="24"/>
        </w:rPr>
        <w:t>s*</w:t>
      </w:r>
      <w:r w:rsidRPr="00A578AF">
        <w:rPr>
          <w:rFonts w:ascii="Times New Roman" w:eastAsiaTheme="minorEastAsia" w:hAnsi="Times New Roman" w:cs="Times New Roman"/>
          <w:sz w:val="24"/>
          <w:szCs w:val="24"/>
        </w:rPr>
        <w:t xml:space="preserve">) until the point where the expected liability damages, </w:t>
      </w:r>
      <w:r w:rsidRPr="009C63B9">
        <w:rPr>
          <w:rFonts w:ascii="Times New Roman" w:hAnsi="Times New Roman" w:cs="Times New Roman"/>
          <w:i/>
          <w:sz w:val="24"/>
          <w:szCs w:val="24"/>
        </w:rPr>
        <w:t>αB</w:t>
      </w:r>
      <w:r w:rsidRPr="00A578AF">
        <w:rPr>
          <w:rFonts w:ascii="Times New Roman" w:hAnsi="Times New Roman" w:cs="Times New Roman"/>
          <w:i/>
          <w:sz w:val="24"/>
          <w:szCs w:val="24"/>
        </w:rPr>
        <w:t>(s)—</w:t>
      </w:r>
      <w:r w:rsidRPr="00A578AF">
        <w:rPr>
          <w:rFonts w:ascii="Times New Roman" w:hAnsi="Times New Roman" w:cs="Times New Roman"/>
          <w:sz w:val="24"/>
          <w:szCs w:val="24"/>
        </w:rPr>
        <w:t xml:space="preserve">i.e., the consequences of failing to provide the precaution—equal the costs of taking the precaution net of the perceived benefits from doing so (C-B’(s)).  </w:t>
      </w:r>
      <w:r>
        <w:rPr>
          <w:rFonts w:ascii="Times New Roman" w:hAnsi="Times New Roman" w:cs="Times New Roman"/>
          <w:sz w:val="24"/>
          <w:szCs w:val="24"/>
        </w:rPr>
        <w:t>As can be readily shown, a</w:t>
      </w:r>
      <w:r w:rsidRPr="00A578AF">
        <w:rPr>
          <w:rFonts w:ascii="Times New Roman" w:hAnsi="Times New Roman" w:cs="Times New Roman"/>
          <w:sz w:val="24"/>
          <w:szCs w:val="24"/>
        </w:rPr>
        <w:t xml:space="preserve">s </w:t>
      </w:r>
      <w:r w:rsidRPr="00A578AF">
        <w:rPr>
          <w:rFonts w:ascii="Times New Roman" w:hAnsi="Times New Roman" w:cs="Times New Roman"/>
          <w:i/>
          <w:sz w:val="24"/>
          <w:szCs w:val="24"/>
        </w:rPr>
        <w:t>α</w:t>
      </w:r>
      <w:r w:rsidRPr="00A578AF">
        <w:rPr>
          <w:rFonts w:ascii="Times New Roman" w:hAnsi="Times New Roman" w:cs="Times New Roman"/>
          <w:sz w:val="24"/>
          <w:szCs w:val="24"/>
        </w:rPr>
        <w:t xml:space="preserve"> decreases, the level of s that satisfies this equivalency increases—that is, it becomes closer to </w:t>
      </w:r>
      <w:r w:rsidRPr="00B15D4B">
        <w:rPr>
          <w:rFonts w:ascii="Times New Roman" w:hAnsi="Times New Roman" w:cs="Times New Roman"/>
          <w:i/>
          <w:sz w:val="24"/>
          <w:szCs w:val="24"/>
        </w:rPr>
        <w:t>s*</w:t>
      </w:r>
      <w:r w:rsidRPr="00A578AF">
        <w:rPr>
          <w:rFonts w:ascii="Times New Roman" w:hAnsi="Times New Roman" w:cs="Times New Roman"/>
          <w:sz w:val="24"/>
          <w:szCs w:val="24"/>
        </w:rPr>
        <w:t xml:space="preserve">, their baseline / customary practices.  As such, as the degree to which the expected </w:t>
      </w:r>
      <w:proofErr w:type="gramStart"/>
      <w:r w:rsidRPr="00A578AF">
        <w:rPr>
          <w:rFonts w:ascii="Times New Roman" w:hAnsi="Times New Roman" w:cs="Times New Roman"/>
          <w:sz w:val="24"/>
          <w:szCs w:val="24"/>
        </w:rPr>
        <w:t>consequences of liability falls</w:t>
      </w:r>
      <w:proofErr w:type="gramEnd"/>
      <w:r w:rsidRPr="00A578AF">
        <w:rPr>
          <w:rFonts w:ascii="Times New Roman" w:hAnsi="Times New Roman" w:cs="Times New Roman"/>
          <w:sz w:val="24"/>
          <w:szCs w:val="24"/>
        </w:rPr>
        <w:t xml:space="preserve">, physicians will become less likely to alter their behavior in the direction of the standards legally expected of them.  </w:t>
      </w:r>
    </w:p>
    <w:p w:rsidR="00B15D4B" w:rsidRPr="00A578AF" w:rsidRDefault="00B15D4B" w:rsidP="00B15D4B">
      <w:pPr>
        <w:spacing w:after="0"/>
        <w:ind w:firstLine="720"/>
        <w:jc w:val="both"/>
        <w:rPr>
          <w:rFonts w:ascii="Times New Roman" w:hAnsi="Times New Roman" w:cs="Times New Roman"/>
          <w:sz w:val="24"/>
          <w:szCs w:val="24"/>
        </w:rPr>
      </w:pPr>
      <w:r w:rsidRPr="00A578AF">
        <w:rPr>
          <w:rFonts w:ascii="Times New Roman" w:hAnsi="Times New Roman" w:cs="Times New Roman"/>
          <w:sz w:val="24"/>
          <w:szCs w:val="24"/>
        </w:rPr>
        <w:t xml:space="preserve">Potentially confounding this deterrent channel even further is the possibility of an ineffective targeting of damage awards towards meritorious claims.  To the extent that juries extend liability to situations in which physicians, in fact, did not negligently harm patients (i.e., where either the physician did indeed undertake the required precaution, </w:t>
      </w:r>
      <w:r w:rsidRPr="00A578AF">
        <w:rPr>
          <w:rFonts w:ascii="Times New Roman" w:hAnsi="Times New Roman" w:cs="Times New Roman"/>
          <w:i/>
          <w:sz w:val="24"/>
          <w:szCs w:val="24"/>
        </w:rPr>
        <w:t>A</w:t>
      </w:r>
      <w:r w:rsidRPr="00A578AF">
        <w:rPr>
          <w:rFonts w:ascii="Times New Roman" w:hAnsi="Times New Roman" w:cs="Times New Roman"/>
          <w:sz w:val="24"/>
          <w:szCs w:val="24"/>
        </w:rPr>
        <w:t xml:space="preserve">, or where the complication level of the patient, </w:t>
      </w:r>
      <w:r w:rsidRPr="00A578AF">
        <w:rPr>
          <w:rFonts w:ascii="Times New Roman" w:hAnsi="Times New Roman" w:cs="Times New Roman"/>
          <w:i/>
          <w:sz w:val="24"/>
          <w:szCs w:val="24"/>
        </w:rPr>
        <w:t>s</w:t>
      </w:r>
      <w:r w:rsidRPr="00A578AF">
        <w:rPr>
          <w:rFonts w:ascii="Times New Roman" w:hAnsi="Times New Roman" w:cs="Times New Roman"/>
          <w:sz w:val="24"/>
          <w:szCs w:val="24"/>
        </w:rPr>
        <w:t>, is as such that the precaution need not have been taken), the law may fail to signal to physicians precisely what they must do in order to avoid liability.</w:t>
      </w:r>
      <w:r w:rsidRPr="00A578AF">
        <w:rPr>
          <w:rStyle w:val="FootnoteReference"/>
          <w:rFonts w:ascii="Times New Roman" w:hAnsi="Times New Roman" w:cs="Times New Roman"/>
          <w:sz w:val="24"/>
          <w:szCs w:val="24"/>
        </w:rPr>
        <w:footnoteReference w:id="3"/>
      </w:r>
      <w:r w:rsidRPr="00A578AF">
        <w:rPr>
          <w:rFonts w:ascii="Times New Roman" w:hAnsi="Times New Roman" w:cs="Times New Roman"/>
          <w:sz w:val="24"/>
          <w:szCs w:val="24"/>
        </w:rPr>
        <w:t xml:space="preserve">  Early investigations into this targeting inquiry indeed invoked some concern, with as many as 59 percent of non-meritorious claims receiving some payment.</w:t>
      </w:r>
      <w:r w:rsidRPr="00A578AF">
        <w:rPr>
          <w:rStyle w:val="FootnoteReference"/>
          <w:rFonts w:ascii="Times New Roman" w:hAnsi="Times New Roman" w:cs="Times New Roman"/>
          <w:sz w:val="24"/>
          <w:szCs w:val="24"/>
        </w:rPr>
        <w:footnoteReference w:id="4"/>
      </w:r>
      <w:r w:rsidRPr="00A578AF">
        <w:rPr>
          <w:rFonts w:ascii="Times New Roman" w:hAnsi="Times New Roman" w:cs="Times New Roman"/>
          <w:sz w:val="24"/>
          <w:szCs w:val="24"/>
        </w:rPr>
        <w:t xml:space="preserve">  In a more recent study, however, </w:t>
      </w:r>
      <w:proofErr w:type="spellStart"/>
      <w:r w:rsidRPr="00A578AF">
        <w:rPr>
          <w:rFonts w:ascii="Times New Roman" w:hAnsi="Times New Roman" w:cs="Times New Roman"/>
          <w:sz w:val="24"/>
          <w:szCs w:val="24"/>
        </w:rPr>
        <w:t>Studdert</w:t>
      </w:r>
      <w:proofErr w:type="spellEnd"/>
      <w:r w:rsidRPr="00A578AF">
        <w:rPr>
          <w:rFonts w:ascii="Times New Roman" w:hAnsi="Times New Roman" w:cs="Times New Roman"/>
          <w:sz w:val="24"/>
          <w:szCs w:val="24"/>
        </w:rPr>
        <w:t xml:space="preserve"> et al. (2006) find that over 70 percent of non-meritorious claims (i.e., those involving neither negligence nor injuries) received no compensation, while over 70 percent of those claims that involved both injury and negligence did.  Moreover, when non-meritorious claims did receive payment, those payments were substantially lower than those extended to meritorious claims (roughly $313,000 vs. $521,000).  These findings instill some hope that the system may be sending the proper signals to physicians, though the targeting remains far from perfect.  </w:t>
      </w:r>
    </w:p>
    <w:p w:rsidR="00B15D4B" w:rsidRPr="00A578AF" w:rsidRDefault="00B15D4B" w:rsidP="00B15D4B">
      <w:pPr>
        <w:spacing w:after="0"/>
        <w:ind w:firstLine="720"/>
        <w:jc w:val="both"/>
        <w:rPr>
          <w:rFonts w:ascii="Times New Roman" w:hAnsi="Times New Roman" w:cs="Times New Roman"/>
          <w:sz w:val="24"/>
          <w:szCs w:val="24"/>
        </w:rPr>
      </w:pPr>
      <w:r w:rsidRPr="00A578AF">
        <w:rPr>
          <w:rFonts w:ascii="Times New Roman" w:hAnsi="Times New Roman" w:cs="Times New Roman"/>
          <w:sz w:val="24"/>
          <w:szCs w:val="24"/>
        </w:rPr>
        <w:t>However, even when those harmed by a negligent error are successful in seeking compensation, physicians may face limited immediate financial risk from the associated damage awards considering that they are insured against such losses and that this coverage is typically not experience rated (Currie and MacLeod 2008).  Moreover, claim amounts themselves rarely exceed malpractice insurance limits (</w:t>
      </w:r>
      <w:proofErr w:type="spellStart"/>
      <w:r w:rsidRPr="00A578AF">
        <w:rPr>
          <w:rFonts w:ascii="Times New Roman" w:hAnsi="Times New Roman" w:cs="Times New Roman"/>
          <w:sz w:val="24"/>
          <w:szCs w:val="24"/>
        </w:rPr>
        <w:t>Zeiler</w:t>
      </w:r>
      <w:proofErr w:type="spellEnd"/>
      <w:r w:rsidRPr="00A578AF">
        <w:rPr>
          <w:rFonts w:ascii="Times New Roman" w:hAnsi="Times New Roman" w:cs="Times New Roman"/>
          <w:sz w:val="24"/>
          <w:szCs w:val="24"/>
        </w:rPr>
        <w:t xml:space="preserve"> et al. 2007).  As such, potentially blunting the incentives posed in a given clinical encounter, physicians may not even be exposed to the damage awards of </w:t>
      </w:r>
      <w:r w:rsidRPr="00A578AF">
        <w:rPr>
          <w:rFonts w:ascii="Times New Roman" w:hAnsi="Times New Roman" w:cs="Times New Roman"/>
          <w:i/>
          <w:sz w:val="24"/>
          <w:szCs w:val="24"/>
        </w:rPr>
        <w:t>B(s)</w:t>
      </w:r>
      <w:r w:rsidRPr="00A578AF">
        <w:rPr>
          <w:rFonts w:ascii="Times New Roman" w:hAnsi="Times New Roman" w:cs="Times New Roman"/>
          <w:sz w:val="24"/>
          <w:szCs w:val="24"/>
        </w:rPr>
        <w:t xml:space="preserve"> for failing to take the indicated precaution.  On the other hand, despite the limited financial risks directly associated with the litigation, physicians may face a number of uninsurable costs as a result of malpractice liability – e.g., reputational and psychological damage – leaving open a pathway by which physicians may respond to liability forces.</w:t>
      </w:r>
      <w:r w:rsidRPr="00A578AF">
        <w:rPr>
          <w:rStyle w:val="FootnoteReference"/>
          <w:rFonts w:ascii="Times New Roman" w:hAnsi="Times New Roman" w:cs="Times New Roman"/>
          <w:sz w:val="24"/>
          <w:szCs w:val="24"/>
        </w:rPr>
        <w:footnoteReference w:id="5"/>
      </w:r>
      <w:r w:rsidRPr="00A578AF">
        <w:rPr>
          <w:rFonts w:ascii="Times New Roman" w:hAnsi="Times New Roman" w:cs="Times New Roman"/>
          <w:sz w:val="24"/>
          <w:szCs w:val="24"/>
        </w:rPr>
        <w:t xml:space="preserve">  </w:t>
      </w:r>
    </w:p>
    <w:p w:rsidR="00B15D4B" w:rsidRPr="00A578AF" w:rsidRDefault="00B15D4B" w:rsidP="00B15D4B">
      <w:pPr>
        <w:spacing w:after="0"/>
        <w:ind w:firstLine="720"/>
        <w:jc w:val="both"/>
        <w:rPr>
          <w:rFonts w:ascii="Times New Roman" w:hAnsi="Times New Roman" w:cs="Times New Roman"/>
          <w:sz w:val="24"/>
          <w:szCs w:val="24"/>
        </w:rPr>
      </w:pPr>
      <w:r w:rsidRPr="00A578AF">
        <w:rPr>
          <w:rFonts w:ascii="Times New Roman" w:hAnsi="Times New Roman" w:cs="Times New Roman"/>
          <w:sz w:val="24"/>
          <w:szCs w:val="24"/>
        </w:rPr>
        <w:lastRenderedPageBreak/>
        <w:t xml:space="preserve">Finally, the influence of medical liability rules on observed indicators of quality may be limited by certain additional features of liability rules.  </w:t>
      </w:r>
      <w:r>
        <w:rPr>
          <w:rFonts w:ascii="Times New Roman" w:hAnsi="Times New Roman" w:cs="Times New Roman"/>
          <w:sz w:val="24"/>
          <w:szCs w:val="24"/>
        </w:rPr>
        <w:t>M</w:t>
      </w:r>
      <w:r w:rsidRPr="00A578AF">
        <w:rPr>
          <w:rFonts w:ascii="Times New Roman" w:hAnsi="Times New Roman" w:cs="Times New Roman"/>
          <w:sz w:val="24"/>
          <w:szCs w:val="24"/>
        </w:rPr>
        <w:t xml:space="preserve">edical errors are perhaps inevitable even in the face of physicians that are habitually inclined to deliver quality care.  After all, an occasional slip or mistake (and thus deviation from such habitual inclinations) is characteristic of human nature.  Despite this dire assertion, commentators suggest that better designed safety systems within hospitals—e.g., medication-dispensing processes and protocols—hold great potential to reduce the incidence of errors by reducing the scope of inevitable human mistakes.  </w:t>
      </w:r>
      <w:r>
        <w:rPr>
          <w:rFonts w:ascii="Times New Roman" w:hAnsi="Times New Roman" w:cs="Times New Roman"/>
          <w:sz w:val="24"/>
          <w:szCs w:val="24"/>
        </w:rPr>
        <w:t xml:space="preserve">In </w:t>
      </w:r>
      <w:r w:rsidRPr="00A578AF">
        <w:rPr>
          <w:rFonts w:ascii="Times New Roman" w:hAnsi="Times New Roman" w:cs="Times New Roman"/>
          <w:sz w:val="24"/>
          <w:szCs w:val="24"/>
        </w:rPr>
        <w:t xml:space="preserve">this frame of thought, one might contend that stronger incentives should be placed on hospitals and organizations to develop efficient systems of safety and that relatively less attention should be placed on incentivizing particular behaviors on the part of individual physicians.  Medical liability rules, as is often argued, have this emphasis reversed.  It is not altogether straightforward for a plaintiff to be able to bring a hospital into a malpractice lawsuit under traditional rules of </w:t>
      </w:r>
      <w:proofErr w:type="spellStart"/>
      <w:r w:rsidRPr="00A578AF">
        <w:rPr>
          <w:rFonts w:ascii="Times New Roman" w:hAnsi="Times New Roman" w:cs="Times New Roman"/>
          <w:sz w:val="24"/>
          <w:szCs w:val="24"/>
        </w:rPr>
        <w:t>respondeat</w:t>
      </w:r>
      <w:proofErr w:type="spellEnd"/>
      <w:r w:rsidRPr="00A578AF">
        <w:rPr>
          <w:rFonts w:ascii="Times New Roman" w:hAnsi="Times New Roman" w:cs="Times New Roman"/>
          <w:sz w:val="24"/>
          <w:szCs w:val="24"/>
        </w:rPr>
        <w:t xml:space="preserve"> superior in light of the legal status of many physicians as “independent contractors” rather than </w:t>
      </w:r>
      <w:r>
        <w:rPr>
          <w:rFonts w:ascii="Times New Roman" w:hAnsi="Times New Roman" w:cs="Times New Roman"/>
          <w:sz w:val="24"/>
          <w:szCs w:val="24"/>
        </w:rPr>
        <w:t xml:space="preserve">as </w:t>
      </w:r>
      <w:r w:rsidRPr="00A578AF">
        <w:rPr>
          <w:rFonts w:ascii="Times New Roman" w:hAnsi="Times New Roman" w:cs="Times New Roman"/>
          <w:sz w:val="24"/>
          <w:szCs w:val="24"/>
        </w:rPr>
        <w:t>employees of hospitals.</w:t>
      </w:r>
      <w:r>
        <w:rPr>
          <w:rStyle w:val="FootnoteReference"/>
          <w:rFonts w:ascii="Times New Roman" w:hAnsi="Times New Roman" w:cs="Times New Roman"/>
          <w:sz w:val="24"/>
          <w:szCs w:val="24"/>
        </w:rPr>
        <w:footnoteReference w:id="6"/>
      </w:r>
      <w:r w:rsidRPr="00A578AF">
        <w:rPr>
          <w:rFonts w:ascii="Times New Roman" w:hAnsi="Times New Roman" w:cs="Times New Roman"/>
          <w:sz w:val="24"/>
          <w:szCs w:val="24"/>
        </w:rPr>
        <w:t xml:space="preserve">  </w:t>
      </w:r>
    </w:p>
    <w:p w:rsidR="00B15D4B" w:rsidRPr="00A578AF" w:rsidRDefault="00B15D4B" w:rsidP="00B15D4B">
      <w:pPr>
        <w:spacing w:after="0"/>
        <w:ind w:firstLine="720"/>
        <w:jc w:val="both"/>
        <w:rPr>
          <w:rFonts w:ascii="Times New Roman" w:hAnsi="Times New Roman" w:cs="Times New Roman"/>
          <w:sz w:val="24"/>
          <w:szCs w:val="24"/>
        </w:rPr>
      </w:pPr>
      <w:r w:rsidRPr="00A578AF">
        <w:rPr>
          <w:rFonts w:ascii="Times New Roman" w:hAnsi="Times New Roman" w:cs="Times New Roman"/>
          <w:sz w:val="24"/>
          <w:szCs w:val="24"/>
        </w:rPr>
        <w:t xml:space="preserve">All told, a heavy cloud of uncertainty engulfs this deterrence inquiry, necessitating empirical evaluation.  </w:t>
      </w:r>
    </w:p>
    <w:p w:rsidR="00F63C74" w:rsidRDefault="00F63C74">
      <w:pPr>
        <w:rPr>
          <w:rFonts w:ascii="Times New Roman" w:hAnsi="Times New Roman" w:cs="Times New Roman"/>
          <w:b/>
          <w:sz w:val="24"/>
          <w:szCs w:val="24"/>
        </w:rPr>
      </w:pPr>
      <w:r>
        <w:rPr>
          <w:rFonts w:ascii="Times New Roman" w:hAnsi="Times New Roman" w:cs="Times New Roman"/>
          <w:b/>
          <w:sz w:val="24"/>
          <w:szCs w:val="24"/>
        </w:rPr>
        <w:br w:type="page"/>
      </w:r>
    </w:p>
    <w:p w:rsidR="00BD4819" w:rsidRPr="007C5AE2" w:rsidRDefault="00AC2B53" w:rsidP="00AC2B53">
      <w:pPr>
        <w:rPr>
          <w:rFonts w:ascii="Times New Roman" w:hAnsi="Times New Roman" w:cs="Times New Roman"/>
          <w:b/>
          <w:sz w:val="24"/>
          <w:szCs w:val="24"/>
        </w:rPr>
      </w:pPr>
      <w:r w:rsidRPr="00AC2B53">
        <w:rPr>
          <w:rFonts w:ascii="Times New Roman" w:hAnsi="Times New Roman" w:cs="Times New Roman"/>
          <w:b/>
          <w:sz w:val="24"/>
          <w:szCs w:val="24"/>
        </w:rPr>
        <w:lastRenderedPageBreak/>
        <w:t>Online Appendix B:</w:t>
      </w:r>
      <w:r>
        <w:rPr>
          <w:rFonts w:ascii="Times New Roman" w:hAnsi="Times New Roman" w:cs="Times New Roman"/>
          <w:sz w:val="24"/>
          <w:szCs w:val="24"/>
        </w:rPr>
        <w:t xml:space="preserve"> </w:t>
      </w:r>
      <w:r w:rsidR="00BD4819" w:rsidRPr="007C5AE2">
        <w:rPr>
          <w:rFonts w:ascii="Times New Roman" w:hAnsi="Times New Roman" w:cs="Times New Roman"/>
          <w:b/>
          <w:sz w:val="24"/>
          <w:szCs w:val="24"/>
        </w:rPr>
        <w:t>Data Source</w:t>
      </w:r>
      <w:r>
        <w:rPr>
          <w:rFonts w:ascii="Times New Roman" w:hAnsi="Times New Roman" w:cs="Times New Roman"/>
          <w:b/>
          <w:sz w:val="24"/>
          <w:szCs w:val="24"/>
        </w:rPr>
        <w:t>s</w:t>
      </w:r>
      <w:r w:rsidR="00753C3E">
        <w:rPr>
          <w:rFonts w:ascii="Times New Roman" w:hAnsi="Times New Roman" w:cs="Times New Roman"/>
          <w:b/>
          <w:sz w:val="24"/>
          <w:szCs w:val="24"/>
        </w:rPr>
        <w:t xml:space="preserve">, </w:t>
      </w:r>
      <w:r w:rsidR="00BD4819" w:rsidRPr="007C5AE2">
        <w:rPr>
          <w:rFonts w:ascii="Times New Roman" w:hAnsi="Times New Roman" w:cs="Times New Roman"/>
          <w:b/>
          <w:sz w:val="24"/>
          <w:szCs w:val="24"/>
        </w:rPr>
        <w:t>Quality Measures</w:t>
      </w:r>
      <w:r w:rsidR="00D078EE">
        <w:rPr>
          <w:rFonts w:ascii="Times New Roman" w:hAnsi="Times New Roman" w:cs="Times New Roman"/>
          <w:b/>
          <w:sz w:val="24"/>
          <w:szCs w:val="24"/>
        </w:rPr>
        <w:t xml:space="preserve">, and </w:t>
      </w:r>
      <w:r w:rsidR="00753C3E">
        <w:rPr>
          <w:rFonts w:ascii="Times New Roman" w:hAnsi="Times New Roman" w:cs="Times New Roman"/>
          <w:b/>
          <w:sz w:val="24"/>
          <w:szCs w:val="24"/>
        </w:rPr>
        <w:t>Covariate</w:t>
      </w:r>
      <w:r w:rsidR="00D078EE">
        <w:rPr>
          <w:rFonts w:ascii="Times New Roman" w:hAnsi="Times New Roman" w:cs="Times New Roman"/>
          <w:b/>
          <w:sz w:val="24"/>
          <w:szCs w:val="24"/>
        </w:rPr>
        <w:t>s</w:t>
      </w:r>
    </w:p>
    <w:p w:rsidR="00BD4819" w:rsidRDefault="00BD4819" w:rsidP="00BD4819"/>
    <w:p w:rsidR="00BD4819" w:rsidRPr="00BD4819" w:rsidRDefault="00BD4819" w:rsidP="00BD4819">
      <w:pPr>
        <w:rPr>
          <w:rFonts w:ascii="Times New Roman" w:hAnsi="Times New Roman" w:cs="Times New Roman"/>
          <w:b/>
          <w:sz w:val="24"/>
          <w:szCs w:val="24"/>
        </w:rPr>
      </w:pPr>
      <w:r w:rsidRPr="00BD4819">
        <w:rPr>
          <w:rFonts w:ascii="Times New Roman" w:hAnsi="Times New Roman" w:cs="Times New Roman"/>
          <w:b/>
          <w:i/>
          <w:sz w:val="24"/>
          <w:szCs w:val="24"/>
          <w:u w:val="single"/>
        </w:rPr>
        <w:t>National Hospital Discharge Survey</w:t>
      </w:r>
      <w:r w:rsidRPr="00BD4819">
        <w:rPr>
          <w:rFonts w:ascii="Times New Roman" w:hAnsi="Times New Roman" w:cs="Times New Roman"/>
          <w:b/>
          <w:sz w:val="24"/>
          <w:szCs w:val="24"/>
        </w:rPr>
        <w:t xml:space="preserve">  </w:t>
      </w:r>
    </w:p>
    <w:p w:rsidR="00BD4819" w:rsidRDefault="00BD4819" w:rsidP="00BD4819">
      <w:pPr>
        <w:rPr>
          <w:rFonts w:ascii="Times New Roman" w:hAnsi="Times New Roman" w:cs="Times New Roman"/>
          <w:sz w:val="24"/>
          <w:szCs w:val="24"/>
        </w:rPr>
      </w:pPr>
      <w:r>
        <w:rPr>
          <w:rFonts w:ascii="Times New Roman" w:hAnsi="Times New Roman" w:cs="Times New Roman"/>
          <w:sz w:val="24"/>
          <w:szCs w:val="24"/>
        </w:rPr>
        <w:t xml:space="preserve">Healthcare quality data is collected from </w:t>
      </w:r>
      <w:r w:rsidRPr="00626F04">
        <w:rPr>
          <w:rFonts w:ascii="Times New Roman" w:hAnsi="Times New Roman" w:cs="Times New Roman"/>
          <w:sz w:val="24"/>
          <w:szCs w:val="24"/>
        </w:rPr>
        <w:t>the National Hospital Discharge Survey (NHDS), a nationally-representative sample of inpatient discharge records from short-stay, non-federal hospitals</w:t>
      </w:r>
      <w:r>
        <w:rPr>
          <w:rFonts w:ascii="Times New Roman" w:hAnsi="Times New Roman" w:cs="Times New Roman"/>
          <w:sz w:val="24"/>
          <w:szCs w:val="24"/>
        </w:rPr>
        <w:t xml:space="preserve">.  </w:t>
      </w:r>
      <w:r w:rsidRPr="00117578">
        <w:rPr>
          <w:rFonts w:ascii="Times New Roman" w:hAnsi="Times New Roman" w:cs="Times New Roman"/>
          <w:sz w:val="24"/>
          <w:szCs w:val="24"/>
        </w:rPr>
        <w:t>For approximately 260,000 inpatient records per year, the NHDS contains information on, among other things: (a) primary and secondary diagnosis and procedure codes, (b) certain demographic characteristics of the patient, and (c) certain characteristics of the hospital.</w:t>
      </w:r>
      <w:r>
        <w:rPr>
          <w:rFonts w:ascii="Times New Roman" w:hAnsi="Times New Roman" w:cs="Times New Roman"/>
          <w:sz w:val="24"/>
          <w:szCs w:val="24"/>
        </w:rPr>
        <w:t xml:space="preserve">  </w:t>
      </w:r>
      <w:r w:rsidR="00B24DB4">
        <w:rPr>
          <w:rFonts w:ascii="Times New Roman" w:hAnsi="Times New Roman" w:cs="Times New Roman"/>
          <w:sz w:val="24"/>
          <w:szCs w:val="24"/>
        </w:rPr>
        <w:t>We</w:t>
      </w:r>
      <w:r w:rsidRPr="00C509A8">
        <w:rPr>
          <w:rFonts w:ascii="Times New Roman" w:hAnsi="Times New Roman" w:cs="Times New Roman"/>
          <w:sz w:val="24"/>
          <w:szCs w:val="24"/>
        </w:rPr>
        <w:t xml:space="preserve"> supplement the public NHDS files with geographic identifiers (restricted-use variables) received </w:t>
      </w:r>
      <w:r>
        <w:rPr>
          <w:rFonts w:ascii="Times New Roman" w:hAnsi="Times New Roman" w:cs="Times New Roman"/>
          <w:sz w:val="24"/>
          <w:szCs w:val="24"/>
        </w:rPr>
        <w:t xml:space="preserve">pursuant to an agreement with </w:t>
      </w:r>
      <w:r w:rsidRPr="00C509A8">
        <w:rPr>
          <w:rFonts w:ascii="Times New Roman" w:hAnsi="Times New Roman" w:cs="Times New Roman"/>
          <w:sz w:val="24"/>
          <w:szCs w:val="24"/>
        </w:rPr>
        <w:t xml:space="preserve">the Research Data Center </w:t>
      </w:r>
      <w:r w:rsidR="00B24DB4">
        <w:rPr>
          <w:rFonts w:ascii="Times New Roman" w:hAnsi="Times New Roman" w:cs="Times New Roman"/>
          <w:sz w:val="24"/>
          <w:szCs w:val="24"/>
        </w:rPr>
        <w:t xml:space="preserve">(RDC) </w:t>
      </w:r>
      <w:r w:rsidRPr="00C509A8">
        <w:rPr>
          <w:rFonts w:ascii="Times New Roman" w:hAnsi="Times New Roman" w:cs="Times New Roman"/>
          <w:sz w:val="24"/>
          <w:szCs w:val="24"/>
        </w:rPr>
        <w:t xml:space="preserve">at the </w:t>
      </w:r>
      <w:r>
        <w:rPr>
          <w:rFonts w:ascii="Times New Roman" w:hAnsi="Times New Roman" w:cs="Times New Roman"/>
          <w:sz w:val="24"/>
          <w:szCs w:val="24"/>
        </w:rPr>
        <w:t>National Center for Health Statistics (</w:t>
      </w:r>
      <w:r w:rsidRPr="00C509A8">
        <w:rPr>
          <w:rFonts w:ascii="Times New Roman" w:hAnsi="Times New Roman" w:cs="Times New Roman"/>
          <w:sz w:val="24"/>
          <w:szCs w:val="24"/>
        </w:rPr>
        <w:t>NCHS</w:t>
      </w:r>
      <w:r>
        <w:rPr>
          <w:rFonts w:ascii="Times New Roman" w:hAnsi="Times New Roman" w:cs="Times New Roman"/>
          <w:sz w:val="24"/>
          <w:szCs w:val="24"/>
        </w:rPr>
        <w:t>)</w:t>
      </w:r>
      <w:r w:rsidRPr="00C509A8">
        <w:rPr>
          <w:rFonts w:ascii="Times New Roman" w:hAnsi="Times New Roman" w:cs="Times New Roman"/>
          <w:sz w:val="24"/>
          <w:szCs w:val="24"/>
        </w:rPr>
        <w:t xml:space="preserve">.  </w:t>
      </w:r>
      <w:r w:rsidR="00B24DB4">
        <w:rPr>
          <w:rFonts w:ascii="Times New Roman" w:hAnsi="Times New Roman" w:cs="Times New Roman"/>
          <w:sz w:val="24"/>
          <w:szCs w:val="24"/>
        </w:rPr>
        <w:t xml:space="preserve">All empirical work was performed onsite at the RDC in Hyattsville, Maryland.  </w:t>
      </w:r>
      <w:r w:rsidRPr="00C509A8">
        <w:rPr>
          <w:rFonts w:ascii="Times New Roman" w:hAnsi="Times New Roman" w:cs="Times New Roman"/>
          <w:sz w:val="24"/>
          <w:szCs w:val="24"/>
        </w:rPr>
        <w:t>The result</w:t>
      </w:r>
      <w:r>
        <w:rPr>
          <w:rFonts w:ascii="Times New Roman" w:hAnsi="Times New Roman" w:cs="Times New Roman"/>
          <w:sz w:val="24"/>
          <w:szCs w:val="24"/>
        </w:rPr>
        <w:t>ing sample covers the years 1979</w:t>
      </w:r>
      <w:r w:rsidRPr="00C509A8">
        <w:rPr>
          <w:rFonts w:ascii="Times New Roman" w:hAnsi="Times New Roman" w:cs="Times New Roman"/>
          <w:sz w:val="24"/>
          <w:szCs w:val="24"/>
        </w:rPr>
        <w:t xml:space="preserve"> to 2005.</w:t>
      </w:r>
      <w:r w:rsidR="00B24DB4">
        <w:rPr>
          <w:rFonts w:ascii="Times New Roman" w:hAnsi="Times New Roman" w:cs="Times New Roman"/>
          <w:sz w:val="24"/>
          <w:szCs w:val="24"/>
        </w:rPr>
        <w:t xml:space="preserve">  While we also have access to the 1977 and 1978 NHDS records, such records use ICD-8 diagnosis codes (as distinct from the ICD-9-CM codes used thereafter), complicating the ability to form consistent formulations over time of some of the more complicated quality-indicators embraced throughout this analysis.   </w:t>
      </w:r>
      <w:r w:rsidRPr="00C509A8">
        <w:rPr>
          <w:rFonts w:ascii="Times New Roman" w:hAnsi="Times New Roman" w:cs="Times New Roman"/>
          <w:sz w:val="24"/>
          <w:szCs w:val="24"/>
        </w:rPr>
        <w:t xml:space="preserve">   </w:t>
      </w:r>
      <w:r w:rsidRPr="00117578">
        <w:rPr>
          <w:rFonts w:ascii="Times New Roman" w:hAnsi="Times New Roman" w:cs="Times New Roman"/>
          <w:sz w:val="24"/>
          <w:szCs w:val="24"/>
        </w:rPr>
        <w:t xml:space="preserve">  </w:t>
      </w:r>
      <w:r w:rsidRPr="00626F04">
        <w:rPr>
          <w:rFonts w:ascii="Times New Roman" w:hAnsi="Times New Roman" w:cs="Times New Roman"/>
          <w:sz w:val="24"/>
          <w:szCs w:val="24"/>
        </w:rPr>
        <w:t xml:space="preserve">  </w:t>
      </w:r>
    </w:p>
    <w:p w:rsidR="00BD4819" w:rsidRPr="00BD4819" w:rsidRDefault="00BD4819" w:rsidP="00BD4819">
      <w:pPr>
        <w:spacing w:line="360" w:lineRule="auto"/>
        <w:rPr>
          <w:rFonts w:ascii="Times New Roman" w:hAnsi="Times New Roman" w:cs="Times New Roman"/>
          <w:b/>
          <w:i/>
          <w:sz w:val="24"/>
          <w:szCs w:val="24"/>
          <w:u w:val="single"/>
        </w:rPr>
      </w:pPr>
      <w:r w:rsidRPr="00BD4819">
        <w:rPr>
          <w:rFonts w:ascii="Times New Roman" w:hAnsi="Times New Roman" w:cs="Times New Roman"/>
          <w:b/>
          <w:i/>
          <w:sz w:val="24"/>
          <w:szCs w:val="24"/>
          <w:u w:val="single"/>
        </w:rPr>
        <w:t>Healthcare Quality Measures</w:t>
      </w:r>
    </w:p>
    <w:p w:rsidR="00BD4819" w:rsidRDefault="00BD4819" w:rsidP="00BD4819">
      <w:pPr>
        <w:rPr>
          <w:rFonts w:ascii="Times New Roman" w:hAnsi="Times New Roman" w:cs="Times New Roman"/>
          <w:sz w:val="24"/>
          <w:szCs w:val="24"/>
        </w:rPr>
      </w:pPr>
      <w:r w:rsidRPr="00487BC8">
        <w:rPr>
          <w:rFonts w:ascii="Times New Roman" w:hAnsi="Times New Roman" w:cs="Times New Roman"/>
          <w:sz w:val="24"/>
          <w:szCs w:val="24"/>
        </w:rPr>
        <w:t>For the purposes of th</w:t>
      </w:r>
      <w:r w:rsidR="00B24DB4">
        <w:rPr>
          <w:rFonts w:ascii="Times New Roman" w:hAnsi="Times New Roman" w:cs="Times New Roman"/>
          <w:sz w:val="24"/>
          <w:szCs w:val="24"/>
        </w:rPr>
        <w:t xml:space="preserve">is </w:t>
      </w:r>
      <w:r w:rsidRPr="00487BC8">
        <w:rPr>
          <w:rFonts w:ascii="Times New Roman" w:hAnsi="Times New Roman" w:cs="Times New Roman"/>
          <w:sz w:val="24"/>
          <w:szCs w:val="24"/>
        </w:rPr>
        <w:t xml:space="preserve">study, </w:t>
      </w:r>
      <w:r w:rsidR="00B24DB4">
        <w:rPr>
          <w:rFonts w:ascii="Times New Roman" w:hAnsi="Times New Roman" w:cs="Times New Roman"/>
          <w:sz w:val="24"/>
          <w:szCs w:val="24"/>
        </w:rPr>
        <w:t>we</w:t>
      </w:r>
      <w:r w:rsidRPr="00487BC8">
        <w:rPr>
          <w:rFonts w:ascii="Times New Roman" w:hAnsi="Times New Roman" w:cs="Times New Roman"/>
          <w:sz w:val="24"/>
          <w:szCs w:val="24"/>
        </w:rPr>
        <w:t xml:space="preserve"> </w:t>
      </w:r>
      <w:r w:rsidR="00B24DB4">
        <w:rPr>
          <w:rFonts w:ascii="Times New Roman" w:hAnsi="Times New Roman" w:cs="Times New Roman"/>
          <w:sz w:val="24"/>
          <w:szCs w:val="24"/>
        </w:rPr>
        <w:t xml:space="preserve">largely </w:t>
      </w:r>
      <w:r w:rsidRPr="00487BC8">
        <w:rPr>
          <w:rFonts w:ascii="Times New Roman" w:hAnsi="Times New Roman" w:cs="Times New Roman"/>
          <w:sz w:val="24"/>
          <w:szCs w:val="24"/>
        </w:rPr>
        <w:t xml:space="preserve">look to the AHRQ for guidance </w:t>
      </w:r>
      <w:r>
        <w:rPr>
          <w:rFonts w:ascii="Times New Roman" w:hAnsi="Times New Roman" w:cs="Times New Roman"/>
          <w:sz w:val="24"/>
          <w:szCs w:val="24"/>
        </w:rPr>
        <w:t xml:space="preserve">in selecting </w:t>
      </w:r>
      <w:r w:rsidRPr="00487BC8">
        <w:rPr>
          <w:rFonts w:ascii="Times New Roman" w:hAnsi="Times New Roman" w:cs="Times New Roman"/>
          <w:sz w:val="24"/>
          <w:szCs w:val="24"/>
        </w:rPr>
        <w:t>quality metrics.  The AHRQ measures are particularly useful for the present study in so far as they are designed for use with administrative inpatient databases such as the NHDS.</w:t>
      </w:r>
      <w:r>
        <w:rPr>
          <w:rFonts w:ascii="Times New Roman" w:hAnsi="Times New Roman" w:cs="Times New Roman"/>
          <w:sz w:val="24"/>
          <w:szCs w:val="24"/>
        </w:rPr>
        <w:t xml:space="preserve">  </w:t>
      </w:r>
      <w:r w:rsidRPr="00487BC8">
        <w:rPr>
          <w:rFonts w:ascii="Times New Roman" w:hAnsi="Times New Roman" w:cs="Times New Roman"/>
          <w:sz w:val="24"/>
          <w:szCs w:val="24"/>
        </w:rPr>
        <w:t xml:space="preserve">The AHRQ’s </w:t>
      </w:r>
      <w:r>
        <w:rPr>
          <w:rFonts w:ascii="Times New Roman" w:hAnsi="Times New Roman" w:cs="Times New Roman"/>
          <w:sz w:val="24"/>
          <w:szCs w:val="24"/>
        </w:rPr>
        <w:t xml:space="preserve">quality </w:t>
      </w:r>
      <w:r w:rsidRPr="00487BC8">
        <w:rPr>
          <w:rFonts w:ascii="Times New Roman" w:hAnsi="Times New Roman" w:cs="Times New Roman"/>
          <w:sz w:val="24"/>
          <w:szCs w:val="24"/>
        </w:rPr>
        <w:t xml:space="preserve">indicators are </w:t>
      </w:r>
      <w:r w:rsidR="00B24DB4">
        <w:rPr>
          <w:rFonts w:ascii="Times New Roman" w:hAnsi="Times New Roman" w:cs="Times New Roman"/>
          <w:sz w:val="24"/>
          <w:szCs w:val="24"/>
        </w:rPr>
        <w:t xml:space="preserve">essentially </w:t>
      </w:r>
      <w:r w:rsidRPr="00487BC8">
        <w:rPr>
          <w:rFonts w:ascii="Times New Roman" w:hAnsi="Times New Roman" w:cs="Times New Roman"/>
          <w:sz w:val="24"/>
          <w:szCs w:val="24"/>
        </w:rPr>
        <w:t xml:space="preserve">classified into </w:t>
      </w:r>
      <w:r w:rsidR="00B24DB4">
        <w:rPr>
          <w:rFonts w:ascii="Times New Roman" w:hAnsi="Times New Roman" w:cs="Times New Roman"/>
          <w:sz w:val="24"/>
          <w:szCs w:val="24"/>
        </w:rPr>
        <w:t>3</w:t>
      </w:r>
      <w:r w:rsidRPr="00487BC8">
        <w:rPr>
          <w:rFonts w:ascii="Times New Roman" w:hAnsi="Times New Roman" w:cs="Times New Roman"/>
          <w:sz w:val="24"/>
          <w:szCs w:val="24"/>
        </w:rPr>
        <w:t xml:space="preserve"> modules: (1) Prevention Quality Indicators</w:t>
      </w:r>
      <w:r>
        <w:rPr>
          <w:rFonts w:ascii="Times New Roman" w:hAnsi="Times New Roman" w:cs="Times New Roman"/>
          <w:sz w:val="24"/>
          <w:szCs w:val="24"/>
        </w:rPr>
        <w:t xml:space="preserve"> (PQIs), </w:t>
      </w:r>
      <w:r w:rsidRPr="00487BC8">
        <w:rPr>
          <w:rFonts w:ascii="Times New Roman" w:hAnsi="Times New Roman" w:cs="Times New Roman"/>
          <w:sz w:val="24"/>
          <w:szCs w:val="24"/>
        </w:rPr>
        <w:t xml:space="preserve">identifying admissions that could have been avoided through access </w:t>
      </w:r>
      <w:r>
        <w:rPr>
          <w:rFonts w:ascii="Times New Roman" w:hAnsi="Times New Roman" w:cs="Times New Roman"/>
          <w:sz w:val="24"/>
          <w:szCs w:val="24"/>
        </w:rPr>
        <w:t>to high-quality outpatient care</w:t>
      </w:r>
      <w:r w:rsidRPr="00487BC8">
        <w:rPr>
          <w:rFonts w:ascii="Times New Roman" w:hAnsi="Times New Roman" w:cs="Times New Roman"/>
          <w:sz w:val="24"/>
          <w:szCs w:val="24"/>
        </w:rPr>
        <w:t>, (2) Inpatient Quality Indicators</w:t>
      </w:r>
      <w:r>
        <w:rPr>
          <w:rFonts w:ascii="Times New Roman" w:hAnsi="Times New Roman" w:cs="Times New Roman"/>
          <w:sz w:val="24"/>
          <w:szCs w:val="24"/>
        </w:rPr>
        <w:t xml:space="preserve"> (IQIs), </w:t>
      </w:r>
      <w:r w:rsidRPr="00487BC8">
        <w:rPr>
          <w:rFonts w:ascii="Times New Roman" w:hAnsi="Times New Roman" w:cs="Times New Roman"/>
          <w:sz w:val="24"/>
          <w:szCs w:val="24"/>
        </w:rPr>
        <w:t xml:space="preserve">reflecting </w:t>
      </w:r>
      <w:r w:rsidR="005D4FC8">
        <w:rPr>
          <w:rFonts w:ascii="Times New Roman" w:hAnsi="Times New Roman" w:cs="Times New Roman"/>
          <w:sz w:val="24"/>
          <w:szCs w:val="24"/>
        </w:rPr>
        <w:t xml:space="preserve">the </w:t>
      </w:r>
      <w:r w:rsidRPr="00487BC8">
        <w:rPr>
          <w:rFonts w:ascii="Times New Roman" w:hAnsi="Times New Roman" w:cs="Times New Roman"/>
          <w:sz w:val="24"/>
          <w:szCs w:val="24"/>
        </w:rPr>
        <w:t>quality of care inside hospitals including inpatient mortality for certain medi</w:t>
      </w:r>
      <w:r>
        <w:rPr>
          <w:rFonts w:ascii="Times New Roman" w:hAnsi="Times New Roman" w:cs="Times New Roman"/>
          <w:sz w:val="24"/>
          <w:szCs w:val="24"/>
        </w:rPr>
        <w:t>cal conditions</w:t>
      </w:r>
      <w:r w:rsidRPr="00487BC8">
        <w:rPr>
          <w:rFonts w:ascii="Times New Roman" w:hAnsi="Times New Roman" w:cs="Times New Roman"/>
          <w:sz w:val="24"/>
          <w:szCs w:val="24"/>
        </w:rPr>
        <w:t xml:space="preserve">, </w:t>
      </w:r>
      <w:r w:rsidR="00B24DB4">
        <w:rPr>
          <w:rFonts w:ascii="Times New Roman" w:hAnsi="Times New Roman" w:cs="Times New Roman"/>
          <w:sz w:val="24"/>
          <w:szCs w:val="24"/>
        </w:rPr>
        <w:t xml:space="preserve">and </w:t>
      </w:r>
      <w:r w:rsidRPr="00487BC8">
        <w:rPr>
          <w:rFonts w:ascii="Times New Roman" w:hAnsi="Times New Roman" w:cs="Times New Roman"/>
          <w:sz w:val="24"/>
          <w:szCs w:val="24"/>
        </w:rPr>
        <w:t>(3) Patient Safety Indicators</w:t>
      </w:r>
      <w:r>
        <w:rPr>
          <w:rFonts w:ascii="Times New Roman" w:hAnsi="Times New Roman" w:cs="Times New Roman"/>
          <w:sz w:val="24"/>
          <w:szCs w:val="24"/>
        </w:rPr>
        <w:t xml:space="preserve"> (PSIs), </w:t>
      </w:r>
      <w:r w:rsidRPr="00487BC8">
        <w:rPr>
          <w:rFonts w:ascii="Times New Roman" w:hAnsi="Times New Roman" w:cs="Times New Roman"/>
          <w:sz w:val="24"/>
          <w:szCs w:val="24"/>
        </w:rPr>
        <w:t>focusing on potentially avoidable comp</w:t>
      </w:r>
      <w:r>
        <w:rPr>
          <w:rFonts w:ascii="Times New Roman" w:hAnsi="Times New Roman" w:cs="Times New Roman"/>
          <w:sz w:val="24"/>
          <w:szCs w:val="24"/>
        </w:rPr>
        <w:t>lications during inpatient care.</w:t>
      </w:r>
    </w:p>
    <w:p w:rsidR="00BD4819" w:rsidRDefault="00BD4819" w:rsidP="00BD4819">
      <w:pPr>
        <w:rPr>
          <w:rFonts w:ascii="Times New Roman" w:hAnsi="Times New Roman" w:cs="Times New Roman"/>
          <w:sz w:val="24"/>
          <w:szCs w:val="24"/>
        </w:rPr>
      </w:pPr>
      <w:r w:rsidRPr="00487BC8">
        <w:rPr>
          <w:rFonts w:ascii="Times New Roman" w:hAnsi="Times New Roman" w:cs="Times New Roman"/>
          <w:sz w:val="24"/>
          <w:szCs w:val="24"/>
        </w:rPr>
        <w:t>For the purposes of th</w:t>
      </w:r>
      <w:r>
        <w:rPr>
          <w:rFonts w:ascii="Times New Roman" w:hAnsi="Times New Roman" w:cs="Times New Roman"/>
          <w:sz w:val="24"/>
          <w:szCs w:val="24"/>
        </w:rPr>
        <w:t xml:space="preserve">is </w:t>
      </w:r>
      <w:r w:rsidRPr="00487BC8">
        <w:rPr>
          <w:rFonts w:ascii="Times New Roman" w:hAnsi="Times New Roman" w:cs="Times New Roman"/>
          <w:sz w:val="24"/>
          <w:szCs w:val="24"/>
        </w:rPr>
        <w:t xml:space="preserve">analysis, </w:t>
      </w:r>
      <w:r w:rsidR="00B24DB4">
        <w:rPr>
          <w:rFonts w:ascii="Times New Roman" w:hAnsi="Times New Roman" w:cs="Times New Roman"/>
          <w:sz w:val="24"/>
          <w:szCs w:val="24"/>
        </w:rPr>
        <w:t xml:space="preserve">we attempt to construct quality metrics that are meant to cover each of these three domains.   </w:t>
      </w:r>
    </w:p>
    <w:p w:rsidR="00BD4819" w:rsidRPr="00487BC8" w:rsidRDefault="00BD4819" w:rsidP="00BD4819">
      <w:pPr>
        <w:rPr>
          <w:rFonts w:ascii="Times New Roman" w:hAnsi="Times New Roman" w:cs="Times New Roman"/>
          <w:sz w:val="24"/>
          <w:szCs w:val="24"/>
        </w:rPr>
      </w:pPr>
      <w:proofErr w:type="gramStart"/>
      <w:r>
        <w:rPr>
          <w:rFonts w:ascii="Times New Roman" w:hAnsi="Times New Roman" w:cs="Times New Roman"/>
          <w:i/>
          <w:sz w:val="24"/>
          <w:szCs w:val="24"/>
        </w:rPr>
        <w:t>A</w:t>
      </w:r>
      <w:r w:rsidRPr="00487BC8">
        <w:rPr>
          <w:rFonts w:ascii="Times New Roman" w:hAnsi="Times New Roman" w:cs="Times New Roman"/>
          <w:i/>
          <w:sz w:val="24"/>
          <w:szCs w:val="24"/>
        </w:rPr>
        <w:t>voidable hospitalizations</w:t>
      </w:r>
      <w:r w:rsidRPr="00487BC8">
        <w:rPr>
          <w:rFonts w:ascii="Times New Roman" w:hAnsi="Times New Roman" w:cs="Times New Roman"/>
          <w:sz w:val="24"/>
          <w:szCs w:val="24"/>
        </w:rPr>
        <w:t>.</w:t>
      </w:r>
      <w:proofErr w:type="gramEnd"/>
      <w:r w:rsidRPr="00487BC8">
        <w:rPr>
          <w:rFonts w:ascii="Times New Roman" w:hAnsi="Times New Roman" w:cs="Times New Roman"/>
          <w:sz w:val="24"/>
          <w:szCs w:val="24"/>
        </w:rPr>
        <w:t xml:space="preserve">   </w:t>
      </w:r>
      <w:r>
        <w:rPr>
          <w:rFonts w:ascii="Times New Roman" w:hAnsi="Times New Roman" w:cs="Times New Roman"/>
          <w:sz w:val="24"/>
          <w:szCs w:val="24"/>
        </w:rPr>
        <w:t xml:space="preserve">First, </w:t>
      </w:r>
      <w:r w:rsidR="009436B8">
        <w:rPr>
          <w:rFonts w:ascii="Times New Roman" w:hAnsi="Times New Roman" w:cs="Times New Roman"/>
          <w:sz w:val="24"/>
          <w:szCs w:val="24"/>
        </w:rPr>
        <w:t>we</w:t>
      </w:r>
      <w:r>
        <w:rPr>
          <w:rFonts w:ascii="Times New Roman" w:hAnsi="Times New Roman" w:cs="Times New Roman"/>
          <w:sz w:val="24"/>
          <w:szCs w:val="24"/>
        </w:rPr>
        <w:t xml:space="preserve"> calculate a </w:t>
      </w:r>
      <w:r w:rsidRPr="00487BC8">
        <w:rPr>
          <w:rFonts w:ascii="Times New Roman" w:hAnsi="Times New Roman" w:cs="Times New Roman"/>
          <w:sz w:val="24"/>
          <w:szCs w:val="24"/>
        </w:rPr>
        <w:t xml:space="preserve">rate of avoidable hospitalizations </w:t>
      </w:r>
      <w:r>
        <w:rPr>
          <w:rFonts w:ascii="Times New Roman" w:hAnsi="Times New Roman" w:cs="Times New Roman"/>
          <w:sz w:val="24"/>
          <w:szCs w:val="24"/>
        </w:rPr>
        <w:t xml:space="preserve">(AH) </w:t>
      </w:r>
      <w:r w:rsidRPr="00487BC8">
        <w:rPr>
          <w:rFonts w:ascii="Times New Roman" w:hAnsi="Times New Roman" w:cs="Times New Roman"/>
          <w:sz w:val="24"/>
          <w:szCs w:val="24"/>
        </w:rPr>
        <w:t>within each state-year cell, a measure inspired by the AHRQ’s PQIs.  A</w:t>
      </w:r>
      <w:r>
        <w:rPr>
          <w:rFonts w:ascii="Times New Roman" w:hAnsi="Times New Roman" w:cs="Times New Roman"/>
          <w:sz w:val="24"/>
          <w:szCs w:val="24"/>
        </w:rPr>
        <w:t xml:space="preserve">H </w:t>
      </w:r>
      <w:r w:rsidRPr="00487BC8">
        <w:rPr>
          <w:rFonts w:ascii="Times New Roman" w:hAnsi="Times New Roman" w:cs="Times New Roman"/>
          <w:sz w:val="24"/>
          <w:szCs w:val="24"/>
        </w:rPr>
        <w:t>rates</w:t>
      </w:r>
      <w:r w:rsidR="005D4FC8">
        <w:rPr>
          <w:rFonts w:ascii="Times New Roman" w:hAnsi="Times New Roman" w:cs="Times New Roman"/>
          <w:sz w:val="24"/>
          <w:szCs w:val="24"/>
        </w:rPr>
        <w:t xml:space="preserve">, generally, and the PQIs, specifically, </w:t>
      </w:r>
      <w:r w:rsidRPr="00487BC8">
        <w:rPr>
          <w:rFonts w:ascii="Times New Roman" w:hAnsi="Times New Roman" w:cs="Times New Roman"/>
          <w:sz w:val="24"/>
          <w:szCs w:val="24"/>
        </w:rPr>
        <w:t xml:space="preserve">are measures that are constructed using inpatient data, though meant to reflect the quality of care prevailing in the associated outpatient / ambulatory community.  Such measures identify conditions </w:t>
      </w:r>
      <w:r>
        <w:rPr>
          <w:rFonts w:ascii="Times New Roman" w:hAnsi="Times New Roman" w:cs="Times New Roman"/>
          <w:sz w:val="24"/>
          <w:szCs w:val="24"/>
        </w:rPr>
        <w:t xml:space="preserve">(e.g., asthma, diabetes, malignant hypertension, etc.) </w:t>
      </w:r>
      <w:r w:rsidRPr="00487BC8">
        <w:rPr>
          <w:rFonts w:ascii="Times New Roman" w:hAnsi="Times New Roman" w:cs="Times New Roman"/>
          <w:sz w:val="24"/>
          <w:szCs w:val="24"/>
        </w:rPr>
        <w:t xml:space="preserve">with respect to which proper outpatient care would have prevented the need for hospitalization.  </w:t>
      </w:r>
      <w:r>
        <w:rPr>
          <w:rFonts w:ascii="Times New Roman" w:hAnsi="Times New Roman" w:cs="Times New Roman"/>
          <w:sz w:val="24"/>
          <w:szCs w:val="24"/>
        </w:rPr>
        <w:t>According to the AHRQ, their P</w:t>
      </w:r>
      <w:r w:rsidRPr="00487BC8">
        <w:rPr>
          <w:rFonts w:ascii="Times New Roman" w:hAnsi="Times New Roman" w:cs="Times New Roman"/>
          <w:sz w:val="24"/>
          <w:szCs w:val="24"/>
        </w:rPr>
        <w:t xml:space="preserve">QIs grew out of research in the early 1990s by Joel </w:t>
      </w:r>
      <w:proofErr w:type="spellStart"/>
      <w:r w:rsidRPr="00487BC8">
        <w:rPr>
          <w:rFonts w:ascii="Times New Roman" w:hAnsi="Times New Roman" w:cs="Times New Roman"/>
          <w:sz w:val="24"/>
          <w:szCs w:val="24"/>
        </w:rPr>
        <w:t>Weissman</w:t>
      </w:r>
      <w:proofErr w:type="spellEnd"/>
      <w:r w:rsidRPr="00487BC8">
        <w:rPr>
          <w:rFonts w:ascii="Times New Roman" w:hAnsi="Times New Roman" w:cs="Times New Roman"/>
          <w:sz w:val="24"/>
          <w:szCs w:val="24"/>
        </w:rPr>
        <w:t xml:space="preserve"> and colleagues</w:t>
      </w:r>
      <w:r>
        <w:rPr>
          <w:rFonts w:ascii="Times New Roman" w:hAnsi="Times New Roman" w:cs="Times New Roman"/>
          <w:sz w:val="24"/>
          <w:szCs w:val="24"/>
        </w:rPr>
        <w:t>.</w:t>
      </w:r>
      <w:r w:rsidRPr="00487BC8">
        <w:rPr>
          <w:rStyle w:val="FootnoteReference"/>
          <w:rFonts w:ascii="Times New Roman" w:hAnsi="Times New Roman" w:cs="Times New Roman"/>
          <w:sz w:val="24"/>
          <w:szCs w:val="24"/>
        </w:rPr>
        <w:footnoteReference w:id="7"/>
      </w:r>
      <w:r w:rsidRPr="00487BC8">
        <w:rPr>
          <w:rFonts w:ascii="Times New Roman" w:hAnsi="Times New Roman" w:cs="Times New Roman"/>
          <w:sz w:val="24"/>
          <w:szCs w:val="24"/>
        </w:rPr>
        <w:t xml:space="preserve">  The </w:t>
      </w:r>
      <w:proofErr w:type="spellStart"/>
      <w:r w:rsidRPr="00487BC8">
        <w:rPr>
          <w:rFonts w:ascii="Times New Roman" w:hAnsi="Times New Roman" w:cs="Times New Roman"/>
          <w:sz w:val="24"/>
          <w:szCs w:val="24"/>
        </w:rPr>
        <w:t>Weissman</w:t>
      </w:r>
      <w:proofErr w:type="spellEnd"/>
      <w:r w:rsidRPr="00487BC8">
        <w:rPr>
          <w:rFonts w:ascii="Times New Roman" w:hAnsi="Times New Roman" w:cs="Times New Roman"/>
          <w:sz w:val="24"/>
          <w:szCs w:val="24"/>
        </w:rPr>
        <w:t xml:space="preserve"> et al.</w:t>
      </w:r>
      <w:r>
        <w:rPr>
          <w:rFonts w:ascii="Times New Roman" w:hAnsi="Times New Roman" w:cs="Times New Roman"/>
          <w:sz w:val="24"/>
          <w:szCs w:val="24"/>
        </w:rPr>
        <w:t xml:space="preserve"> (1992)</w:t>
      </w:r>
      <w:r w:rsidRPr="00487BC8">
        <w:rPr>
          <w:rFonts w:ascii="Times New Roman" w:hAnsi="Times New Roman" w:cs="Times New Roman"/>
          <w:sz w:val="24"/>
          <w:szCs w:val="24"/>
        </w:rPr>
        <w:t xml:space="preserve"> </w:t>
      </w:r>
      <w:r>
        <w:rPr>
          <w:rFonts w:ascii="Times New Roman" w:hAnsi="Times New Roman" w:cs="Times New Roman"/>
          <w:sz w:val="24"/>
          <w:szCs w:val="24"/>
        </w:rPr>
        <w:t xml:space="preserve">AH </w:t>
      </w:r>
      <w:r w:rsidRPr="00487BC8">
        <w:rPr>
          <w:rFonts w:ascii="Times New Roman" w:hAnsi="Times New Roman" w:cs="Times New Roman"/>
          <w:sz w:val="24"/>
          <w:szCs w:val="24"/>
        </w:rPr>
        <w:t xml:space="preserve">classification scheme is designed in slightly more general terms </w:t>
      </w:r>
      <w:r w:rsidRPr="00487BC8">
        <w:rPr>
          <w:rFonts w:ascii="Times New Roman" w:hAnsi="Times New Roman" w:cs="Times New Roman"/>
          <w:sz w:val="24"/>
          <w:szCs w:val="24"/>
        </w:rPr>
        <w:lastRenderedPageBreak/>
        <w:t xml:space="preserve">than the PQIs and thus arguably lends itself to easier codification using a set of NHDS records that </w:t>
      </w:r>
      <w:r>
        <w:rPr>
          <w:rFonts w:ascii="Times New Roman" w:hAnsi="Times New Roman" w:cs="Times New Roman"/>
          <w:sz w:val="24"/>
          <w:szCs w:val="24"/>
        </w:rPr>
        <w:t>span several decades</w:t>
      </w:r>
      <w:r w:rsidRPr="00487BC8">
        <w:rPr>
          <w:rFonts w:ascii="Times New Roman" w:hAnsi="Times New Roman" w:cs="Times New Roman"/>
          <w:sz w:val="24"/>
          <w:szCs w:val="24"/>
        </w:rPr>
        <w:t xml:space="preserve"> (considering the complexity associated with tracking variations in ICD classifications over time).</w:t>
      </w:r>
      <w:r>
        <w:rPr>
          <w:rStyle w:val="FootnoteReference"/>
          <w:rFonts w:ascii="Times New Roman" w:hAnsi="Times New Roman" w:cs="Times New Roman"/>
          <w:sz w:val="24"/>
          <w:szCs w:val="24"/>
        </w:rPr>
        <w:footnoteReference w:id="8"/>
      </w:r>
      <w:r w:rsidRPr="00487BC8">
        <w:rPr>
          <w:rFonts w:ascii="Times New Roman" w:hAnsi="Times New Roman" w:cs="Times New Roman"/>
          <w:sz w:val="24"/>
          <w:szCs w:val="24"/>
        </w:rPr>
        <w:t xml:space="preserve">  For this reason, and in light of the fact that Weismann et al. developed their </w:t>
      </w:r>
      <w:r>
        <w:rPr>
          <w:rFonts w:ascii="Times New Roman" w:hAnsi="Times New Roman" w:cs="Times New Roman"/>
          <w:sz w:val="24"/>
          <w:szCs w:val="24"/>
        </w:rPr>
        <w:t xml:space="preserve">classification </w:t>
      </w:r>
      <w:r w:rsidRPr="00487BC8">
        <w:rPr>
          <w:rFonts w:ascii="Times New Roman" w:hAnsi="Times New Roman" w:cs="Times New Roman"/>
          <w:sz w:val="24"/>
          <w:szCs w:val="24"/>
        </w:rPr>
        <w:t>during the middle of the period in which the NCHS sampled physicians to compile the NHDS</w:t>
      </w:r>
      <w:r>
        <w:rPr>
          <w:rFonts w:ascii="Times New Roman" w:hAnsi="Times New Roman" w:cs="Times New Roman"/>
          <w:sz w:val="24"/>
          <w:szCs w:val="24"/>
        </w:rPr>
        <w:t xml:space="preserve"> (unlike </w:t>
      </w:r>
      <w:r w:rsidRPr="00487BC8">
        <w:rPr>
          <w:rFonts w:ascii="Times New Roman" w:hAnsi="Times New Roman" w:cs="Times New Roman"/>
          <w:sz w:val="24"/>
          <w:szCs w:val="24"/>
        </w:rPr>
        <w:t xml:space="preserve">the </w:t>
      </w:r>
      <w:r>
        <w:rPr>
          <w:rFonts w:ascii="Times New Roman" w:hAnsi="Times New Roman" w:cs="Times New Roman"/>
          <w:sz w:val="24"/>
          <w:szCs w:val="24"/>
        </w:rPr>
        <w:t xml:space="preserve">PQIs, which came later), </w:t>
      </w:r>
      <w:r w:rsidR="002D7350">
        <w:rPr>
          <w:rFonts w:ascii="Times New Roman" w:hAnsi="Times New Roman" w:cs="Times New Roman"/>
          <w:sz w:val="24"/>
          <w:szCs w:val="24"/>
        </w:rPr>
        <w:t>we</w:t>
      </w:r>
      <w:r w:rsidRPr="00487BC8">
        <w:rPr>
          <w:rFonts w:ascii="Times New Roman" w:hAnsi="Times New Roman" w:cs="Times New Roman"/>
          <w:sz w:val="24"/>
          <w:szCs w:val="24"/>
        </w:rPr>
        <w:t xml:space="preserve"> elect to construct an </w:t>
      </w:r>
      <w:r>
        <w:rPr>
          <w:rFonts w:ascii="Times New Roman" w:hAnsi="Times New Roman" w:cs="Times New Roman"/>
          <w:sz w:val="24"/>
          <w:szCs w:val="24"/>
        </w:rPr>
        <w:t xml:space="preserve">AH </w:t>
      </w:r>
      <w:r w:rsidRPr="00487BC8">
        <w:rPr>
          <w:rFonts w:ascii="Times New Roman" w:hAnsi="Times New Roman" w:cs="Times New Roman"/>
          <w:sz w:val="24"/>
          <w:szCs w:val="24"/>
        </w:rPr>
        <w:t xml:space="preserve">rate for this analysis using the </w:t>
      </w:r>
      <w:proofErr w:type="spellStart"/>
      <w:r w:rsidRPr="00487BC8">
        <w:rPr>
          <w:rFonts w:ascii="Times New Roman" w:hAnsi="Times New Roman" w:cs="Times New Roman"/>
          <w:sz w:val="24"/>
          <w:szCs w:val="24"/>
        </w:rPr>
        <w:t>Weissman</w:t>
      </w:r>
      <w:proofErr w:type="spellEnd"/>
      <w:r w:rsidRPr="00487BC8">
        <w:rPr>
          <w:rFonts w:ascii="Times New Roman" w:hAnsi="Times New Roman" w:cs="Times New Roman"/>
          <w:sz w:val="24"/>
          <w:szCs w:val="24"/>
        </w:rPr>
        <w:t xml:space="preserve"> et al. classification.  </w:t>
      </w:r>
    </w:p>
    <w:p w:rsidR="00BD4819" w:rsidRPr="00487BC8" w:rsidRDefault="00BD4819" w:rsidP="00BD4819">
      <w:pPr>
        <w:rPr>
          <w:rFonts w:ascii="Times New Roman" w:hAnsi="Times New Roman" w:cs="Times New Roman"/>
          <w:sz w:val="24"/>
          <w:szCs w:val="24"/>
        </w:rPr>
      </w:pPr>
      <w:r w:rsidRPr="00487BC8">
        <w:rPr>
          <w:rFonts w:ascii="Times New Roman" w:hAnsi="Times New Roman" w:cs="Times New Roman"/>
          <w:sz w:val="24"/>
          <w:szCs w:val="24"/>
        </w:rPr>
        <w:t xml:space="preserve">To calculate avoidable hospitalization rates for each state and year in the sample, </w:t>
      </w:r>
      <w:r w:rsidR="002D7350">
        <w:rPr>
          <w:rFonts w:ascii="Times New Roman" w:hAnsi="Times New Roman" w:cs="Times New Roman"/>
          <w:sz w:val="24"/>
          <w:szCs w:val="24"/>
        </w:rPr>
        <w:t>we</w:t>
      </w:r>
      <w:r w:rsidRPr="00487BC8">
        <w:rPr>
          <w:rFonts w:ascii="Times New Roman" w:hAnsi="Times New Roman" w:cs="Times New Roman"/>
          <w:sz w:val="24"/>
          <w:szCs w:val="24"/>
        </w:rPr>
        <w:t xml:space="preserve"> first count the number of hospitalizations within the NHDS records for that state-year cell in which </w:t>
      </w:r>
      <w:r>
        <w:rPr>
          <w:rFonts w:ascii="Times New Roman" w:hAnsi="Times New Roman" w:cs="Times New Roman"/>
          <w:sz w:val="24"/>
          <w:szCs w:val="24"/>
        </w:rPr>
        <w:t xml:space="preserve">a diagnosis is indicated for any of the conditions included in the </w:t>
      </w:r>
      <w:proofErr w:type="spellStart"/>
      <w:r>
        <w:rPr>
          <w:rFonts w:ascii="Times New Roman" w:hAnsi="Times New Roman" w:cs="Times New Roman"/>
          <w:sz w:val="24"/>
          <w:szCs w:val="24"/>
        </w:rPr>
        <w:t>Weissman</w:t>
      </w:r>
      <w:proofErr w:type="spellEnd"/>
      <w:r>
        <w:rPr>
          <w:rFonts w:ascii="Times New Roman" w:hAnsi="Times New Roman" w:cs="Times New Roman"/>
          <w:sz w:val="24"/>
          <w:szCs w:val="24"/>
        </w:rPr>
        <w:t xml:space="preserve"> et al. (1992) classification.  </w:t>
      </w:r>
      <w:r w:rsidR="002D7350">
        <w:rPr>
          <w:rFonts w:ascii="Times New Roman" w:hAnsi="Times New Roman" w:cs="Times New Roman"/>
          <w:sz w:val="24"/>
          <w:szCs w:val="24"/>
        </w:rPr>
        <w:t>We</w:t>
      </w:r>
      <w:r w:rsidRPr="00487BC8">
        <w:rPr>
          <w:rFonts w:ascii="Times New Roman" w:hAnsi="Times New Roman" w:cs="Times New Roman"/>
          <w:sz w:val="24"/>
          <w:szCs w:val="24"/>
        </w:rPr>
        <w:t xml:space="preserve"> perform such counts under two alternative approaches: one in which the conditions are identified in any one of the indicated diagnosis codes and one in which the conditions are identified in the primary diagnosis code only</w:t>
      </w:r>
      <w:r w:rsidR="002D7350">
        <w:rPr>
          <w:rFonts w:ascii="Times New Roman" w:hAnsi="Times New Roman" w:cs="Times New Roman"/>
          <w:sz w:val="24"/>
          <w:szCs w:val="24"/>
        </w:rPr>
        <w:t xml:space="preserve"> (the preferred approach that we take)</w:t>
      </w:r>
      <w:r w:rsidRPr="00487BC8">
        <w:rPr>
          <w:rFonts w:ascii="Times New Roman" w:hAnsi="Times New Roman" w:cs="Times New Roman"/>
          <w:sz w:val="24"/>
          <w:szCs w:val="24"/>
        </w:rPr>
        <w:t xml:space="preserve">.  </w:t>
      </w:r>
      <w:r>
        <w:rPr>
          <w:rFonts w:ascii="Times New Roman" w:hAnsi="Times New Roman" w:cs="Times New Roman"/>
          <w:sz w:val="24"/>
          <w:szCs w:val="24"/>
        </w:rPr>
        <w:t xml:space="preserve">To form the relevant rate, </w:t>
      </w:r>
      <w:r w:rsidRPr="00487BC8">
        <w:rPr>
          <w:rFonts w:ascii="Times New Roman" w:hAnsi="Times New Roman" w:cs="Times New Roman"/>
          <w:sz w:val="24"/>
          <w:szCs w:val="24"/>
        </w:rPr>
        <w:t xml:space="preserve">it is of course necessary to normalize these </w:t>
      </w:r>
      <w:r>
        <w:rPr>
          <w:rFonts w:ascii="Times New Roman" w:hAnsi="Times New Roman" w:cs="Times New Roman"/>
          <w:sz w:val="24"/>
          <w:szCs w:val="24"/>
        </w:rPr>
        <w:t xml:space="preserve">AH </w:t>
      </w:r>
      <w:r w:rsidRPr="00487BC8">
        <w:rPr>
          <w:rFonts w:ascii="Times New Roman" w:hAnsi="Times New Roman" w:cs="Times New Roman"/>
          <w:sz w:val="24"/>
          <w:szCs w:val="24"/>
        </w:rPr>
        <w:t>counts in some manner.  Following Frakes (201</w:t>
      </w:r>
      <w:r w:rsidR="00DA30CD">
        <w:rPr>
          <w:rFonts w:ascii="Times New Roman" w:hAnsi="Times New Roman" w:cs="Times New Roman"/>
          <w:sz w:val="24"/>
          <w:szCs w:val="24"/>
        </w:rPr>
        <w:t>3</w:t>
      </w:r>
      <w:r w:rsidRPr="00487BC8">
        <w:rPr>
          <w:rFonts w:ascii="Times New Roman" w:hAnsi="Times New Roman" w:cs="Times New Roman"/>
          <w:sz w:val="24"/>
          <w:szCs w:val="24"/>
        </w:rPr>
        <w:t>),</w:t>
      </w:r>
      <w:r w:rsidR="00DA30CD">
        <w:rPr>
          <w:rFonts w:ascii="Times New Roman" w:hAnsi="Times New Roman" w:cs="Times New Roman"/>
          <w:sz w:val="24"/>
          <w:szCs w:val="24"/>
        </w:rPr>
        <w:t xml:space="preserve"> we </w:t>
      </w:r>
      <w:r w:rsidRPr="00487BC8">
        <w:rPr>
          <w:rFonts w:ascii="Times New Roman" w:hAnsi="Times New Roman" w:cs="Times New Roman"/>
          <w:sz w:val="24"/>
          <w:szCs w:val="24"/>
        </w:rPr>
        <w:t xml:space="preserve">elect to use measures internal to the NHDS records to form the relevant denominator for each state-year </w:t>
      </w:r>
      <w:r>
        <w:rPr>
          <w:rFonts w:ascii="Times New Roman" w:hAnsi="Times New Roman" w:cs="Times New Roman"/>
          <w:sz w:val="24"/>
          <w:szCs w:val="24"/>
        </w:rPr>
        <w:t xml:space="preserve">AH </w:t>
      </w:r>
      <w:r w:rsidRPr="00487BC8">
        <w:rPr>
          <w:rFonts w:ascii="Times New Roman" w:hAnsi="Times New Roman" w:cs="Times New Roman"/>
          <w:sz w:val="24"/>
          <w:szCs w:val="24"/>
        </w:rPr>
        <w:t>rate, taking several alternative approaches to this normalization.</w:t>
      </w:r>
      <w:r w:rsidRPr="00487BC8">
        <w:rPr>
          <w:rStyle w:val="FootnoteReference"/>
          <w:rFonts w:ascii="Times New Roman" w:hAnsi="Times New Roman" w:cs="Times New Roman"/>
          <w:sz w:val="24"/>
          <w:szCs w:val="24"/>
        </w:rPr>
        <w:footnoteReference w:id="9"/>
      </w:r>
      <w:r w:rsidRPr="00487BC8">
        <w:rPr>
          <w:rFonts w:ascii="Times New Roman" w:hAnsi="Times New Roman" w:cs="Times New Roman"/>
          <w:sz w:val="24"/>
          <w:szCs w:val="24"/>
        </w:rPr>
        <w:t xml:space="preserve">  </w:t>
      </w:r>
      <w:r>
        <w:rPr>
          <w:rFonts w:ascii="Times New Roman" w:hAnsi="Times New Roman" w:cs="Times New Roman"/>
          <w:sz w:val="24"/>
          <w:szCs w:val="24"/>
        </w:rPr>
        <w:t xml:space="preserve">In one approach, for example, </w:t>
      </w:r>
      <w:r w:rsidR="008D6663">
        <w:rPr>
          <w:rFonts w:ascii="Times New Roman" w:hAnsi="Times New Roman" w:cs="Times New Roman"/>
          <w:sz w:val="24"/>
          <w:szCs w:val="24"/>
        </w:rPr>
        <w:t>we</w:t>
      </w:r>
      <w:r w:rsidRPr="00487BC8">
        <w:rPr>
          <w:rFonts w:ascii="Times New Roman" w:hAnsi="Times New Roman" w:cs="Times New Roman"/>
          <w:sz w:val="24"/>
          <w:szCs w:val="24"/>
        </w:rPr>
        <w:t xml:space="preserve"> normalize each AH count by the number of hospitalizations associated with the delivery of a child </w:t>
      </w:r>
      <w:r>
        <w:rPr>
          <w:rFonts w:ascii="Times New Roman" w:hAnsi="Times New Roman" w:cs="Times New Roman"/>
          <w:sz w:val="24"/>
          <w:szCs w:val="24"/>
        </w:rPr>
        <w:t xml:space="preserve">found </w:t>
      </w:r>
      <w:r w:rsidRPr="00487BC8">
        <w:rPr>
          <w:rFonts w:ascii="Times New Roman" w:hAnsi="Times New Roman" w:cs="Times New Roman"/>
          <w:sz w:val="24"/>
          <w:szCs w:val="24"/>
        </w:rPr>
        <w:t xml:space="preserve">in the NHDS records for the relevant state and year.  This approach allows for a scaling of the AH count by a measure reflective of the size of the associated state-year sample, while also offering a denominator that is itself not likely to be significantly impacted by the prevailing malpractice environment (allowing for a focus on the influence of malpractice on the AH count comprising the numerator, our margin of interest).  </w:t>
      </w:r>
    </w:p>
    <w:p w:rsidR="00BD4819" w:rsidRDefault="00BD4819" w:rsidP="00BD4819">
      <w:pPr>
        <w:rPr>
          <w:rFonts w:ascii="Times New Roman" w:hAnsi="Times New Roman" w:cs="Times New Roman"/>
          <w:sz w:val="24"/>
          <w:szCs w:val="24"/>
        </w:rPr>
      </w:pPr>
      <w:r>
        <w:rPr>
          <w:rFonts w:ascii="Times New Roman" w:hAnsi="Times New Roman" w:cs="Times New Roman"/>
          <w:sz w:val="24"/>
          <w:szCs w:val="24"/>
        </w:rPr>
        <w:t xml:space="preserve">Primarily, however, </w:t>
      </w:r>
      <w:r w:rsidRPr="00487BC8">
        <w:rPr>
          <w:rFonts w:ascii="Times New Roman" w:hAnsi="Times New Roman" w:cs="Times New Roman"/>
          <w:sz w:val="24"/>
          <w:szCs w:val="24"/>
        </w:rPr>
        <w:t>based on the same premise as the delivery approach and following Frakes (201</w:t>
      </w:r>
      <w:r w:rsidR="008D6663">
        <w:rPr>
          <w:rFonts w:ascii="Times New Roman" w:hAnsi="Times New Roman" w:cs="Times New Roman"/>
          <w:sz w:val="24"/>
          <w:szCs w:val="24"/>
        </w:rPr>
        <w:t>3</w:t>
      </w:r>
      <w:r w:rsidRPr="00487BC8">
        <w:rPr>
          <w:rFonts w:ascii="Times New Roman" w:hAnsi="Times New Roman" w:cs="Times New Roman"/>
          <w:sz w:val="24"/>
          <w:szCs w:val="24"/>
        </w:rPr>
        <w:t xml:space="preserve">), </w:t>
      </w:r>
      <w:r w:rsidR="008D6663">
        <w:rPr>
          <w:rFonts w:ascii="Times New Roman" w:hAnsi="Times New Roman" w:cs="Times New Roman"/>
          <w:sz w:val="24"/>
          <w:szCs w:val="24"/>
        </w:rPr>
        <w:t>we</w:t>
      </w:r>
      <w:r w:rsidRPr="00487BC8">
        <w:rPr>
          <w:rFonts w:ascii="Times New Roman" w:hAnsi="Times New Roman" w:cs="Times New Roman"/>
          <w:sz w:val="24"/>
          <w:szCs w:val="24"/>
        </w:rPr>
        <w:t xml:space="preserve"> normalize each state-year AH count by an index of hospitalizations equal to the count of admissions associated with any of the following conditions and events: (1) acute myocardial infarction, (2) stroke, (3) gastro-intestinal bleeding or (4) hip f</w:t>
      </w:r>
      <w:r>
        <w:rPr>
          <w:rFonts w:ascii="Times New Roman" w:hAnsi="Times New Roman" w:cs="Times New Roman"/>
          <w:sz w:val="24"/>
          <w:szCs w:val="24"/>
        </w:rPr>
        <w:t>r</w:t>
      </w:r>
      <w:r w:rsidRPr="00487BC8">
        <w:rPr>
          <w:rFonts w:ascii="Times New Roman" w:hAnsi="Times New Roman" w:cs="Times New Roman"/>
          <w:sz w:val="24"/>
          <w:szCs w:val="24"/>
        </w:rPr>
        <w:t xml:space="preserve">acture.  Such events represent situations characterized by relatively little variation across regions (see, for example, </w:t>
      </w:r>
      <w:proofErr w:type="spellStart"/>
      <w:r>
        <w:rPr>
          <w:rFonts w:ascii="Times New Roman" w:hAnsi="Times New Roman" w:cs="Times New Roman"/>
          <w:sz w:val="24"/>
          <w:szCs w:val="24"/>
        </w:rPr>
        <w:t>Wennberg</w:t>
      </w:r>
      <w:proofErr w:type="spellEnd"/>
      <w:r>
        <w:rPr>
          <w:rFonts w:ascii="Times New Roman" w:hAnsi="Times New Roman" w:cs="Times New Roman"/>
          <w:sz w:val="24"/>
          <w:szCs w:val="24"/>
        </w:rPr>
        <w:t xml:space="preserve"> 1984 and </w:t>
      </w:r>
      <w:proofErr w:type="spellStart"/>
      <w:r>
        <w:rPr>
          <w:rFonts w:ascii="Times New Roman" w:hAnsi="Times New Roman" w:cs="Times New Roman"/>
          <w:sz w:val="24"/>
          <w:szCs w:val="24"/>
        </w:rPr>
        <w:t>Wennberg</w:t>
      </w:r>
      <w:proofErr w:type="spellEnd"/>
      <w:r>
        <w:rPr>
          <w:rFonts w:ascii="Times New Roman" w:hAnsi="Times New Roman" w:cs="Times New Roman"/>
          <w:sz w:val="24"/>
          <w:szCs w:val="24"/>
        </w:rPr>
        <w:t xml:space="preserve"> and Cooper 1999</w:t>
      </w:r>
      <w:r w:rsidRPr="00487BC8">
        <w:rPr>
          <w:rFonts w:ascii="Times New Roman" w:hAnsi="Times New Roman" w:cs="Times New Roman"/>
          <w:sz w:val="24"/>
          <w:szCs w:val="24"/>
        </w:rPr>
        <w:t>), even in the face of environments that impose varying legal and financial incentives (</w:t>
      </w:r>
      <w:r>
        <w:rPr>
          <w:rFonts w:ascii="Times New Roman" w:hAnsi="Times New Roman" w:cs="Times New Roman"/>
          <w:sz w:val="24"/>
          <w:szCs w:val="24"/>
        </w:rPr>
        <w:t xml:space="preserve">i.e., </w:t>
      </w:r>
      <w:r w:rsidRPr="00487BC8">
        <w:rPr>
          <w:rFonts w:ascii="Times New Roman" w:hAnsi="Times New Roman" w:cs="Times New Roman"/>
          <w:sz w:val="24"/>
          <w:szCs w:val="24"/>
        </w:rPr>
        <w:t xml:space="preserve">where such hospitalizations are better seen as proxies for the underlying disease environment, as opposed to reflections of immediate healthcare utilization </w:t>
      </w:r>
      <w:r w:rsidRPr="00487BC8">
        <w:rPr>
          <w:rFonts w:ascii="Times New Roman" w:hAnsi="Times New Roman" w:cs="Times New Roman"/>
          <w:sz w:val="24"/>
          <w:szCs w:val="24"/>
        </w:rPr>
        <w:lastRenderedPageBreak/>
        <w:t xml:space="preserve">decisions).  As such, this index likewise affords an appropriate scaling of the numerator count with arguably </w:t>
      </w:r>
      <w:r>
        <w:rPr>
          <w:rFonts w:ascii="Times New Roman" w:hAnsi="Times New Roman" w:cs="Times New Roman"/>
          <w:sz w:val="24"/>
          <w:szCs w:val="24"/>
        </w:rPr>
        <w:t>little</w:t>
      </w:r>
      <w:r w:rsidRPr="00487BC8">
        <w:rPr>
          <w:rFonts w:ascii="Times New Roman" w:hAnsi="Times New Roman" w:cs="Times New Roman"/>
          <w:sz w:val="24"/>
          <w:szCs w:val="24"/>
        </w:rPr>
        <w:t xml:space="preserve"> concern over the malpractice environment imp</w:t>
      </w:r>
      <w:r>
        <w:rPr>
          <w:rFonts w:ascii="Times New Roman" w:hAnsi="Times New Roman" w:cs="Times New Roman"/>
          <w:sz w:val="24"/>
          <w:szCs w:val="24"/>
        </w:rPr>
        <w:t>acting the scaling metric</w:t>
      </w:r>
      <w:r w:rsidRPr="00487BC8">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In yet another alternative approach, </w:t>
      </w:r>
      <w:r w:rsidR="008D6663">
        <w:rPr>
          <w:rFonts w:ascii="Times New Roman" w:hAnsi="Times New Roman" w:cs="Times New Roman"/>
          <w:sz w:val="24"/>
          <w:szCs w:val="24"/>
        </w:rPr>
        <w:t>we</w:t>
      </w:r>
      <w:r>
        <w:rPr>
          <w:rFonts w:ascii="Times New Roman" w:hAnsi="Times New Roman" w:cs="Times New Roman"/>
          <w:sz w:val="24"/>
          <w:szCs w:val="24"/>
        </w:rPr>
        <w:t xml:space="preserve"> simply normalize by the count of acute myocardial infarction discharges (primary diagnosis only) for the relevant state and year.</w:t>
      </w:r>
    </w:p>
    <w:p w:rsidR="000F5700" w:rsidRDefault="000F5700" w:rsidP="00BD4819">
      <w:pPr>
        <w:rPr>
          <w:rFonts w:ascii="Times New Roman" w:hAnsi="Times New Roman" w:cs="Times New Roman"/>
          <w:sz w:val="24"/>
          <w:szCs w:val="24"/>
        </w:rPr>
      </w:pPr>
      <w:proofErr w:type="gramStart"/>
      <w:r w:rsidRPr="000F5700">
        <w:rPr>
          <w:rFonts w:ascii="Times New Roman" w:hAnsi="Times New Roman" w:cs="Times New Roman"/>
          <w:i/>
          <w:sz w:val="24"/>
          <w:szCs w:val="24"/>
        </w:rPr>
        <w:t>Low-discretionary avoidable hospitalizations</w:t>
      </w:r>
      <w:r>
        <w:rPr>
          <w:rFonts w:ascii="Times New Roman" w:hAnsi="Times New Roman" w:cs="Times New Roman"/>
          <w:sz w:val="24"/>
          <w:szCs w:val="24"/>
        </w:rPr>
        <w:t>.</w:t>
      </w:r>
      <w:proofErr w:type="gramEnd"/>
      <w:r>
        <w:rPr>
          <w:rFonts w:ascii="Times New Roman" w:hAnsi="Times New Roman" w:cs="Times New Roman"/>
          <w:sz w:val="24"/>
          <w:szCs w:val="24"/>
        </w:rPr>
        <w:t xml:space="preserve">  As an alternative AH rate, we focus on those subset of avoidable hospitalizations over which physicians have less discretion in admitting patients.  Use of this alternative measure will ease concerns that fluctuations in the liability regime will capture changes not just in outpatient quality but in inpatient admission decisions.  </w:t>
      </w:r>
      <w:r w:rsidR="00C04136">
        <w:rPr>
          <w:rFonts w:ascii="Times New Roman" w:hAnsi="Times New Roman" w:cs="Times New Roman"/>
          <w:sz w:val="24"/>
          <w:szCs w:val="24"/>
        </w:rPr>
        <w:t xml:space="preserve">Following Weismann  et al. (1991), </w:t>
      </w:r>
      <w:proofErr w:type="spellStart"/>
      <w:r w:rsidR="00C04136">
        <w:rPr>
          <w:rFonts w:ascii="Times New Roman" w:hAnsi="Times New Roman" w:cs="Times New Roman"/>
          <w:sz w:val="24"/>
          <w:szCs w:val="24"/>
        </w:rPr>
        <w:t>Wennberg</w:t>
      </w:r>
      <w:proofErr w:type="spellEnd"/>
      <w:r w:rsidR="00C04136">
        <w:rPr>
          <w:rFonts w:ascii="Times New Roman" w:hAnsi="Times New Roman" w:cs="Times New Roman"/>
          <w:sz w:val="24"/>
          <w:szCs w:val="24"/>
        </w:rPr>
        <w:t xml:space="preserve"> (1988) and </w:t>
      </w:r>
      <w:proofErr w:type="spellStart"/>
      <w:r w:rsidR="00640D52">
        <w:rPr>
          <w:rFonts w:ascii="Times New Roman" w:hAnsi="Times New Roman" w:cs="Times New Roman"/>
          <w:sz w:val="24"/>
          <w:szCs w:val="24"/>
        </w:rPr>
        <w:t>Twigger</w:t>
      </w:r>
      <w:proofErr w:type="spellEnd"/>
      <w:r w:rsidR="00640D52">
        <w:rPr>
          <w:rFonts w:ascii="Times New Roman" w:hAnsi="Times New Roman" w:cs="Times New Roman"/>
          <w:sz w:val="24"/>
          <w:szCs w:val="24"/>
        </w:rPr>
        <w:t xml:space="preserve"> and Jessop (2000) for guidance, we select the following conditions out of the </w:t>
      </w:r>
      <w:proofErr w:type="spellStart"/>
      <w:r w:rsidR="00640D52">
        <w:rPr>
          <w:rFonts w:ascii="Times New Roman" w:hAnsi="Times New Roman" w:cs="Times New Roman"/>
          <w:sz w:val="24"/>
          <w:szCs w:val="24"/>
        </w:rPr>
        <w:t>Weissman</w:t>
      </w:r>
      <w:proofErr w:type="spellEnd"/>
      <w:r w:rsidR="00640D52">
        <w:rPr>
          <w:rFonts w:ascii="Times New Roman" w:hAnsi="Times New Roman" w:cs="Times New Roman"/>
          <w:sz w:val="24"/>
          <w:szCs w:val="24"/>
        </w:rPr>
        <w:t xml:space="preserve"> et al. (1992) conditions as being on the lower end of the discretionary scale: </w:t>
      </w:r>
      <w:r w:rsidR="00640D52" w:rsidRPr="00640D52">
        <w:rPr>
          <w:rFonts w:ascii="Times New Roman" w:hAnsi="Times New Roman" w:cs="Times New Roman"/>
          <w:sz w:val="24"/>
          <w:szCs w:val="24"/>
        </w:rPr>
        <w:t xml:space="preserve">ruptured appendix, pneumonia, </w:t>
      </w:r>
      <w:r w:rsidR="00640D52">
        <w:rPr>
          <w:rFonts w:ascii="Times New Roman" w:hAnsi="Times New Roman" w:cs="Times New Roman"/>
          <w:sz w:val="24"/>
          <w:szCs w:val="24"/>
        </w:rPr>
        <w:t xml:space="preserve">and </w:t>
      </w:r>
      <w:r w:rsidR="00640D52" w:rsidRPr="00640D52">
        <w:rPr>
          <w:rFonts w:ascii="Times New Roman" w:hAnsi="Times New Roman" w:cs="Times New Roman"/>
          <w:sz w:val="24"/>
          <w:szCs w:val="24"/>
        </w:rPr>
        <w:t>c</w:t>
      </w:r>
      <w:r w:rsidR="00640D52">
        <w:rPr>
          <w:rFonts w:ascii="Times New Roman" w:hAnsi="Times New Roman" w:cs="Times New Roman"/>
          <w:sz w:val="24"/>
          <w:szCs w:val="24"/>
        </w:rPr>
        <w:t>ongestive heart failure.</w:t>
      </w:r>
    </w:p>
    <w:p w:rsidR="00BD4819" w:rsidRPr="00487BC8" w:rsidRDefault="00BD4819" w:rsidP="00BD4819">
      <w:pPr>
        <w:rPr>
          <w:rFonts w:ascii="Times New Roman" w:hAnsi="Times New Roman" w:cs="Times New Roman"/>
          <w:sz w:val="24"/>
          <w:szCs w:val="24"/>
        </w:rPr>
      </w:pPr>
      <w:proofErr w:type="gramStart"/>
      <w:r>
        <w:rPr>
          <w:rFonts w:ascii="Times New Roman" w:hAnsi="Times New Roman" w:cs="Times New Roman"/>
          <w:i/>
          <w:sz w:val="24"/>
          <w:szCs w:val="24"/>
        </w:rPr>
        <w:t xml:space="preserve">Inpatient </w:t>
      </w:r>
      <w:r w:rsidR="002C4821">
        <w:rPr>
          <w:rFonts w:ascii="Times New Roman" w:hAnsi="Times New Roman" w:cs="Times New Roman"/>
          <w:i/>
          <w:sz w:val="24"/>
          <w:szCs w:val="24"/>
        </w:rPr>
        <w:t>m</w:t>
      </w:r>
      <w:r w:rsidRPr="00487BC8">
        <w:rPr>
          <w:rFonts w:ascii="Times New Roman" w:hAnsi="Times New Roman" w:cs="Times New Roman"/>
          <w:i/>
          <w:sz w:val="24"/>
          <w:szCs w:val="24"/>
        </w:rPr>
        <w:t>ortality for selected conditions</w:t>
      </w:r>
      <w:r w:rsidRPr="00487BC8">
        <w:rPr>
          <w:rFonts w:ascii="Times New Roman" w:hAnsi="Times New Roman" w:cs="Times New Roman"/>
          <w:sz w:val="24"/>
          <w:szCs w:val="24"/>
        </w:rPr>
        <w:t>.</w:t>
      </w:r>
      <w:proofErr w:type="gramEnd"/>
      <w:r w:rsidRPr="00487BC8">
        <w:rPr>
          <w:rFonts w:ascii="Times New Roman" w:hAnsi="Times New Roman" w:cs="Times New Roman"/>
          <w:sz w:val="24"/>
          <w:szCs w:val="24"/>
        </w:rPr>
        <w:t xml:space="preserve">  </w:t>
      </w:r>
      <w:r>
        <w:rPr>
          <w:rFonts w:ascii="Times New Roman" w:hAnsi="Times New Roman" w:cs="Times New Roman"/>
          <w:sz w:val="24"/>
          <w:szCs w:val="24"/>
        </w:rPr>
        <w:t xml:space="preserve">Following </w:t>
      </w:r>
      <w:r w:rsidRPr="00487BC8">
        <w:rPr>
          <w:rFonts w:ascii="Times New Roman" w:hAnsi="Times New Roman" w:cs="Times New Roman"/>
          <w:sz w:val="24"/>
          <w:szCs w:val="24"/>
        </w:rPr>
        <w:t>the AHRQ’s I</w:t>
      </w:r>
      <w:r>
        <w:rPr>
          <w:rFonts w:ascii="Times New Roman" w:hAnsi="Times New Roman" w:cs="Times New Roman"/>
          <w:sz w:val="24"/>
          <w:szCs w:val="24"/>
        </w:rPr>
        <w:t>QIs</w:t>
      </w:r>
      <w:r w:rsidRPr="00487BC8">
        <w:rPr>
          <w:rFonts w:ascii="Times New Roman" w:hAnsi="Times New Roman" w:cs="Times New Roman"/>
          <w:sz w:val="24"/>
          <w:szCs w:val="24"/>
        </w:rPr>
        <w:t xml:space="preserve">, </w:t>
      </w:r>
      <w:r w:rsidR="00C750A9">
        <w:rPr>
          <w:rFonts w:ascii="Times New Roman" w:hAnsi="Times New Roman" w:cs="Times New Roman"/>
          <w:sz w:val="24"/>
          <w:szCs w:val="24"/>
        </w:rPr>
        <w:t>we</w:t>
      </w:r>
      <w:r w:rsidRPr="00487BC8">
        <w:rPr>
          <w:rFonts w:ascii="Times New Roman" w:hAnsi="Times New Roman" w:cs="Times New Roman"/>
          <w:sz w:val="24"/>
          <w:szCs w:val="24"/>
        </w:rPr>
        <w:t xml:space="preserve"> next construct a </w:t>
      </w:r>
      <w:r>
        <w:rPr>
          <w:rFonts w:ascii="Times New Roman" w:hAnsi="Times New Roman" w:cs="Times New Roman"/>
          <w:sz w:val="24"/>
          <w:szCs w:val="24"/>
        </w:rPr>
        <w:t>q</w:t>
      </w:r>
      <w:r w:rsidRPr="00487BC8">
        <w:rPr>
          <w:rFonts w:ascii="Times New Roman" w:hAnsi="Times New Roman" w:cs="Times New Roman"/>
          <w:sz w:val="24"/>
          <w:szCs w:val="24"/>
        </w:rPr>
        <w:t xml:space="preserve">uality measure in which </w:t>
      </w:r>
      <w:r w:rsidR="00C750A9">
        <w:rPr>
          <w:rFonts w:ascii="Times New Roman" w:hAnsi="Times New Roman" w:cs="Times New Roman"/>
          <w:sz w:val="24"/>
          <w:szCs w:val="24"/>
        </w:rPr>
        <w:t>we</w:t>
      </w:r>
      <w:r w:rsidRPr="00487BC8">
        <w:rPr>
          <w:rFonts w:ascii="Times New Roman" w:hAnsi="Times New Roman" w:cs="Times New Roman"/>
          <w:sz w:val="24"/>
          <w:szCs w:val="24"/>
        </w:rPr>
        <w:t xml:space="preserve"> calculate the composite rate of </w:t>
      </w:r>
      <w:r>
        <w:rPr>
          <w:rFonts w:ascii="Times New Roman" w:hAnsi="Times New Roman" w:cs="Times New Roman"/>
          <w:sz w:val="24"/>
          <w:szCs w:val="24"/>
        </w:rPr>
        <w:t xml:space="preserve">inpatient </w:t>
      </w:r>
      <w:r w:rsidRPr="00487BC8">
        <w:rPr>
          <w:rFonts w:ascii="Times New Roman" w:hAnsi="Times New Roman" w:cs="Times New Roman"/>
          <w:sz w:val="24"/>
          <w:szCs w:val="24"/>
        </w:rPr>
        <w:t>mortality among a s</w:t>
      </w:r>
      <w:r>
        <w:rPr>
          <w:rFonts w:ascii="Times New Roman" w:hAnsi="Times New Roman" w:cs="Times New Roman"/>
          <w:sz w:val="24"/>
          <w:szCs w:val="24"/>
        </w:rPr>
        <w:t>ub-sample</w:t>
      </w:r>
      <w:r w:rsidRPr="00487BC8">
        <w:rPr>
          <w:rFonts w:ascii="Times New Roman" w:hAnsi="Times New Roman" w:cs="Times New Roman"/>
          <w:sz w:val="24"/>
          <w:szCs w:val="24"/>
        </w:rPr>
        <w:t xml:space="preserve"> of discharges in which the primary diagnosis code indicates any one of the following conditions: acute myocardial infarction, heart failure, acute stroke, gastrointestinal bleeding, hip fracture </w:t>
      </w:r>
      <w:r>
        <w:rPr>
          <w:rFonts w:ascii="Times New Roman" w:hAnsi="Times New Roman" w:cs="Times New Roman"/>
          <w:sz w:val="24"/>
          <w:szCs w:val="24"/>
        </w:rPr>
        <w:t>or</w:t>
      </w:r>
      <w:r w:rsidRPr="00487BC8">
        <w:rPr>
          <w:rFonts w:ascii="Times New Roman" w:hAnsi="Times New Roman" w:cs="Times New Roman"/>
          <w:sz w:val="24"/>
          <w:szCs w:val="24"/>
        </w:rPr>
        <w:t xml:space="preserve"> pneumonia.  </w:t>
      </w:r>
      <w:r>
        <w:rPr>
          <w:rFonts w:ascii="Times New Roman" w:hAnsi="Times New Roman" w:cs="Times New Roman"/>
          <w:sz w:val="24"/>
          <w:szCs w:val="24"/>
        </w:rPr>
        <w:t>Such events are generally high volume in occurrence, allowing for robust sample sizes.  It is worth noting that s</w:t>
      </w:r>
      <w:r w:rsidRPr="00487BC8">
        <w:rPr>
          <w:rFonts w:ascii="Times New Roman" w:hAnsi="Times New Roman" w:cs="Times New Roman"/>
          <w:sz w:val="24"/>
          <w:szCs w:val="24"/>
        </w:rPr>
        <w:t>uch conditions</w:t>
      </w:r>
      <w:r>
        <w:rPr>
          <w:rFonts w:ascii="Times New Roman" w:hAnsi="Times New Roman" w:cs="Times New Roman"/>
          <w:sz w:val="24"/>
          <w:szCs w:val="24"/>
        </w:rPr>
        <w:t>, for the most part, also</w:t>
      </w:r>
      <w:r w:rsidRPr="00487BC8">
        <w:rPr>
          <w:rFonts w:ascii="Times New Roman" w:hAnsi="Times New Roman" w:cs="Times New Roman"/>
          <w:sz w:val="24"/>
          <w:szCs w:val="24"/>
        </w:rPr>
        <w:t xml:space="preserve"> represent low-discretion</w:t>
      </w:r>
      <w:r>
        <w:rPr>
          <w:rFonts w:ascii="Times New Roman" w:hAnsi="Times New Roman" w:cs="Times New Roman"/>
          <w:sz w:val="24"/>
          <w:szCs w:val="24"/>
        </w:rPr>
        <w:t>ary hospitalizations, whereby inpatient admissions ge</w:t>
      </w:r>
      <w:r w:rsidRPr="00487BC8">
        <w:rPr>
          <w:rFonts w:ascii="Times New Roman" w:hAnsi="Times New Roman" w:cs="Times New Roman"/>
          <w:sz w:val="24"/>
          <w:szCs w:val="24"/>
        </w:rPr>
        <w:t>nerally follow upon their occurrence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With this in mind, </w:t>
      </w:r>
      <w:r w:rsidRPr="00487BC8">
        <w:rPr>
          <w:rFonts w:ascii="Times New Roman" w:hAnsi="Times New Roman" w:cs="Times New Roman"/>
          <w:sz w:val="24"/>
          <w:szCs w:val="24"/>
        </w:rPr>
        <w:t xml:space="preserve">mortality rates among this sub-sample of admissions can be seen as </w:t>
      </w:r>
      <w:r>
        <w:rPr>
          <w:rFonts w:ascii="Times New Roman" w:hAnsi="Times New Roman" w:cs="Times New Roman"/>
          <w:sz w:val="24"/>
          <w:szCs w:val="24"/>
        </w:rPr>
        <w:t xml:space="preserve">more likely </w:t>
      </w:r>
      <w:r w:rsidRPr="00487BC8">
        <w:rPr>
          <w:rFonts w:ascii="Times New Roman" w:hAnsi="Times New Roman" w:cs="Times New Roman"/>
          <w:sz w:val="24"/>
          <w:szCs w:val="24"/>
        </w:rPr>
        <w:t>reflective of the quality of care observed during the inpatient stay itself</w:t>
      </w:r>
      <w:r>
        <w:rPr>
          <w:rFonts w:ascii="Times New Roman" w:hAnsi="Times New Roman" w:cs="Times New Roman"/>
          <w:sz w:val="24"/>
          <w:szCs w:val="24"/>
        </w:rPr>
        <w:t>, rather than as a result of risk selection</w:t>
      </w:r>
      <w:r w:rsidR="00493022">
        <w:rPr>
          <w:rFonts w:ascii="Times New Roman" w:hAnsi="Times New Roman" w:cs="Times New Roman"/>
          <w:sz w:val="24"/>
          <w:szCs w:val="24"/>
        </w:rPr>
        <w:t xml:space="preserve"> by providers or patients</w:t>
      </w:r>
      <w:r w:rsidRPr="00487BC8">
        <w:rPr>
          <w:rFonts w:ascii="Times New Roman" w:hAnsi="Times New Roman" w:cs="Times New Roman"/>
          <w:sz w:val="24"/>
          <w:szCs w:val="24"/>
        </w:rPr>
        <w:t xml:space="preserve">.  </w:t>
      </w:r>
    </w:p>
    <w:p w:rsidR="00BD4819" w:rsidRDefault="00BD4819" w:rsidP="00BD4819">
      <w:pPr>
        <w:rPr>
          <w:rFonts w:ascii="Times New Roman" w:hAnsi="Times New Roman" w:cs="Times New Roman"/>
          <w:sz w:val="24"/>
          <w:szCs w:val="24"/>
        </w:rPr>
      </w:pPr>
      <w:r w:rsidRPr="00487BC8">
        <w:rPr>
          <w:rFonts w:ascii="Times New Roman" w:hAnsi="Times New Roman" w:cs="Times New Roman"/>
          <w:sz w:val="24"/>
          <w:szCs w:val="24"/>
        </w:rPr>
        <w:t>Of course, a concern arises regarding fluctuations in the proportions of the various conditions comprising this selected-conditions sub-sample</w:t>
      </w:r>
      <w:r>
        <w:rPr>
          <w:rFonts w:ascii="Times New Roman" w:hAnsi="Times New Roman" w:cs="Times New Roman"/>
          <w:sz w:val="24"/>
          <w:szCs w:val="24"/>
        </w:rPr>
        <w:t xml:space="preserve">.  That is, </w:t>
      </w:r>
      <w:r w:rsidRPr="00487BC8">
        <w:rPr>
          <w:rFonts w:ascii="Times New Roman" w:hAnsi="Times New Roman" w:cs="Times New Roman"/>
          <w:sz w:val="24"/>
          <w:szCs w:val="24"/>
        </w:rPr>
        <w:t xml:space="preserve">a reduction in the composite mortality rate </w:t>
      </w:r>
      <w:r>
        <w:rPr>
          <w:rFonts w:ascii="Times New Roman" w:hAnsi="Times New Roman" w:cs="Times New Roman"/>
          <w:sz w:val="24"/>
          <w:szCs w:val="24"/>
        </w:rPr>
        <w:t xml:space="preserve">could arise </w:t>
      </w:r>
      <w:r w:rsidRPr="00487BC8">
        <w:rPr>
          <w:rFonts w:ascii="Times New Roman" w:hAnsi="Times New Roman" w:cs="Times New Roman"/>
          <w:sz w:val="24"/>
          <w:szCs w:val="24"/>
        </w:rPr>
        <w:t>from a relative increase in the rate of hip fracture admissions (</w:t>
      </w:r>
      <w:r>
        <w:rPr>
          <w:rFonts w:ascii="Times New Roman" w:hAnsi="Times New Roman" w:cs="Times New Roman"/>
          <w:sz w:val="24"/>
          <w:szCs w:val="24"/>
        </w:rPr>
        <w:t xml:space="preserve">where mortality rates are </w:t>
      </w:r>
      <w:r w:rsidRPr="00487BC8">
        <w:rPr>
          <w:rFonts w:ascii="Times New Roman" w:hAnsi="Times New Roman" w:cs="Times New Roman"/>
          <w:sz w:val="24"/>
          <w:szCs w:val="24"/>
        </w:rPr>
        <w:t xml:space="preserve">lower for </w:t>
      </w:r>
      <w:r>
        <w:rPr>
          <w:rFonts w:ascii="Times New Roman" w:hAnsi="Times New Roman" w:cs="Times New Roman"/>
          <w:sz w:val="24"/>
          <w:szCs w:val="24"/>
        </w:rPr>
        <w:t>such admissions relative to the other selected conditions)</w:t>
      </w:r>
      <w:r w:rsidRPr="00487BC8">
        <w:rPr>
          <w:rFonts w:ascii="Times New Roman" w:hAnsi="Times New Roman" w:cs="Times New Roman"/>
          <w:sz w:val="24"/>
          <w:szCs w:val="24"/>
        </w:rPr>
        <w:t xml:space="preserve">, as opposed to reductions in </w:t>
      </w:r>
      <w:r>
        <w:rPr>
          <w:rFonts w:ascii="Times New Roman" w:hAnsi="Times New Roman" w:cs="Times New Roman"/>
          <w:sz w:val="24"/>
          <w:szCs w:val="24"/>
        </w:rPr>
        <w:t xml:space="preserve">mortalities </w:t>
      </w:r>
      <w:r w:rsidRPr="00487BC8">
        <w:rPr>
          <w:rFonts w:ascii="Times New Roman" w:hAnsi="Times New Roman" w:cs="Times New Roman"/>
          <w:sz w:val="24"/>
          <w:szCs w:val="24"/>
        </w:rPr>
        <w:t xml:space="preserve">that would actually be attributable to improvements in quality.  </w:t>
      </w:r>
      <w:r w:rsidR="007F48C0">
        <w:rPr>
          <w:rFonts w:ascii="Times New Roman" w:hAnsi="Times New Roman" w:cs="Times New Roman"/>
          <w:sz w:val="24"/>
          <w:szCs w:val="24"/>
        </w:rPr>
        <w:t>We</w:t>
      </w:r>
      <w:r w:rsidRPr="00487BC8">
        <w:rPr>
          <w:rFonts w:ascii="Times New Roman" w:hAnsi="Times New Roman" w:cs="Times New Roman"/>
          <w:sz w:val="24"/>
          <w:szCs w:val="24"/>
        </w:rPr>
        <w:t xml:space="preserve"> take two approaches to dealing with this concern.  First, in some specifications</w:t>
      </w:r>
      <w:r>
        <w:rPr>
          <w:rFonts w:ascii="Times New Roman" w:hAnsi="Times New Roman" w:cs="Times New Roman"/>
          <w:sz w:val="24"/>
          <w:szCs w:val="24"/>
        </w:rPr>
        <w:t xml:space="preserve">, </w:t>
      </w:r>
      <w:r w:rsidR="007F48C0">
        <w:rPr>
          <w:rFonts w:ascii="Times New Roman" w:hAnsi="Times New Roman" w:cs="Times New Roman"/>
          <w:sz w:val="24"/>
          <w:szCs w:val="24"/>
        </w:rPr>
        <w:t>we</w:t>
      </w:r>
      <w:r w:rsidRPr="00487BC8">
        <w:rPr>
          <w:rFonts w:ascii="Times New Roman" w:hAnsi="Times New Roman" w:cs="Times New Roman"/>
          <w:sz w:val="24"/>
          <w:szCs w:val="24"/>
        </w:rPr>
        <w:t xml:space="preserve"> include </w:t>
      </w:r>
      <w:r>
        <w:rPr>
          <w:rFonts w:ascii="Times New Roman" w:hAnsi="Times New Roman" w:cs="Times New Roman"/>
          <w:sz w:val="24"/>
          <w:szCs w:val="24"/>
        </w:rPr>
        <w:t xml:space="preserve">state-year </w:t>
      </w:r>
      <w:r w:rsidRPr="00487BC8">
        <w:rPr>
          <w:rFonts w:ascii="Times New Roman" w:hAnsi="Times New Roman" w:cs="Times New Roman"/>
          <w:sz w:val="24"/>
          <w:szCs w:val="24"/>
        </w:rPr>
        <w:t xml:space="preserve">controls for the proportion of this sub-sample made up of each of the respective conditions.  </w:t>
      </w:r>
      <w:r>
        <w:rPr>
          <w:rFonts w:ascii="Times New Roman" w:hAnsi="Times New Roman" w:cs="Times New Roman"/>
          <w:sz w:val="24"/>
          <w:szCs w:val="24"/>
        </w:rPr>
        <w:t xml:space="preserve">In the primary approach, however, </w:t>
      </w:r>
      <w:r w:rsidR="002C4821">
        <w:rPr>
          <w:rFonts w:ascii="Times New Roman" w:hAnsi="Times New Roman" w:cs="Times New Roman"/>
          <w:sz w:val="24"/>
          <w:szCs w:val="24"/>
        </w:rPr>
        <w:t>we</w:t>
      </w:r>
      <w:r>
        <w:rPr>
          <w:rFonts w:ascii="Times New Roman" w:hAnsi="Times New Roman" w:cs="Times New Roman"/>
          <w:sz w:val="24"/>
          <w:szCs w:val="24"/>
        </w:rPr>
        <w:t xml:space="preserve"> follow the AHRQ and </w:t>
      </w:r>
      <w:r w:rsidRPr="00487BC8">
        <w:rPr>
          <w:rFonts w:ascii="Times New Roman" w:hAnsi="Times New Roman" w:cs="Times New Roman"/>
          <w:sz w:val="24"/>
          <w:szCs w:val="24"/>
        </w:rPr>
        <w:t xml:space="preserve">standardize the composite mortality rate for state-year </w:t>
      </w:r>
      <w:r>
        <w:rPr>
          <w:rFonts w:ascii="Times New Roman" w:hAnsi="Times New Roman" w:cs="Times New Roman"/>
          <w:sz w:val="24"/>
          <w:szCs w:val="24"/>
        </w:rPr>
        <w:t>changes</w:t>
      </w:r>
      <w:r w:rsidRPr="00487BC8">
        <w:rPr>
          <w:rFonts w:ascii="Times New Roman" w:hAnsi="Times New Roman" w:cs="Times New Roman"/>
          <w:sz w:val="24"/>
          <w:szCs w:val="24"/>
        </w:rPr>
        <w:t xml:space="preserve"> in the various incidences of the conditions.</w:t>
      </w:r>
    </w:p>
    <w:p w:rsidR="00BF62BC" w:rsidRDefault="00BD4819" w:rsidP="007D6D52">
      <w:pPr>
        <w:rPr>
          <w:rFonts w:ascii="Times New Roman" w:hAnsi="Times New Roman" w:cs="Times New Roman"/>
          <w:sz w:val="24"/>
          <w:szCs w:val="24"/>
        </w:rPr>
      </w:pPr>
      <w:r w:rsidRPr="00841802">
        <w:rPr>
          <w:rFonts w:ascii="Times New Roman" w:hAnsi="Times New Roman" w:cs="Times New Roman"/>
          <w:sz w:val="24"/>
          <w:szCs w:val="24"/>
        </w:rPr>
        <w:t>To risk adjust mortality rate</w:t>
      </w:r>
      <w:r w:rsidR="00AF2550">
        <w:rPr>
          <w:rFonts w:ascii="Times New Roman" w:hAnsi="Times New Roman" w:cs="Times New Roman"/>
          <w:sz w:val="24"/>
          <w:szCs w:val="24"/>
        </w:rPr>
        <w:t>s</w:t>
      </w:r>
      <w:r w:rsidRPr="00841802">
        <w:rPr>
          <w:rFonts w:ascii="Times New Roman" w:hAnsi="Times New Roman" w:cs="Times New Roman"/>
          <w:sz w:val="24"/>
          <w:szCs w:val="24"/>
        </w:rPr>
        <w:t xml:space="preserve">, </w:t>
      </w:r>
      <w:r w:rsidR="002C4821">
        <w:rPr>
          <w:rFonts w:ascii="Times New Roman" w:hAnsi="Times New Roman" w:cs="Times New Roman"/>
          <w:sz w:val="24"/>
          <w:szCs w:val="24"/>
        </w:rPr>
        <w:t>we</w:t>
      </w:r>
      <w:r w:rsidRPr="00841802">
        <w:rPr>
          <w:rFonts w:ascii="Times New Roman" w:hAnsi="Times New Roman" w:cs="Times New Roman"/>
          <w:sz w:val="24"/>
          <w:szCs w:val="24"/>
        </w:rPr>
        <w:t xml:space="preserve"> employ an indirect standardization approach, in which </w:t>
      </w:r>
      <w:r w:rsidR="002C4821">
        <w:rPr>
          <w:rFonts w:ascii="Times New Roman" w:hAnsi="Times New Roman" w:cs="Times New Roman"/>
          <w:sz w:val="24"/>
          <w:szCs w:val="24"/>
        </w:rPr>
        <w:t>we</w:t>
      </w:r>
      <w:r w:rsidRPr="00841802">
        <w:rPr>
          <w:rFonts w:ascii="Times New Roman" w:hAnsi="Times New Roman" w:cs="Times New Roman"/>
          <w:sz w:val="24"/>
          <w:szCs w:val="24"/>
        </w:rPr>
        <w:t xml:space="preserve"> first predict the mortality rate that a national sample of patients would be expected to experience if </w:t>
      </w:r>
      <w:r w:rsidRPr="00841802">
        <w:rPr>
          <w:rFonts w:ascii="Times New Roman" w:hAnsi="Times New Roman" w:cs="Times New Roman"/>
          <w:sz w:val="24"/>
          <w:szCs w:val="24"/>
        </w:rPr>
        <w:lastRenderedPageBreak/>
        <w:t xml:space="preserve">they faced the relevant patient characteristics of each state-year cell.  </w:t>
      </w:r>
      <w:r w:rsidR="002C4821">
        <w:rPr>
          <w:rFonts w:ascii="Times New Roman" w:hAnsi="Times New Roman" w:cs="Times New Roman"/>
          <w:sz w:val="24"/>
          <w:szCs w:val="24"/>
        </w:rPr>
        <w:t>We</w:t>
      </w:r>
      <w:r w:rsidRPr="00841802">
        <w:rPr>
          <w:rFonts w:ascii="Times New Roman" w:hAnsi="Times New Roman" w:cs="Times New Roman"/>
          <w:sz w:val="24"/>
          <w:szCs w:val="24"/>
        </w:rPr>
        <w:t xml:space="preserve"> generate such predictions based on the estimated coefficients from national, annual regressions of mortality incidence on the incidence of the relevant set of conditions.  </w:t>
      </w:r>
      <w:r w:rsidR="002C4821">
        <w:rPr>
          <w:rFonts w:ascii="Times New Roman" w:hAnsi="Times New Roman" w:cs="Times New Roman"/>
          <w:sz w:val="24"/>
          <w:szCs w:val="24"/>
        </w:rPr>
        <w:t>We</w:t>
      </w:r>
      <w:r w:rsidRPr="00841802">
        <w:rPr>
          <w:rFonts w:ascii="Times New Roman" w:hAnsi="Times New Roman" w:cs="Times New Roman"/>
          <w:sz w:val="24"/>
          <w:szCs w:val="24"/>
        </w:rPr>
        <w:t xml:space="preserve"> then calculate the standardized mortality rate by (1) taking the ratio between the observed state-year composite mortality rate and this predicted national mortality rate and (2) multiplying this ratio by the observed national mortality rate.</w:t>
      </w:r>
    </w:p>
    <w:p w:rsidR="00DB3650" w:rsidRDefault="002C4821" w:rsidP="00BE38ED">
      <w:pPr>
        <w:rPr>
          <w:rFonts w:ascii="Times New Roman" w:hAnsi="Times New Roman" w:cs="Times New Roman"/>
          <w:sz w:val="24"/>
          <w:szCs w:val="24"/>
        </w:rPr>
      </w:pPr>
      <w:proofErr w:type="gramStart"/>
      <w:r w:rsidRPr="002C4821">
        <w:rPr>
          <w:rFonts w:ascii="Times New Roman" w:hAnsi="Times New Roman" w:cs="Times New Roman"/>
          <w:i/>
          <w:sz w:val="24"/>
          <w:szCs w:val="24"/>
        </w:rPr>
        <w:t>Patient safety incidents</w:t>
      </w:r>
      <w:r w:rsidR="00B1034A">
        <w:rPr>
          <w:rFonts w:ascii="Times New Roman" w:hAnsi="Times New Roman" w:cs="Times New Roman"/>
          <w:i/>
          <w:sz w:val="24"/>
          <w:szCs w:val="24"/>
        </w:rPr>
        <w:t xml:space="preserve"> and delivery complications</w:t>
      </w:r>
      <w:r>
        <w:rPr>
          <w:rFonts w:ascii="Times New Roman" w:hAnsi="Times New Roman" w:cs="Times New Roman"/>
          <w:sz w:val="24"/>
          <w:szCs w:val="24"/>
        </w:rPr>
        <w:t>.</w:t>
      </w:r>
      <w:proofErr w:type="gramEnd"/>
      <w:r w:rsidR="00DB3650">
        <w:rPr>
          <w:rFonts w:ascii="Times New Roman" w:hAnsi="Times New Roman" w:cs="Times New Roman"/>
          <w:sz w:val="24"/>
          <w:szCs w:val="24"/>
        </w:rPr>
        <w:t xml:space="preserve">  </w:t>
      </w:r>
      <w:r w:rsidR="00215A16">
        <w:rPr>
          <w:rFonts w:ascii="Times New Roman" w:hAnsi="Times New Roman" w:cs="Times New Roman"/>
          <w:sz w:val="24"/>
          <w:szCs w:val="24"/>
        </w:rPr>
        <w:t xml:space="preserve">For the reasons set forth in the text, we focus our patient-safety analysis on the delivery-related PSI’s inspired by the AHRQ, which represent third and fourth degree lacerations during deliveries (aggregating this analysis across vaginal and cesarean deliveries).  </w:t>
      </w:r>
      <w:r w:rsidR="005B6B86">
        <w:rPr>
          <w:rFonts w:ascii="Times New Roman" w:hAnsi="Times New Roman" w:cs="Times New Roman"/>
          <w:sz w:val="24"/>
          <w:szCs w:val="24"/>
        </w:rPr>
        <w:t>A</w:t>
      </w:r>
      <w:r w:rsidR="00882CB1">
        <w:rPr>
          <w:rFonts w:ascii="Times New Roman" w:hAnsi="Times New Roman" w:cs="Times New Roman"/>
          <w:sz w:val="24"/>
          <w:szCs w:val="24"/>
        </w:rPr>
        <w:t>gain</w:t>
      </w:r>
      <w:r w:rsidR="005B6B86">
        <w:rPr>
          <w:rFonts w:ascii="Times New Roman" w:hAnsi="Times New Roman" w:cs="Times New Roman"/>
          <w:sz w:val="24"/>
          <w:szCs w:val="24"/>
        </w:rPr>
        <w:t xml:space="preserve"> following Currie and MacLeod (2008)</w:t>
      </w:r>
      <w:r w:rsidR="00882CB1">
        <w:rPr>
          <w:rFonts w:ascii="Times New Roman" w:hAnsi="Times New Roman" w:cs="Times New Roman"/>
          <w:sz w:val="24"/>
          <w:szCs w:val="24"/>
        </w:rPr>
        <w:t>, we</w:t>
      </w:r>
      <w:r w:rsidR="00B1034A">
        <w:rPr>
          <w:rFonts w:ascii="Times New Roman" w:hAnsi="Times New Roman" w:cs="Times New Roman"/>
          <w:sz w:val="24"/>
          <w:szCs w:val="24"/>
        </w:rPr>
        <w:t xml:space="preserve"> supplement these PSI delivery measures by </w:t>
      </w:r>
      <w:r w:rsidR="005B6B86">
        <w:rPr>
          <w:rFonts w:ascii="Times New Roman" w:hAnsi="Times New Roman" w:cs="Times New Roman"/>
          <w:sz w:val="24"/>
          <w:szCs w:val="24"/>
        </w:rPr>
        <w:t xml:space="preserve">forming a measure equal to the </w:t>
      </w:r>
      <w:r w:rsidR="00DB3650" w:rsidRPr="00DB3650">
        <w:rPr>
          <w:rFonts w:ascii="Times New Roman" w:hAnsi="Times New Roman" w:cs="Times New Roman"/>
          <w:sz w:val="24"/>
          <w:szCs w:val="24"/>
        </w:rPr>
        <w:t>incidence of preventable delivery complications</w:t>
      </w:r>
      <w:r w:rsidR="00E2173B">
        <w:rPr>
          <w:rFonts w:ascii="Times New Roman" w:hAnsi="Times New Roman" w:cs="Times New Roman"/>
          <w:sz w:val="24"/>
          <w:szCs w:val="24"/>
        </w:rPr>
        <w:t xml:space="preserve">: </w:t>
      </w:r>
      <w:r w:rsidR="00DB3650" w:rsidRPr="00DB3650">
        <w:rPr>
          <w:rFonts w:ascii="Times New Roman" w:hAnsi="Times New Roman" w:cs="Times New Roman"/>
          <w:sz w:val="24"/>
          <w:szCs w:val="24"/>
        </w:rPr>
        <w:t>fetal distress, excessive bleeding, precipitous labor, prolonged la</w:t>
      </w:r>
      <w:r w:rsidR="00E2173B">
        <w:rPr>
          <w:rFonts w:ascii="Times New Roman" w:hAnsi="Times New Roman" w:cs="Times New Roman"/>
          <w:sz w:val="24"/>
          <w:szCs w:val="24"/>
        </w:rPr>
        <w:t>bor, or dysfunctional labor.</w:t>
      </w:r>
    </w:p>
    <w:p w:rsidR="002C4821" w:rsidRDefault="00477F5C" w:rsidP="007D6D52">
      <w:pPr>
        <w:rPr>
          <w:rFonts w:ascii="Times New Roman" w:hAnsi="Times New Roman" w:cs="Times New Roman"/>
          <w:b/>
          <w:i/>
          <w:sz w:val="24"/>
          <w:szCs w:val="24"/>
          <w:u w:val="single"/>
        </w:rPr>
      </w:pPr>
      <w:r>
        <w:rPr>
          <w:rFonts w:ascii="Times New Roman" w:hAnsi="Times New Roman" w:cs="Times New Roman"/>
          <w:b/>
          <w:i/>
          <w:sz w:val="24"/>
          <w:szCs w:val="24"/>
          <w:u w:val="single"/>
        </w:rPr>
        <w:t>Behavioral Risk Factor Surveillance System</w:t>
      </w:r>
    </w:p>
    <w:p w:rsidR="00477F5C" w:rsidRDefault="000F061F" w:rsidP="00F40C74">
      <w:pPr>
        <w:rPr>
          <w:rFonts w:ascii="Times New Roman" w:hAnsi="Times New Roman" w:cs="Times New Roman"/>
          <w:sz w:val="24"/>
          <w:szCs w:val="24"/>
        </w:rPr>
      </w:pPr>
      <w:r w:rsidRPr="000F061F">
        <w:rPr>
          <w:rFonts w:ascii="Times New Roman" w:hAnsi="Times New Roman" w:cs="Times New Roman"/>
          <w:sz w:val="24"/>
          <w:szCs w:val="24"/>
        </w:rPr>
        <w:t xml:space="preserve">Our </w:t>
      </w:r>
      <w:r w:rsidR="00F40C74">
        <w:rPr>
          <w:rFonts w:ascii="Times New Roman" w:hAnsi="Times New Roman" w:cs="Times New Roman"/>
          <w:sz w:val="24"/>
          <w:szCs w:val="24"/>
        </w:rPr>
        <w:t>data source for the cancer-screening</w:t>
      </w:r>
      <w:r w:rsidRPr="000F061F">
        <w:rPr>
          <w:rFonts w:ascii="Times New Roman" w:hAnsi="Times New Roman" w:cs="Times New Roman"/>
          <w:sz w:val="24"/>
          <w:szCs w:val="24"/>
        </w:rPr>
        <w:t xml:space="preserve"> analysis is the Behavioral Risk Factor Surveillance System</w:t>
      </w:r>
      <w:r>
        <w:rPr>
          <w:rFonts w:ascii="Times New Roman" w:hAnsi="Times New Roman" w:cs="Times New Roman"/>
          <w:sz w:val="24"/>
          <w:szCs w:val="24"/>
        </w:rPr>
        <w:t xml:space="preserve"> </w:t>
      </w:r>
      <w:r w:rsidRPr="000F061F">
        <w:rPr>
          <w:rFonts w:ascii="Times New Roman" w:hAnsi="Times New Roman" w:cs="Times New Roman"/>
          <w:sz w:val="24"/>
          <w:szCs w:val="24"/>
        </w:rPr>
        <w:t>(BRFSS). The data consists of repeated cross-sections f</w:t>
      </w:r>
      <w:r w:rsidR="00F40C74">
        <w:rPr>
          <w:rFonts w:ascii="Times New Roman" w:hAnsi="Times New Roman" w:cs="Times New Roman"/>
          <w:sz w:val="24"/>
          <w:szCs w:val="24"/>
        </w:rPr>
        <w:t>or the years 1987</w:t>
      </w:r>
      <w:r>
        <w:rPr>
          <w:rFonts w:ascii="Times New Roman" w:hAnsi="Times New Roman" w:cs="Times New Roman"/>
          <w:sz w:val="24"/>
          <w:szCs w:val="24"/>
        </w:rPr>
        <w:t xml:space="preserve"> th</w:t>
      </w:r>
      <w:r w:rsidR="00A4085C">
        <w:rPr>
          <w:rFonts w:ascii="Times New Roman" w:hAnsi="Times New Roman" w:cs="Times New Roman"/>
          <w:sz w:val="24"/>
          <w:szCs w:val="24"/>
        </w:rPr>
        <w:t>rough 2008</w:t>
      </w:r>
      <w:r>
        <w:rPr>
          <w:rFonts w:ascii="Times New Roman" w:hAnsi="Times New Roman" w:cs="Times New Roman"/>
          <w:sz w:val="24"/>
          <w:szCs w:val="24"/>
        </w:rPr>
        <w:t xml:space="preserve">, </w:t>
      </w:r>
      <w:r w:rsidRPr="000F061F">
        <w:rPr>
          <w:rFonts w:ascii="Times New Roman" w:hAnsi="Times New Roman" w:cs="Times New Roman"/>
          <w:sz w:val="24"/>
          <w:szCs w:val="24"/>
        </w:rPr>
        <w:t>collected via monthly telephone surveys of individuals aged 18 years and older. The BRFSS</w:t>
      </w:r>
      <w:r>
        <w:rPr>
          <w:rFonts w:ascii="Times New Roman" w:hAnsi="Times New Roman" w:cs="Times New Roman"/>
          <w:sz w:val="24"/>
          <w:szCs w:val="24"/>
        </w:rPr>
        <w:t xml:space="preserve"> </w:t>
      </w:r>
      <w:r w:rsidRPr="000F061F">
        <w:rPr>
          <w:rFonts w:ascii="Times New Roman" w:hAnsi="Times New Roman" w:cs="Times New Roman"/>
          <w:sz w:val="24"/>
          <w:szCs w:val="24"/>
        </w:rPr>
        <w:t>is a nationally representative survey of the United States and has been conducted by state</w:t>
      </w:r>
      <w:r w:rsidR="00F40C74">
        <w:rPr>
          <w:rFonts w:ascii="Times New Roman" w:hAnsi="Times New Roman" w:cs="Times New Roman"/>
          <w:sz w:val="24"/>
          <w:szCs w:val="24"/>
        </w:rPr>
        <w:t xml:space="preserve"> </w:t>
      </w:r>
      <w:r w:rsidR="00F40C74" w:rsidRPr="00F40C74">
        <w:rPr>
          <w:rFonts w:ascii="Times New Roman" w:hAnsi="Times New Roman" w:cs="Times New Roman"/>
          <w:sz w:val="24"/>
          <w:szCs w:val="24"/>
        </w:rPr>
        <w:t>health departments in coordination with the CDC for the pu</w:t>
      </w:r>
      <w:r w:rsidR="00F40C74">
        <w:rPr>
          <w:rFonts w:ascii="Times New Roman" w:hAnsi="Times New Roman" w:cs="Times New Roman"/>
          <w:sz w:val="24"/>
          <w:szCs w:val="24"/>
        </w:rPr>
        <w:t xml:space="preserve">rpose of collecting state-level </w:t>
      </w:r>
      <w:r w:rsidR="00F40C74" w:rsidRPr="00F40C74">
        <w:rPr>
          <w:rFonts w:ascii="Times New Roman" w:hAnsi="Times New Roman" w:cs="Times New Roman"/>
          <w:sz w:val="24"/>
          <w:szCs w:val="24"/>
        </w:rPr>
        <w:t xml:space="preserve">data pertaining to </w:t>
      </w:r>
      <w:r w:rsidR="00F40C74">
        <w:rPr>
          <w:rFonts w:ascii="Times New Roman" w:hAnsi="Times New Roman" w:cs="Times New Roman"/>
          <w:sz w:val="24"/>
          <w:szCs w:val="24"/>
        </w:rPr>
        <w:t xml:space="preserve">certain </w:t>
      </w:r>
      <w:r w:rsidR="00F40C74" w:rsidRPr="00F40C74">
        <w:rPr>
          <w:rFonts w:ascii="Times New Roman" w:hAnsi="Times New Roman" w:cs="Times New Roman"/>
          <w:sz w:val="24"/>
          <w:szCs w:val="24"/>
        </w:rPr>
        <w:t>personal health behaviors. Fifteen states took part in</w:t>
      </w:r>
      <w:r w:rsidR="00F40C74">
        <w:rPr>
          <w:rFonts w:ascii="Times New Roman" w:hAnsi="Times New Roman" w:cs="Times New Roman"/>
          <w:sz w:val="24"/>
          <w:szCs w:val="24"/>
        </w:rPr>
        <w:t xml:space="preserve"> the first survey </w:t>
      </w:r>
      <w:r w:rsidR="00F40C74" w:rsidRPr="00F40C74">
        <w:rPr>
          <w:rFonts w:ascii="Times New Roman" w:hAnsi="Times New Roman" w:cs="Times New Roman"/>
          <w:sz w:val="24"/>
          <w:szCs w:val="24"/>
        </w:rPr>
        <w:t>in 1984. By 1994, all 50 states and the District of Columbia became involved. The survey</w:t>
      </w:r>
      <w:r w:rsidR="00F40C74">
        <w:rPr>
          <w:rFonts w:ascii="Times New Roman" w:hAnsi="Times New Roman" w:cs="Times New Roman"/>
          <w:sz w:val="24"/>
          <w:szCs w:val="24"/>
        </w:rPr>
        <w:t xml:space="preserve"> </w:t>
      </w:r>
      <w:r w:rsidR="00F40C74" w:rsidRPr="00F40C74">
        <w:rPr>
          <w:rFonts w:ascii="Times New Roman" w:hAnsi="Times New Roman" w:cs="Times New Roman"/>
          <w:sz w:val="24"/>
          <w:szCs w:val="24"/>
        </w:rPr>
        <w:t>was administered to an average of 817 individuals per state in 1984, rising to an average of</w:t>
      </w:r>
      <w:r w:rsidR="00F40C74">
        <w:rPr>
          <w:rFonts w:ascii="Times New Roman" w:hAnsi="Times New Roman" w:cs="Times New Roman"/>
          <w:sz w:val="24"/>
          <w:szCs w:val="24"/>
        </w:rPr>
        <w:t xml:space="preserve"> </w:t>
      </w:r>
      <w:r w:rsidR="00F534F7">
        <w:rPr>
          <w:rFonts w:ascii="Times New Roman" w:hAnsi="Times New Roman" w:cs="Times New Roman"/>
          <w:sz w:val="24"/>
          <w:szCs w:val="24"/>
        </w:rPr>
        <w:t>nearly 8000</w:t>
      </w:r>
      <w:r w:rsidR="00A4085C">
        <w:rPr>
          <w:rFonts w:ascii="Times New Roman" w:hAnsi="Times New Roman" w:cs="Times New Roman"/>
          <w:sz w:val="24"/>
          <w:szCs w:val="24"/>
        </w:rPr>
        <w:t xml:space="preserve"> per state in 2008</w:t>
      </w:r>
      <w:r w:rsidR="00F40C74" w:rsidRPr="00F40C74">
        <w:rPr>
          <w:rFonts w:ascii="Times New Roman" w:hAnsi="Times New Roman" w:cs="Times New Roman"/>
          <w:sz w:val="24"/>
          <w:szCs w:val="24"/>
        </w:rPr>
        <w:t>.</w:t>
      </w:r>
      <w:r w:rsidR="00F40C74">
        <w:rPr>
          <w:rFonts w:ascii="Times New Roman" w:hAnsi="Times New Roman" w:cs="Times New Roman"/>
          <w:sz w:val="24"/>
          <w:szCs w:val="24"/>
        </w:rPr>
        <w:t xml:space="preserve">  </w:t>
      </w:r>
    </w:p>
    <w:p w:rsidR="00794F50" w:rsidRPr="00794F50" w:rsidRDefault="00794F50" w:rsidP="00F40C74">
      <w:pPr>
        <w:rPr>
          <w:rFonts w:ascii="Times New Roman" w:hAnsi="Times New Roman" w:cs="Times New Roman"/>
          <w:b/>
          <w:i/>
          <w:sz w:val="24"/>
          <w:szCs w:val="24"/>
          <w:u w:val="single"/>
        </w:rPr>
      </w:pPr>
      <w:r w:rsidRPr="00794F50">
        <w:rPr>
          <w:rFonts w:ascii="Times New Roman" w:hAnsi="Times New Roman" w:cs="Times New Roman"/>
          <w:b/>
          <w:i/>
          <w:sz w:val="24"/>
          <w:szCs w:val="24"/>
          <w:u w:val="single"/>
        </w:rPr>
        <w:t>Cancer-Screening Measures</w:t>
      </w:r>
    </w:p>
    <w:p w:rsidR="00794F50" w:rsidRDefault="009D7F22" w:rsidP="00F40C74">
      <w:pPr>
        <w:rPr>
          <w:rFonts w:ascii="Times New Roman" w:hAnsi="Times New Roman" w:cs="Times New Roman"/>
          <w:sz w:val="24"/>
          <w:szCs w:val="24"/>
        </w:rPr>
      </w:pPr>
      <w:proofErr w:type="spellStart"/>
      <w:proofErr w:type="gramStart"/>
      <w:r w:rsidRPr="009D7F22">
        <w:rPr>
          <w:rFonts w:ascii="Times New Roman" w:hAnsi="Times New Roman" w:cs="Times New Roman"/>
          <w:i/>
          <w:sz w:val="24"/>
          <w:szCs w:val="24"/>
        </w:rPr>
        <w:t>Sigmoidoscopy</w:t>
      </w:r>
      <w:proofErr w:type="spellEnd"/>
      <w:r w:rsidRPr="009D7F22">
        <w:rPr>
          <w:rFonts w:ascii="Times New Roman" w:hAnsi="Times New Roman" w:cs="Times New Roman"/>
          <w:i/>
          <w:sz w:val="24"/>
          <w:szCs w:val="24"/>
        </w:rPr>
        <w:t xml:space="preserve"> / Colonoscopy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2B3D2D">
        <w:rPr>
          <w:rFonts w:ascii="Times New Roman" w:hAnsi="Times New Roman" w:cs="Times New Roman"/>
          <w:sz w:val="24"/>
          <w:szCs w:val="24"/>
        </w:rPr>
        <w:t xml:space="preserve">In our primary specification, we aimed to construct a </w:t>
      </w:r>
      <w:proofErr w:type="spellStart"/>
      <w:r w:rsidR="002B3D2D">
        <w:rPr>
          <w:rFonts w:ascii="Times New Roman" w:hAnsi="Times New Roman" w:cs="Times New Roman"/>
          <w:sz w:val="24"/>
          <w:szCs w:val="24"/>
        </w:rPr>
        <w:t>proctoscopy</w:t>
      </w:r>
      <w:proofErr w:type="spellEnd"/>
      <w:r w:rsidR="002B3D2D">
        <w:rPr>
          <w:rFonts w:ascii="Times New Roman" w:hAnsi="Times New Roman" w:cs="Times New Roman"/>
          <w:sz w:val="24"/>
          <w:szCs w:val="24"/>
        </w:rPr>
        <w:t xml:space="preserve"> screening measure in line with recommended screening guidelines.  As such, we focused on the age group be</w:t>
      </w:r>
      <w:r w:rsidR="005C081E">
        <w:rPr>
          <w:rFonts w:ascii="Times New Roman" w:hAnsi="Times New Roman" w:cs="Times New Roman"/>
          <w:sz w:val="24"/>
          <w:szCs w:val="24"/>
        </w:rPr>
        <w:t>tween 5</w:t>
      </w:r>
      <w:r w:rsidR="002B3D2D">
        <w:rPr>
          <w:rFonts w:ascii="Times New Roman" w:hAnsi="Times New Roman" w:cs="Times New Roman"/>
          <w:sz w:val="24"/>
          <w:szCs w:val="24"/>
        </w:rPr>
        <w:t xml:space="preserve">0 and 75 years old and created an indicator variable equal to “1” if the respondent has had a </w:t>
      </w:r>
      <w:proofErr w:type="spellStart"/>
      <w:r w:rsidR="002B3D2D">
        <w:rPr>
          <w:rFonts w:ascii="Times New Roman" w:hAnsi="Times New Roman" w:cs="Times New Roman"/>
          <w:sz w:val="24"/>
          <w:szCs w:val="24"/>
        </w:rPr>
        <w:t>sigmoidoscopy</w:t>
      </w:r>
      <w:proofErr w:type="spellEnd"/>
      <w:r w:rsidR="002B3D2D">
        <w:rPr>
          <w:rFonts w:ascii="Times New Roman" w:hAnsi="Times New Roman" w:cs="Times New Roman"/>
          <w:sz w:val="24"/>
          <w:szCs w:val="24"/>
        </w:rPr>
        <w:t xml:space="preserve"> or a colonoscopy within the last 5 years.  </w:t>
      </w:r>
      <w:r w:rsidR="00B82AC0">
        <w:rPr>
          <w:rFonts w:ascii="Times New Roman" w:hAnsi="Times New Roman" w:cs="Times New Roman"/>
          <w:sz w:val="24"/>
          <w:szCs w:val="24"/>
        </w:rPr>
        <w:t xml:space="preserve">In alternative specifications we simply indicate whether or not the respondent within this age range has ever had a </w:t>
      </w:r>
      <w:proofErr w:type="spellStart"/>
      <w:r w:rsidR="00930090">
        <w:rPr>
          <w:rFonts w:ascii="Times New Roman" w:hAnsi="Times New Roman" w:cs="Times New Roman"/>
          <w:sz w:val="24"/>
          <w:szCs w:val="24"/>
        </w:rPr>
        <w:t>sigmoidoscopy</w:t>
      </w:r>
      <w:proofErr w:type="spellEnd"/>
      <w:r w:rsidR="00930090">
        <w:rPr>
          <w:rFonts w:ascii="Times New Roman" w:hAnsi="Times New Roman" w:cs="Times New Roman"/>
          <w:sz w:val="24"/>
          <w:szCs w:val="24"/>
        </w:rPr>
        <w:t xml:space="preserve"> or a colonoscopy.  </w:t>
      </w:r>
      <w:proofErr w:type="spellStart"/>
      <w:r w:rsidR="009C362E">
        <w:rPr>
          <w:rFonts w:ascii="Times New Roman" w:hAnsi="Times New Roman" w:cs="Times New Roman"/>
          <w:sz w:val="24"/>
          <w:szCs w:val="24"/>
        </w:rPr>
        <w:t>Proctoscopic</w:t>
      </w:r>
      <w:proofErr w:type="spellEnd"/>
      <w:r w:rsidR="009C362E">
        <w:rPr>
          <w:rFonts w:ascii="Times New Roman" w:hAnsi="Times New Roman" w:cs="Times New Roman"/>
          <w:sz w:val="24"/>
          <w:szCs w:val="24"/>
        </w:rPr>
        <w:t xml:space="preserve"> examination information within the BRFSS is available from 1988 onwards.  </w:t>
      </w:r>
    </w:p>
    <w:p w:rsidR="0020448A" w:rsidRDefault="009C362E" w:rsidP="0020448A">
      <w:pPr>
        <w:rPr>
          <w:rFonts w:ascii="Times New Roman" w:hAnsi="Times New Roman" w:cs="Times New Roman"/>
          <w:sz w:val="24"/>
          <w:szCs w:val="24"/>
        </w:rPr>
      </w:pPr>
      <w:proofErr w:type="gramStart"/>
      <w:r w:rsidRPr="009C362E">
        <w:rPr>
          <w:rFonts w:ascii="Times New Roman" w:hAnsi="Times New Roman" w:cs="Times New Roman"/>
          <w:i/>
          <w:sz w:val="24"/>
          <w:szCs w:val="24"/>
        </w:rPr>
        <w:t>Mammogram</w:t>
      </w:r>
      <w:r>
        <w:rPr>
          <w:rFonts w:ascii="Times New Roman" w:hAnsi="Times New Roman" w:cs="Times New Roman"/>
          <w:sz w:val="24"/>
          <w:szCs w:val="24"/>
        </w:rPr>
        <w:t>.</w:t>
      </w:r>
      <w:proofErr w:type="gramEnd"/>
      <w:r>
        <w:rPr>
          <w:rFonts w:ascii="Times New Roman" w:hAnsi="Times New Roman" w:cs="Times New Roman"/>
          <w:sz w:val="24"/>
          <w:szCs w:val="24"/>
        </w:rPr>
        <w:t xml:space="preserve">  In our primary specification, we construct a mammogram screening measure in line with the recommended screening guidelines in place for most of our sample period.  Accordingly, limiting our sample to those female respondents with an age between 40 and 75 year olds, we created an indicator variable reflecting whether or not the respondent received a mammogram within the last 2 years.  </w:t>
      </w:r>
      <w:r w:rsidR="0020448A">
        <w:rPr>
          <w:rFonts w:ascii="Times New Roman" w:hAnsi="Times New Roman" w:cs="Times New Roman"/>
          <w:sz w:val="24"/>
          <w:szCs w:val="24"/>
        </w:rPr>
        <w:t>In alternative specifications</w:t>
      </w:r>
      <w:r w:rsidR="00F524BE">
        <w:rPr>
          <w:rFonts w:ascii="Times New Roman" w:hAnsi="Times New Roman" w:cs="Times New Roman"/>
          <w:sz w:val="24"/>
          <w:szCs w:val="24"/>
        </w:rPr>
        <w:t>,</w:t>
      </w:r>
      <w:r w:rsidR="0020448A">
        <w:rPr>
          <w:rFonts w:ascii="Times New Roman" w:hAnsi="Times New Roman" w:cs="Times New Roman"/>
          <w:sz w:val="24"/>
          <w:szCs w:val="24"/>
        </w:rPr>
        <w:t xml:space="preserve"> we simply indicate whether or </w:t>
      </w:r>
      <w:r w:rsidR="0020448A">
        <w:rPr>
          <w:rFonts w:ascii="Times New Roman" w:hAnsi="Times New Roman" w:cs="Times New Roman"/>
          <w:sz w:val="24"/>
          <w:szCs w:val="24"/>
        </w:rPr>
        <w:lastRenderedPageBreak/>
        <w:t xml:space="preserve">not the respondent within this age range has ever had a </w:t>
      </w:r>
      <w:r w:rsidR="00817C3F">
        <w:rPr>
          <w:rFonts w:ascii="Times New Roman" w:hAnsi="Times New Roman" w:cs="Times New Roman"/>
          <w:sz w:val="24"/>
          <w:szCs w:val="24"/>
        </w:rPr>
        <w:t xml:space="preserve">mammogram.  Mammography </w:t>
      </w:r>
      <w:r w:rsidR="0020448A">
        <w:rPr>
          <w:rFonts w:ascii="Times New Roman" w:hAnsi="Times New Roman" w:cs="Times New Roman"/>
          <w:sz w:val="24"/>
          <w:szCs w:val="24"/>
        </w:rPr>
        <w:t>information within the BRFSS is available from 198</w:t>
      </w:r>
      <w:r w:rsidR="0093184D">
        <w:rPr>
          <w:rFonts w:ascii="Times New Roman" w:hAnsi="Times New Roman" w:cs="Times New Roman"/>
          <w:sz w:val="24"/>
          <w:szCs w:val="24"/>
        </w:rPr>
        <w:t xml:space="preserve">7 </w:t>
      </w:r>
      <w:r w:rsidR="0020448A">
        <w:rPr>
          <w:rFonts w:ascii="Times New Roman" w:hAnsi="Times New Roman" w:cs="Times New Roman"/>
          <w:sz w:val="24"/>
          <w:szCs w:val="24"/>
        </w:rPr>
        <w:t xml:space="preserve">onwards.  </w:t>
      </w:r>
    </w:p>
    <w:p w:rsidR="0020448A" w:rsidRDefault="00276084" w:rsidP="00F40C74">
      <w:pPr>
        <w:rPr>
          <w:rFonts w:ascii="Times New Roman" w:hAnsi="Times New Roman" w:cs="Times New Roman"/>
          <w:sz w:val="24"/>
          <w:szCs w:val="24"/>
        </w:rPr>
      </w:pPr>
      <w:proofErr w:type="gramStart"/>
      <w:r w:rsidRPr="00276084">
        <w:rPr>
          <w:rFonts w:ascii="Times New Roman" w:hAnsi="Times New Roman" w:cs="Times New Roman"/>
          <w:i/>
          <w:sz w:val="24"/>
          <w:szCs w:val="24"/>
        </w:rPr>
        <w:t>Physical breast exam</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EC7477">
        <w:rPr>
          <w:rFonts w:ascii="Times New Roman" w:hAnsi="Times New Roman" w:cs="Times New Roman"/>
          <w:sz w:val="24"/>
          <w:szCs w:val="24"/>
        </w:rPr>
        <w:t xml:space="preserve">Likewise in line with recommended guidelines, our primary specifications construct physical or clinical breast exam utilization measures by looking at the sample of at least 40 years of age and </w:t>
      </w:r>
      <w:r w:rsidR="00F524BE">
        <w:rPr>
          <w:rFonts w:ascii="Times New Roman" w:hAnsi="Times New Roman" w:cs="Times New Roman"/>
          <w:sz w:val="24"/>
          <w:szCs w:val="24"/>
        </w:rPr>
        <w:t xml:space="preserve">asking whether or not they have had a break exam within the last year.  In alternative specifications, we simply indicate whether or not they have ever had a physical breast exam.  </w:t>
      </w:r>
      <w:r w:rsidR="00D55B4A">
        <w:rPr>
          <w:rFonts w:ascii="Times New Roman" w:hAnsi="Times New Roman" w:cs="Times New Roman"/>
          <w:sz w:val="24"/>
          <w:szCs w:val="24"/>
        </w:rPr>
        <w:t>Physical bre</w:t>
      </w:r>
      <w:r w:rsidR="00AC2B53">
        <w:rPr>
          <w:rFonts w:ascii="Times New Roman" w:hAnsi="Times New Roman" w:cs="Times New Roman"/>
          <w:sz w:val="24"/>
          <w:szCs w:val="24"/>
        </w:rPr>
        <w:t>ast exam information within the</w:t>
      </w:r>
      <w:r w:rsidR="00D55B4A">
        <w:rPr>
          <w:rFonts w:ascii="Times New Roman" w:hAnsi="Times New Roman" w:cs="Times New Roman"/>
          <w:sz w:val="24"/>
          <w:szCs w:val="24"/>
        </w:rPr>
        <w:t xml:space="preserve"> BRFSS is available from 1990 onwards.  </w:t>
      </w:r>
      <w:r w:rsidR="00F524B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76441" w:rsidRDefault="00AC2B53" w:rsidP="00F40C74">
      <w:pPr>
        <w:rPr>
          <w:rFonts w:ascii="Times New Roman" w:hAnsi="Times New Roman" w:cs="Times New Roman"/>
          <w:sz w:val="24"/>
          <w:szCs w:val="24"/>
        </w:rPr>
      </w:pPr>
      <w:proofErr w:type="gramStart"/>
      <w:r w:rsidRPr="00AC2B53">
        <w:rPr>
          <w:rFonts w:ascii="Times New Roman" w:hAnsi="Times New Roman" w:cs="Times New Roman"/>
          <w:i/>
          <w:sz w:val="24"/>
          <w:szCs w:val="24"/>
        </w:rPr>
        <w:t>PSA Testing</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E76441">
        <w:rPr>
          <w:rFonts w:ascii="Times New Roman" w:hAnsi="Times New Roman" w:cs="Times New Roman"/>
          <w:sz w:val="24"/>
          <w:szCs w:val="24"/>
        </w:rPr>
        <w:t xml:space="preserve">Consistent with recommendations, at least with respect to those recommendations operating over our sample period, we focus on the sample of males over the age of 50 (and under the age of 75) and construct an indicator regarding whether or not they have received Prostate-Specific Antigen (PSA) </w:t>
      </w:r>
      <w:proofErr w:type="gramStart"/>
      <w:r w:rsidR="00E76441">
        <w:rPr>
          <w:rFonts w:ascii="Times New Roman" w:hAnsi="Times New Roman" w:cs="Times New Roman"/>
          <w:sz w:val="24"/>
          <w:szCs w:val="24"/>
        </w:rPr>
        <w:t>Testing</w:t>
      </w:r>
      <w:proofErr w:type="gramEnd"/>
      <w:r w:rsidR="00E76441">
        <w:rPr>
          <w:rFonts w:ascii="Times New Roman" w:hAnsi="Times New Roman" w:cs="Times New Roman"/>
          <w:sz w:val="24"/>
          <w:szCs w:val="24"/>
        </w:rPr>
        <w:t xml:space="preserve"> within the last year.  In alternative specifications, we simply indicate whether or not they have ever had PSA testing.  PSA testing information within the BRFSS is available from</w:t>
      </w:r>
      <w:r w:rsidR="00F534F7">
        <w:rPr>
          <w:rFonts w:ascii="Times New Roman" w:hAnsi="Times New Roman" w:cs="Times New Roman"/>
          <w:sz w:val="24"/>
          <w:szCs w:val="24"/>
        </w:rPr>
        <w:t xml:space="preserve"> 2001</w:t>
      </w:r>
      <w:r w:rsidR="00E76441">
        <w:rPr>
          <w:rFonts w:ascii="Times New Roman" w:hAnsi="Times New Roman" w:cs="Times New Roman"/>
          <w:sz w:val="24"/>
          <w:szCs w:val="24"/>
        </w:rPr>
        <w:t xml:space="preserve"> onwards. </w:t>
      </w:r>
    </w:p>
    <w:p w:rsidR="00A049F2" w:rsidRDefault="00077046" w:rsidP="00A049F2">
      <w:pPr>
        <w:rPr>
          <w:rFonts w:ascii="Times New Roman" w:hAnsi="Times New Roman" w:cs="Times New Roman"/>
          <w:sz w:val="24"/>
          <w:szCs w:val="24"/>
        </w:rPr>
      </w:pPr>
      <w:proofErr w:type="gramStart"/>
      <w:r w:rsidRPr="00077046">
        <w:rPr>
          <w:rFonts w:ascii="Times New Roman" w:hAnsi="Times New Roman" w:cs="Times New Roman"/>
          <w:i/>
          <w:sz w:val="24"/>
          <w:szCs w:val="24"/>
        </w:rPr>
        <w:t>Digital Rectal Exam</w:t>
      </w:r>
      <w:r>
        <w:rPr>
          <w:rFonts w:ascii="Times New Roman" w:hAnsi="Times New Roman" w:cs="Times New Roman"/>
          <w:sz w:val="24"/>
          <w:szCs w:val="24"/>
        </w:rPr>
        <w:t>.</w:t>
      </w:r>
      <w:proofErr w:type="gramEnd"/>
      <w:r w:rsidR="00A049F2">
        <w:rPr>
          <w:rFonts w:ascii="Times New Roman" w:hAnsi="Times New Roman" w:cs="Times New Roman"/>
          <w:sz w:val="24"/>
          <w:szCs w:val="24"/>
        </w:rPr>
        <w:t xml:space="preserve">  Consistent with recommendations, at least with respect to those recommendations operating over our sample period, we focus on the sample of males over the age of 50 (and under the age of 75) and construct an indicator regarding whether or not they have received a Digital Rectal Exam (DRE) within the last year.  In alternative specifications, we simply indicate whether or not they have ever had a DRE.  DRE information within the BRFSS is available from </w:t>
      </w:r>
      <w:r w:rsidR="006E3B88">
        <w:rPr>
          <w:rFonts w:ascii="Times New Roman" w:hAnsi="Times New Roman" w:cs="Times New Roman"/>
          <w:sz w:val="24"/>
          <w:szCs w:val="24"/>
        </w:rPr>
        <w:t>1988 onwards, though not at sufficient numbers until 1993 onwards (with several years omitted in the late 1990s).</w:t>
      </w:r>
    </w:p>
    <w:p w:rsidR="00D047A4" w:rsidRDefault="00D047A4" w:rsidP="00A049F2">
      <w:pPr>
        <w:rPr>
          <w:rFonts w:ascii="Times New Roman" w:hAnsi="Times New Roman" w:cs="Times New Roman"/>
          <w:sz w:val="24"/>
          <w:szCs w:val="24"/>
        </w:rPr>
      </w:pPr>
      <w:proofErr w:type="gramStart"/>
      <w:r w:rsidRPr="00D047A4">
        <w:rPr>
          <w:rFonts w:ascii="Times New Roman" w:hAnsi="Times New Roman" w:cs="Times New Roman"/>
          <w:i/>
          <w:sz w:val="24"/>
          <w:szCs w:val="24"/>
        </w:rPr>
        <w:t>Pap</w:t>
      </w:r>
      <w:r w:rsidR="00CC2707">
        <w:rPr>
          <w:rFonts w:ascii="Times New Roman" w:hAnsi="Times New Roman" w:cs="Times New Roman"/>
          <w:i/>
          <w:sz w:val="24"/>
          <w:szCs w:val="24"/>
        </w:rPr>
        <w:t xml:space="preserve"> </w:t>
      </w:r>
      <w:r w:rsidRPr="00D047A4">
        <w:rPr>
          <w:rFonts w:ascii="Times New Roman" w:hAnsi="Times New Roman" w:cs="Times New Roman"/>
          <w:i/>
          <w:sz w:val="24"/>
          <w:szCs w:val="24"/>
        </w:rPr>
        <w:t>smear</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CC2707">
        <w:rPr>
          <w:rFonts w:ascii="Times New Roman" w:hAnsi="Times New Roman" w:cs="Times New Roman"/>
          <w:sz w:val="24"/>
          <w:szCs w:val="24"/>
        </w:rPr>
        <w:t xml:space="preserve">Consistent with recommendations, at least with respect to those recommendations operating over our sample period, we focus on the sample of females 21 years old and over and construct an indicator regarding whether or not they have received pap testing within the last year.  In alternative specifications, we simply indicate whether or not they have ever had a pap smear.  Pap testing information within the BRFSS is available from </w:t>
      </w:r>
      <w:r w:rsidR="00BB07EE">
        <w:rPr>
          <w:rFonts w:ascii="Times New Roman" w:hAnsi="Times New Roman" w:cs="Times New Roman"/>
          <w:sz w:val="24"/>
          <w:szCs w:val="24"/>
        </w:rPr>
        <w:t>1987</w:t>
      </w:r>
      <w:r w:rsidR="00CC2707">
        <w:rPr>
          <w:rFonts w:ascii="Times New Roman" w:hAnsi="Times New Roman" w:cs="Times New Roman"/>
          <w:sz w:val="24"/>
          <w:szCs w:val="24"/>
        </w:rPr>
        <w:t xml:space="preserve"> onwards.</w:t>
      </w:r>
    </w:p>
    <w:p w:rsidR="00753C3E" w:rsidRDefault="00753C3E" w:rsidP="00F40C74">
      <w:pPr>
        <w:rPr>
          <w:rFonts w:ascii="Times New Roman" w:hAnsi="Times New Roman" w:cs="Times New Roman"/>
          <w:sz w:val="24"/>
          <w:szCs w:val="24"/>
        </w:rPr>
      </w:pPr>
    </w:p>
    <w:p w:rsidR="00C21755" w:rsidRDefault="00C21755" w:rsidP="00F40C74">
      <w:pPr>
        <w:rPr>
          <w:rFonts w:ascii="Times New Roman" w:hAnsi="Times New Roman" w:cs="Times New Roman"/>
          <w:b/>
          <w:i/>
          <w:sz w:val="24"/>
          <w:szCs w:val="24"/>
          <w:u w:val="single"/>
        </w:rPr>
      </w:pPr>
      <w:r>
        <w:rPr>
          <w:rFonts w:ascii="Times New Roman" w:hAnsi="Times New Roman" w:cs="Times New Roman"/>
          <w:b/>
          <w:i/>
          <w:sz w:val="24"/>
          <w:szCs w:val="24"/>
          <w:u w:val="single"/>
        </w:rPr>
        <w:t>Additional Notes on Non-Economic Damage Caps</w:t>
      </w:r>
    </w:p>
    <w:p w:rsidR="00C21755" w:rsidRPr="00C21755" w:rsidRDefault="007374DD" w:rsidP="00F40C74">
      <w:pPr>
        <w:rPr>
          <w:rFonts w:ascii="Times New Roman" w:hAnsi="Times New Roman" w:cs="Times New Roman"/>
          <w:sz w:val="24"/>
          <w:szCs w:val="24"/>
        </w:rPr>
      </w:pPr>
      <w:r w:rsidRPr="007374DD">
        <w:rPr>
          <w:rFonts w:ascii="Times New Roman" w:hAnsi="Times New Roman" w:cs="Times New Roman"/>
          <w:sz w:val="24"/>
          <w:szCs w:val="24"/>
        </w:rPr>
        <w:t xml:space="preserve">Following </w:t>
      </w:r>
      <w:proofErr w:type="spellStart"/>
      <w:r w:rsidRPr="007374DD">
        <w:rPr>
          <w:rFonts w:ascii="Times New Roman" w:hAnsi="Times New Roman" w:cs="Times New Roman"/>
          <w:sz w:val="24"/>
          <w:szCs w:val="24"/>
        </w:rPr>
        <w:t>Frakes</w:t>
      </w:r>
      <w:proofErr w:type="spellEnd"/>
      <w:r w:rsidRPr="007374DD">
        <w:rPr>
          <w:rFonts w:ascii="Times New Roman" w:hAnsi="Times New Roman" w:cs="Times New Roman"/>
          <w:sz w:val="24"/>
          <w:szCs w:val="24"/>
        </w:rPr>
        <w:t xml:space="preserve"> (2012), we also classify states as having non-economic damages provisions if they have laws that place caps on total damages awards.  Such laws, after all, necessarily cap non-economic damages as well.  In light of the imposition of state fixed effects, this classification only has relevance in the context of 1 state (Texas) that adopted a total damages cap at a time when it did not have a specific non-economic damage cap in place.  Only 1 additional state – i.e., Colorado – adopted a total damages cap over the sample period (2 years following the adoption of a non-economic damages cap).  With this in mind, we do not separately control for the incidence of a cap on total damages.  However, we estimate nearly </w:t>
      </w:r>
      <w:r w:rsidRPr="007374DD">
        <w:rPr>
          <w:rFonts w:ascii="Times New Roman" w:hAnsi="Times New Roman" w:cs="Times New Roman"/>
          <w:sz w:val="24"/>
          <w:szCs w:val="24"/>
        </w:rPr>
        <w:lastRenderedPageBreak/>
        <w:t>identical results for the remaining coefficients when we do include this additional covariate and treat total and non-economic damage caps separately.</w:t>
      </w:r>
    </w:p>
    <w:p w:rsidR="00C21755" w:rsidRPr="002F2B4C" w:rsidRDefault="002F2B4C" w:rsidP="00F40C74">
      <w:pPr>
        <w:rPr>
          <w:rFonts w:ascii="Times New Roman" w:hAnsi="Times New Roman" w:cs="Times New Roman"/>
          <w:sz w:val="24"/>
          <w:szCs w:val="24"/>
        </w:rPr>
      </w:pPr>
      <w:proofErr w:type="spellStart"/>
      <w:r w:rsidRPr="002F2B4C">
        <w:rPr>
          <w:rFonts w:ascii="Times New Roman" w:hAnsi="Times New Roman" w:cs="Times New Roman"/>
          <w:sz w:val="24"/>
          <w:szCs w:val="24"/>
        </w:rPr>
        <w:t>Frakes</w:t>
      </w:r>
      <w:proofErr w:type="spellEnd"/>
      <w:r w:rsidRPr="002F2B4C">
        <w:rPr>
          <w:rFonts w:ascii="Times New Roman" w:hAnsi="Times New Roman" w:cs="Times New Roman"/>
          <w:sz w:val="24"/>
          <w:szCs w:val="24"/>
        </w:rPr>
        <w:t xml:space="preserve"> (2013) documents a relationship between the adoption of laws requiring physicians to follow national (as opposed to local) standards and a resulting convergence in physician practices across regions.  In light of the fact that two of the damage-cap treatment states used in the defensive-medicine analysis below (Hawaii and Texas) were dropped from the specifications estimated in </w:t>
      </w:r>
      <w:proofErr w:type="spellStart"/>
      <w:r w:rsidRPr="002F2B4C">
        <w:rPr>
          <w:rFonts w:ascii="Times New Roman" w:hAnsi="Times New Roman" w:cs="Times New Roman"/>
          <w:sz w:val="24"/>
          <w:szCs w:val="24"/>
        </w:rPr>
        <w:t>Frakes</w:t>
      </w:r>
      <w:proofErr w:type="spellEnd"/>
      <w:r w:rsidRPr="002F2B4C">
        <w:rPr>
          <w:rFonts w:ascii="Times New Roman" w:hAnsi="Times New Roman" w:cs="Times New Roman"/>
          <w:sz w:val="24"/>
          <w:szCs w:val="24"/>
        </w:rPr>
        <w:t xml:space="preserve"> (2013) (due to an inability to classify the full history of their standard-of-care laws), we exclude controls for national-standard laws in the damage-cap specifications estimated below and focus instead on the traditional tort reform measures.  However, the results presented below are robust to the inclusion of controls for national-standard laws (not shown).</w:t>
      </w:r>
    </w:p>
    <w:p w:rsidR="0020448A" w:rsidRDefault="00753C3E" w:rsidP="00F40C74">
      <w:pPr>
        <w:rPr>
          <w:rFonts w:ascii="Times New Roman" w:hAnsi="Times New Roman" w:cs="Times New Roman"/>
          <w:b/>
          <w:i/>
          <w:sz w:val="24"/>
          <w:szCs w:val="24"/>
          <w:u w:val="single"/>
        </w:rPr>
      </w:pPr>
      <w:r w:rsidRPr="00753C3E">
        <w:rPr>
          <w:rFonts w:ascii="Times New Roman" w:hAnsi="Times New Roman" w:cs="Times New Roman"/>
          <w:b/>
          <w:i/>
          <w:sz w:val="24"/>
          <w:szCs w:val="24"/>
          <w:u w:val="single"/>
        </w:rPr>
        <w:t>Other Tort Reforms</w:t>
      </w:r>
      <w:r w:rsidR="00AC2B53" w:rsidRPr="00753C3E">
        <w:rPr>
          <w:rFonts w:ascii="Times New Roman" w:hAnsi="Times New Roman" w:cs="Times New Roman"/>
          <w:b/>
          <w:i/>
          <w:sz w:val="24"/>
          <w:szCs w:val="24"/>
          <w:u w:val="single"/>
        </w:rPr>
        <w:t xml:space="preserve">  </w:t>
      </w:r>
    </w:p>
    <w:p w:rsidR="006E159E" w:rsidRPr="00D63930" w:rsidRDefault="00F20553" w:rsidP="006B4A8E">
      <w:pPr>
        <w:rPr>
          <w:rFonts w:ascii="Times New Roman" w:hAnsi="Times New Roman" w:cs="Times New Roman"/>
          <w:sz w:val="24"/>
          <w:szCs w:val="24"/>
        </w:rPr>
      </w:pPr>
      <w:r>
        <w:rPr>
          <w:rFonts w:ascii="Times New Roman" w:hAnsi="Times New Roman" w:cs="Times New Roman"/>
          <w:sz w:val="24"/>
          <w:szCs w:val="24"/>
        </w:rPr>
        <w:t>A number of specifications include the incidence of additiona</w:t>
      </w:r>
      <w:r w:rsidR="006E159E">
        <w:rPr>
          <w:rFonts w:ascii="Times New Roman" w:hAnsi="Times New Roman" w:cs="Times New Roman"/>
          <w:sz w:val="24"/>
          <w:szCs w:val="24"/>
        </w:rPr>
        <w:t xml:space="preserve">l tort measures as covariates, </w:t>
      </w:r>
      <w:r w:rsidR="006B4A8E">
        <w:rPr>
          <w:rFonts w:ascii="Times New Roman" w:hAnsi="Times New Roman" w:cs="Times New Roman"/>
          <w:sz w:val="24"/>
          <w:szCs w:val="24"/>
        </w:rPr>
        <w:t xml:space="preserve">including reforms </w:t>
      </w:r>
      <w:r w:rsidR="006E159E" w:rsidRPr="00D63930">
        <w:rPr>
          <w:rFonts w:ascii="Times New Roman" w:hAnsi="Times New Roman" w:cs="Times New Roman"/>
          <w:sz w:val="24"/>
          <w:szCs w:val="24"/>
        </w:rPr>
        <w:t>of the collateral source rule</w:t>
      </w:r>
      <w:r w:rsidR="006E159E">
        <w:rPr>
          <w:rFonts w:ascii="Times New Roman" w:hAnsi="Times New Roman" w:cs="Times New Roman"/>
          <w:sz w:val="24"/>
          <w:szCs w:val="24"/>
        </w:rPr>
        <w:t xml:space="preserve">, </w:t>
      </w:r>
      <w:r w:rsidR="006E159E" w:rsidRPr="00D63930">
        <w:rPr>
          <w:rFonts w:ascii="Times New Roman" w:hAnsi="Times New Roman" w:cs="Times New Roman"/>
          <w:sz w:val="24"/>
          <w:szCs w:val="24"/>
        </w:rPr>
        <w:t>c</w:t>
      </w:r>
      <w:r w:rsidR="006E159E">
        <w:rPr>
          <w:rFonts w:ascii="Times New Roman" w:hAnsi="Times New Roman" w:cs="Times New Roman"/>
          <w:sz w:val="24"/>
          <w:szCs w:val="24"/>
        </w:rPr>
        <w:t>aps on punitive-damages awards</w:t>
      </w:r>
      <w:r w:rsidR="006E159E" w:rsidRPr="00D63930">
        <w:rPr>
          <w:rFonts w:ascii="Times New Roman" w:hAnsi="Times New Roman" w:cs="Times New Roman"/>
          <w:sz w:val="24"/>
          <w:szCs w:val="24"/>
        </w:rPr>
        <w:t xml:space="preserve"> and other “indirect” tort reforms.  Traditional </w:t>
      </w:r>
      <w:r w:rsidR="006E159E">
        <w:rPr>
          <w:rFonts w:ascii="Times New Roman" w:hAnsi="Times New Roman" w:cs="Times New Roman"/>
          <w:sz w:val="24"/>
          <w:szCs w:val="24"/>
        </w:rPr>
        <w:t xml:space="preserve">collateral source </w:t>
      </w:r>
      <w:r w:rsidR="006E159E" w:rsidRPr="00D63930">
        <w:rPr>
          <w:rFonts w:ascii="Times New Roman" w:hAnsi="Times New Roman" w:cs="Times New Roman"/>
          <w:sz w:val="24"/>
          <w:szCs w:val="24"/>
        </w:rPr>
        <w:t>rules generally prohibited defendants from introducing evidence of compensatory payments made to plaintiffs from outside sources (e.g., insur</w:t>
      </w:r>
      <w:r w:rsidR="006E159E">
        <w:rPr>
          <w:rFonts w:ascii="Times New Roman" w:hAnsi="Times New Roman" w:cs="Times New Roman"/>
          <w:sz w:val="24"/>
          <w:szCs w:val="24"/>
        </w:rPr>
        <w:t>ers</w:t>
      </w:r>
      <w:r w:rsidR="006E159E" w:rsidRPr="00D63930">
        <w:rPr>
          <w:rFonts w:ascii="Times New Roman" w:hAnsi="Times New Roman" w:cs="Times New Roman"/>
          <w:sz w:val="24"/>
          <w:szCs w:val="24"/>
        </w:rPr>
        <w:t xml:space="preserve">).  Thirty-three states currently have laws in place that eliminate this traditional rule, effectively reducing the </w:t>
      </w:r>
      <w:r w:rsidR="006E159E">
        <w:rPr>
          <w:rFonts w:ascii="Times New Roman" w:hAnsi="Times New Roman" w:cs="Times New Roman"/>
          <w:sz w:val="24"/>
          <w:szCs w:val="24"/>
        </w:rPr>
        <w:t xml:space="preserve">scope of </w:t>
      </w:r>
      <w:r w:rsidR="006E159E" w:rsidRPr="00D63930">
        <w:rPr>
          <w:rFonts w:ascii="Times New Roman" w:hAnsi="Times New Roman" w:cs="Times New Roman"/>
          <w:sz w:val="24"/>
          <w:szCs w:val="24"/>
        </w:rPr>
        <w:t xml:space="preserve">compensatory damage awards.  Much of these reforms likewise </w:t>
      </w:r>
      <w:r w:rsidR="006E159E">
        <w:rPr>
          <w:rFonts w:ascii="Times New Roman" w:hAnsi="Times New Roman" w:cs="Times New Roman"/>
          <w:sz w:val="24"/>
          <w:szCs w:val="24"/>
        </w:rPr>
        <w:t>occurred during the mid-1980</w:t>
      </w:r>
      <w:r w:rsidR="006E159E" w:rsidRPr="00D63930">
        <w:rPr>
          <w:rFonts w:ascii="Times New Roman" w:hAnsi="Times New Roman" w:cs="Times New Roman"/>
          <w:sz w:val="24"/>
          <w:szCs w:val="24"/>
        </w:rPr>
        <w:t>s</w:t>
      </w:r>
      <w:r w:rsidR="006E159E">
        <w:rPr>
          <w:rFonts w:ascii="Times New Roman" w:hAnsi="Times New Roman" w:cs="Times New Roman"/>
          <w:sz w:val="24"/>
          <w:szCs w:val="24"/>
        </w:rPr>
        <w:t xml:space="preserve">; however, </w:t>
      </w:r>
      <w:r w:rsidR="006E159E" w:rsidRPr="00D63930">
        <w:rPr>
          <w:rFonts w:ascii="Times New Roman" w:hAnsi="Times New Roman" w:cs="Times New Roman"/>
          <w:sz w:val="24"/>
          <w:szCs w:val="24"/>
        </w:rPr>
        <w:t>there are a substantial amount of independent reforms of each type, facilitating identification of the</w:t>
      </w:r>
      <w:r w:rsidR="006E159E">
        <w:rPr>
          <w:rFonts w:ascii="Times New Roman" w:hAnsi="Times New Roman" w:cs="Times New Roman"/>
          <w:sz w:val="24"/>
          <w:szCs w:val="24"/>
        </w:rPr>
        <w:t>ir separate impacts</w:t>
      </w:r>
      <w:r w:rsidR="006E159E" w:rsidRPr="00D63930">
        <w:rPr>
          <w:rFonts w:ascii="Times New Roman" w:hAnsi="Times New Roman" w:cs="Times New Roman"/>
          <w:sz w:val="24"/>
          <w:szCs w:val="24"/>
        </w:rPr>
        <w:t xml:space="preserve">.  </w:t>
      </w:r>
    </w:p>
    <w:p w:rsidR="00D1518C" w:rsidRDefault="006E159E" w:rsidP="006E159E">
      <w:pPr>
        <w:rPr>
          <w:rFonts w:ascii="Times New Roman" w:hAnsi="Times New Roman" w:cs="Times New Roman"/>
          <w:sz w:val="24"/>
          <w:szCs w:val="24"/>
        </w:rPr>
      </w:pPr>
      <w:r w:rsidRPr="00D63930">
        <w:rPr>
          <w:rFonts w:ascii="Times New Roman" w:hAnsi="Times New Roman" w:cs="Times New Roman"/>
          <w:sz w:val="24"/>
          <w:szCs w:val="24"/>
        </w:rPr>
        <w:t>Punitive damages are awarded on a much rarer basis in malpractice actions than are non-economic damages awards (without a correspondingly large increase in average payouts).</w:t>
      </w:r>
      <w:r w:rsidRPr="00D63930">
        <w:rPr>
          <w:rStyle w:val="FootnoteReference"/>
          <w:rFonts w:ascii="Times New Roman" w:hAnsi="Times New Roman" w:cs="Times New Roman"/>
          <w:sz w:val="24"/>
          <w:szCs w:val="24"/>
        </w:rPr>
        <w:footnoteReference w:id="12"/>
      </w:r>
      <w:r w:rsidRPr="00D63930">
        <w:rPr>
          <w:rFonts w:ascii="Times New Roman" w:hAnsi="Times New Roman" w:cs="Times New Roman"/>
          <w:sz w:val="24"/>
          <w:szCs w:val="24"/>
        </w:rPr>
        <w:t xml:space="preserve">  Thus, relative to non-economic damages, it is arguable that the threat of liability for punitive damages will have a weaker impact on physician behavior.  Nonetheless, despite the in</w:t>
      </w:r>
      <w:r>
        <w:rPr>
          <w:rFonts w:ascii="Times New Roman" w:hAnsi="Times New Roman" w:cs="Times New Roman"/>
          <w:sz w:val="24"/>
          <w:szCs w:val="24"/>
        </w:rPr>
        <w:t>frequent application of such</w:t>
      </w:r>
      <w:r w:rsidRPr="00D63930">
        <w:rPr>
          <w:rFonts w:ascii="Times New Roman" w:hAnsi="Times New Roman" w:cs="Times New Roman"/>
          <w:sz w:val="24"/>
          <w:szCs w:val="24"/>
        </w:rPr>
        <w:t xml:space="preserve"> awards, considering that punitive damages are generally not insured by liability carriers, it remains reasonable to believe that physicians may be sensitive to the threat posed by </w:t>
      </w:r>
      <w:r>
        <w:rPr>
          <w:rFonts w:ascii="Times New Roman" w:hAnsi="Times New Roman" w:cs="Times New Roman"/>
          <w:sz w:val="24"/>
          <w:szCs w:val="24"/>
        </w:rPr>
        <w:t>punitive</w:t>
      </w:r>
      <w:r w:rsidRPr="00D63930">
        <w:rPr>
          <w:rFonts w:ascii="Times New Roman" w:hAnsi="Times New Roman" w:cs="Times New Roman"/>
          <w:sz w:val="24"/>
          <w:szCs w:val="24"/>
        </w:rPr>
        <w:t xml:space="preserve"> awards</w:t>
      </w:r>
      <w:r>
        <w:rPr>
          <w:rFonts w:ascii="Times New Roman" w:hAnsi="Times New Roman" w:cs="Times New Roman"/>
          <w:sz w:val="24"/>
          <w:szCs w:val="24"/>
        </w:rPr>
        <w:t xml:space="preserve"> (</w:t>
      </w:r>
      <w:proofErr w:type="spellStart"/>
      <w:r>
        <w:rPr>
          <w:rFonts w:ascii="Times New Roman" w:hAnsi="Times New Roman" w:cs="Times New Roman"/>
          <w:sz w:val="24"/>
          <w:szCs w:val="24"/>
        </w:rPr>
        <w:t>Malani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Reif</w:t>
      </w:r>
      <w:proofErr w:type="spellEnd"/>
      <w:r>
        <w:rPr>
          <w:rFonts w:ascii="Times New Roman" w:hAnsi="Times New Roman" w:cs="Times New Roman"/>
          <w:sz w:val="24"/>
          <w:szCs w:val="24"/>
        </w:rPr>
        <w:t xml:space="preserve"> 2012)</w:t>
      </w:r>
      <w:r w:rsidRPr="00D63930">
        <w:rPr>
          <w:rFonts w:ascii="Times New Roman" w:hAnsi="Times New Roman" w:cs="Times New Roman"/>
          <w:sz w:val="24"/>
          <w:szCs w:val="24"/>
        </w:rPr>
        <w:t>.  Finally, following the classification of malpractice reforms introduced by</w:t>
      </w:r>
      <w:r w:rsidR="006B4A8E">
        <w:rPr>
          <w:rFonts w:ascii="Times New Roman" w:hAnsi="Times New Roman" w:cs="Times New Roman"/>
          <w:sz w:val="24"/>
          <w:szCs w:val="24"/>
        </w:rPr>
        <w:t xml:space="preserve"> Kessler and McClellan (1996), we</w:t>
      </w:r>
      <w:r w:rsidRPr="00D63930">
        <w:rPr>
          <w:rFonts w:ascii="Times New Roman" w:hAnsi="Times New Roman" w:cs="Times New Roman"/>
          <w:sz w:val="24"/>
          <w:szCs w:val="24"/>
        </w:rPr>
        <w:t xml:space="preserve"> estimate the general impact associated with a residual reform category (labeled “indirect” reforms) that includes contingency fee limitations, requirements of periodic payment of future damages, joint and several liability reforms, and provisions for a patients’ compensation fund.</w:t>
      </w:r>
      <w:r w:rsidRPr="00D63930">
        <w:rPr>
          <w:rStyle w:val="FootnoteReference"/>
          <w:rFonts w:ascii="Times New Roman" w:hAnsi="Times New Roman" w:cs="Times New Roman"/>
          <w:sz w:val="24"/>
          <w:szCs w:val="24"/>
        </w:rPr>
        <w:footnoteReference w:id="13"/>
      </w:r>
      <w:r w:rsidRPr="00D63930">
        <w:rPr>
          <w:rFonts w:ascii="Times New Roman" w:hAnsi="Times New Roman" w:cs="Times New Roman"/>
          <w:sz w:val="24"/>
          <w:szCs w:val="24"/>
        </w:rPr>
        <w:t xml:space="preserve">  </w:t>
      </w:r>
    </w:p>
    <w:p w:rsidR="00EE0292" w:rsidRPr="00EE0292" w:rsidRDefault="00EE0292" w:rsidP="006E159E">
      <w:pPr>
        <w:rPr>
          <w:rFonts w:ascii="Times New Roman" w:hAnsi="Times New Roman" w:cs="Times New Roman"/>
          <w:sz w:val="24"/>
          <w:szCs w:val="24"/>
        </w:rPr>
      </w:pPr>
    </w:p>
    <w:p w:rsidR="006B4A8E" w:rsidRPr="006012B1" w:rsidRDefault="006012B1" w:rsidP="006E159E">
      <w:pPr>
        <w:rPr>
          <w:rFonts w:ascii="Times New Roman" w:hAnsi="Times New Roman" w:cs="Times New Roman"/>
          <w:b/>
          <w:i/>
          <w:sz w:val="24"/>
          <w:szCs w:val="24"/>
          <w:u w:val="single"/>
        </w:rPr>
      </w:pPr>
      <w:r w:rsidRPr="006012B1">
        <w:rPr>
          <w:rFonts w:ascii="Times New Roman" w:hAnsi="Times New Roman" w:cs="Times New Roman"/>
          <w:b/>
          <w:i/>
          <w:sz w:val="24"/>
          <w:szCs w:val="24"/>
          <w:u w:val="single"/>
        </w:rPr>
        <w:t>Other Covariates</w:t>
      </w:r>
      <w:r w:rsidR="005830E9">
        <w:rPr>
          <w:rFonts w:ascii="Times New Roman" w:hAnsi="Times New Roman" w:cs="Times New Roman"/>
          <w:b/>
          <w:i/>
          <w:sz w:val="24"/>
          <w:szCs w:val="24"/>
          <w:u w:val="single"/>
        </w:rPr>
        <w:t xml:space="preserve"> (by Quality Indicator)</w:t>
      </w:r>
    </w:p>
    <w:p w:rsidR="00672562" w:rsidRDefault="002F1AF1" w:rsidP="00EE0292">
      <w:pPr>
        <w:jc w:val="both"/>
        <w:rPr>
          <w:rFonts w:ascii="Times New Roman" w:hAnsi="Times New Roman" w:cs="Times New Roman"/>
          <w:sz w:val="24"/>
          <w:szCs w:val="24"/>
        </w:rPr>
      </w:pPr>
      <w:proofErr w:type="gramStart"/>
      <w:r w:rsidRPr="002F1AF1">
        <w:rPr>
          <w:rFonts w:ascii="Times New Roman" w:hAnsi="Times New Roman" w:cs="Times New Roman"/>
          <w:i/>
          <w:sz w:val="24"/>
          <w:szCs w:val="24"/>
        </w:rPr>
        <w:lastRenderedPageBreak/>
        <w:t>Inpatient mortality r</w:t>
      </w:r>
      <w:r w:rsidR="00D1518C">
        <w:rPr>
          <w:rFonts w:ascii="Times New Roman" w:hAnsi="Times New Roman" w:cs="Times New Roman"/>
          <w:i/>
          <w:sz w:val="24"/>
          <w:szCs w:val="24"/>
        </w:rPr>
        <w:t>ate for selected medical c</w:t>
      </w:r>
      <w:r w:rsidRPr="002F1AF1">
        <w:rPr>
          <w:rFonts w:ascii="Times New Roman" w:hAnsi="Times New Roman" w:cs="Times New Roman"/>
          <w:i/>
          <w:sz w:val="24"/>
          <w:szCs w:val="24"/>
        </w:rPr>
        <w:t>onditions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D1518C">
        <w:rPr>
          <w:rFonts w:ascii="Times New Roman" w:hAnsi="Times New Roman" w:cs="Times New Roman"/>
          <w:sz w:val="24"/>
          <w:szCs w:val="24"/>
        </w:rPr>
        <w:t xml:space="preserve">In the case of the mortality rates specifications, estimated according to equation (1) in the text, </w:t>
      </w:r>
      <w:proofErr w:type="spellStart"/>
      <w:r w:rsidR="00D1518C" w:rsidRPr="00961440">
        <w:rPr>
          <w:rFonts w:ascii="Times New Roman" w:hAnsi="Times New Roman" w:cs="Times New Roman"/>
          <w:b/>
          <w:sz w:val="24"/>
          <w:szCs w:val="24"/>
        </w:rPr>
        <w:t>X</w:t>
      </w:r>
      <w:r w:rsidR="00D1518C" w:rsidRPr="00961440">
        <w:rPr>
          <w:rFonts w:ascii="Times New Roman" w:hAnsi="Times New Roman" w:cs="Times New Roman"/>
          <w:b/>
          <w:sz w:val="24"/>
          <w:szCs w:val="24"/>
          <w:vertAlign w:val="subscript"/>
        </w:rPr>
        <w:t>s,t</w:t>
      </w:r>
      <w:proofErr w:type="spellEnd"/>
      <w:r w:rsidR="00D1518C" w:rsidRPr="00961440">
        <w:rPr>
          <w:rFonts w:ascii="Times New Roman" w:hAnsi="Times New Roman" w:cs="Times New Roman"/>
          <w:sz w:val="24"/>
          <w:szCs w:val="24"/>
        </w:rPr>
        <w:t xml:space="preserve"> represents certain demographic characteristics: the percentage of patients in various age-sex categories,</w:t>
      </w:r>
      <w:r w:rsidR="00D1518C" w:rsidRPr="00961440">
        <w:rPr>
          <w:rStyle w:val="FootnoteReference"/>
          <w:rFonts w:ascii="Times New Roman" w:hAnsi="Times New Roman" w:cs="Times New Roman"/>
          <w:sz w:val="24"/>
          <w:szCs w:val="24"/>
        </w:rPr>
        <w:footnoteReference w:id="14"/>
      </w:r>
      <w:r w:rsidR="00D1518C" w:rsidRPr="00961440">
        <w:rPr>
          <w:rFonts w:ascii="Times New Roman" w:hAnsi="Times New Roman" w:cs="Times New Roman"/>
          <w:sz w:val="24"/>
          <w:szCs w:val="24"/>
        </w:rPr>
        <w:t xml:space="preserve"> race categories (white, black and other), insurance categories (private, government, no insurance and other), along with the percentage of patients visiting hospitals of various bed sizes (0-100, 100-200, 200-300, 300-500 and 500+ beds) and of various ownership types (proprietary, non-profit and government).</w:t>
      </w:r>
      <w:r w:rsidR="00D1518C" w:rsidRPr="00961440">
        <w:rPr>
          <w:rStyle w:val="FootnoteReference"/>
          <w:rFonts w:ascii="Times New Roman" w:hAnsi="Times New Roman" w:cs="Times New Roman"/>
          <w:sz w:val="24"/>
          <w:szCs w:val="24"/>
        </w:rPr>
        <w:footnoteReference w:id="15"/>
      </w:r>
      <w:r w:rsidR="00D1518C" w:rsidRPr="00961440">
        <w:rPr>
          <w:rFonts w:ascii="Times New Roman" w:hAnsi="Times New Roman" w:cs="Times New Roman"/>
          <w:sz w:val="24"/>
          <w:szCs w:val="24"/>
        </w:rPr>
        <w:t xml:space="preserve">  </w:t>
      </w:r>
      <w:proofErr w:type="spellStart"/>
      <w:r w:rsidR="00D1518C" w:rsidRPr="00961440">
        <w:rPr>
          <w:rFonts w:ascii="Times New Roman" w:hAnsi="Times New Roman" w:cs="Times New Roman"/>
          <w:b/>
          <w:sz w:val="24"/>
          <w:szCs w:val="24"/>
        </w:rPr>
        <w:t>Z</w:t>
      </w:r>
      <w:r w:rsidR="00D1518C" w:rsidRPr="00961440">
        <w:rPr>
          <w:rFonts w:ascii="Times New Roman" w:hAnsi="Times New Roman" w:cs="Times New Roman"/>
          <w:b/>
          <w:sz w:val="24"/>
          <w:szCs w:val="24"/>
          <w:vertAlign w:val="subscript"/>
        </w:rPr>
        <w:t>s</w:t>
      </w:r>
      <w:proofErr w:type="gramStart"/>
      <w:r w:rsidR="00D1518C" w:rsidRPr="00961440">
        <w:rPr>
          <w:rFonts w:ascii="Times New Roman" w:hAnsi="Times New Roman" w:cs="Times New Roman"/>
          <w:b/>
          <w:sz w:val="24"/>
          <w:szCs w:val="24"/>
          <w:vertAlign w:val="subscript"/>
        </w:rPr>
        <w:t>,t</w:t>
      </w:r>
      <w:proofErr w:type="spellEnd"/>
      <w:proofErr w:type="gramEnd"/>
      <w:r w:rsidR="00D1518C" w:rsidRPr="00961440">
        <w:rPr>
          <w:rFonts w:ascii="Times New Roman" w:hAnsi="Times New Roman" w:cs="Times New Roman"/>
          <w:sz w:val="24"/>
          <w:szCs w:val="24"/>
        </w:rPr>
        <w:t xml:space="preserve"> represents certain other state-year characteristics (HMO penetration rate and its square, physician concentration rate, and median household income).</w:t>
      </w:r>
      <w:r w:rsidR="00D1518C" w:rsidRPr="00961440">
        <w:rPr>
          <w:rStyle w:val="FootnoteReference"/>
          <w:rFonts w:ascii="Times New Roman" w:hAnsi="Times New Roman" w:cs="Times New Roman"/>
          <w:sz w:val="24"/>
          <w:szCs w:val="24"/>
        </w:rPr>
        <w:footnoteReference w:id="16"/>
      </w:r>
    </w:p>
    <w:p w:rsidR="00D1518C" w:rsidRDefault="00672562" w:rsidP="00EE0292">
      <w:pPr>
        <w:jc w:val="both"/>
        <w:rPr>
          <w:rFonts w:ascii="Times New Roman" w:hAnsi="Times New Roman" w:cs="Times New Roman"/>
          <w:sz w:val="24"/>
          <w:szCs w:val="24"/>
        </w:rPr>
      </w:pPr>
      <w:r>
        <w:rPr>
          <w:rFonts w:ascii="Times New Roman" w:hAnsi="Times New Roman" w:cs="Times New Roman"/>
          <w:sz w:val="24"/>
          <w:szCs w:val="24"/>
        </w:rPr>
        <w:t xml:space="preserve">In alternative specifications, we also control for the average length of stay associated with hospitalizations for such medical conditions.  To the extent that medical liability forces also impact lengths of stay for such hospitalizations, any such development </w:t>
      </w:r>
      <w:r w:rsidR="004A586D">
        <w:rPr>
          <w:rFonts w:ascii="Times New Roman" w:hAnsi="Times New Roman" w:cs="Times New Roman"/>
          <w:sz w:val="24"/>
          <w:szCs w:val="24"/>
        </w:rPr>
        <w:t>could confound the estimation of liability forces on inpatient mortality rates insofar as longer hospitalizations otherwise increase the probability of an inpatient mortality.  The results are virtually unchanged with such controls.  Supporting this insensitivity to the inclusion of length-of-stay controls, we also find, in separate specifications</w:t>
      </w:r>
      <w:r w:rsidR="007951E0">
        <w:rPr>
          <w:rFonts w:ascii="Times New Roman" w:hAnsi="Times New Roman" w:cs="Times New Roman"/>
          <w:sz w:val="24"/>
          <w:szCs w:val="24"/>
        </w:rPr>
        <w:t xml:space="preserve"> (available upon request)</w:t>
      </w:r>
      <w:r w:rsidR="004A586D">
        <w:rPr>
          <w:rFonts w:ascii="Times New Roman" w:hAnsi="Times New Roman" w:cs="Times New Roman"/>
          <w:sz w:val="24"/>
          <w:szCs w:val="24"/>
        </w:rPr>
        <w:t xml:space="preserve">, no association between the adoption of the various reforms and </w:t>
      </w:r>
      <w:r w:rsidR="007951E0">
        <w:rPr>
          <w:rFonts w:ascii="Times New Roman" w:hAnsi="Times New Roman" w:cs="Times New Roman"/>
          <w:sz w:val="24"/>
          <w:szCs w:val="24"/>
        </w:rPr>
        <w:t xml:space="preserve">the length of stay associated with hospitalizations for the selected medical conditions.  </w:t>
      </w:r>
      <w:r w:rsidR="00D1518C" w:rsidRPr="00961440">
        <w:rPr>
          <w:rFonts w:ascii="Times New Roman" w:hAnsi="Times New Roman" w:cs="Times New Roman"/>
          <w:sz w:val="24"/>
          <w:szCs w:val="24"/>
        </w:rPr>
        <w:t xml:space="preserve">  </w:t>
      </w:r>
    </w:p>
    <w:p w:rsidR="005D7916" w:rsidRDefault="00E85CB4">
      <w:pPr>
        <w:rPr>
          <w:rFonts w:ascii="Times New Roman" w:hAnsi="Times New Roman" w:cs="Times New Roman"/>
          <w:sz w:val="24"/>
          <w:szCs w:val="24"/>
        </w:rPr>
      </w:pPr>
      <w:proofErr w:type="gramStart"/>
      <w:r w:rsidRPr="00E85CB4">
        <w:rPr>
          <w:rFonts w:ascii="Times New Roman" w:hAnsi="Times New Roman" w:cs="Times New Roman"/>
          <w:i/>
          <w:sz w:val="24"/>
          <w:szCs w:val="24"/>
        </w:rPr>
        <w:t>Avoidable hospitalization rates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sidRPr="00961440">
        <w:rPr>
          <w:rFonts w:ascii="Times New Roman" w:hAnsi="Times New Roman" w:cs="Times New Roman"/>
          <w:b/>
          <w:sz w:val="24"/>
          <w:szCs w:val="24"/>
        </w:rPr>
        <w:t>X</w:t>
      </w:r>
      <w:r w:rsidRPr="00961440">
        <w:rPr>
          <w:rFonts w:ascii="Times New Roman" w:hAnsi="Times New Roman" w:cs="Times New Roman"/>
          <w:b/>
          <w:sz w:val="24"/>
          <w:szCs w:val="24"/>
          <w:vertAlign w:val="subscript"/>
        </w:rPr>
        <w:t>s</w:t>
      </w:r>
      <w:proofErr w:type="gramStart"/>
      <w:r w:rsidRPr="00961440">
        <w:rPr>
          <w:rFonts w:ascii="Times New Roman" w:hAnsi="Times New Roman" w:cs="Times New Roman"/>
          <w:b/>
          <w:sz w:val="24"/>
          <w:szCs w:val="24"/>
          <w:vertAlign w:val="subscript"/>
        </w:rPr>
        <w:t>,t</w:t>
      </w:r>
      <w:proofErr w:type="spellEnd"/>
      <w:proofErr w:type="gramEnd"/>
      <w:r>
        <w:rPr>
          <w:rFonts w:ascii="Times New Roman" w:hAnsi="Times New Roman" w:cs="Times New Roman"/>
          <w:sz w:val="24"/>
          <w:szCs w:val="24"/>
        </w:rPr>
        <w:t xml:space="preserve"> and </w:t>
      </w:r>
      <w:proofErr w:type="spellStart"/>
      <w:r>
        <w:rPr>
          <w:rFonts w:ascii="Times New Roman" w:hAnsi="Times New Roman" w:cs="Times New Roman"/>
          <w:b/>
          <w:sz w:val="24"/>
          <w:szCs w:val="24"/>
        </w:rPr>
        <w:t>Z</w:t>
      </w:r>
      <w:r w:rsidRPr="00961440">
        <w:rPr>
          <w:rFonts w:ascii="Times New Roman" w:hAnsi="Times New Roman" w:cs="Times New Roman"/>
          <w:b/>
          <w:sz w:val="24"/>
          <w:szCs w:val="24"/>
          <w:vertAlign w:val="subscript"/>
        </w:rPr>
        <w:t>s,t</w:t>
      </w:r>
      <w:proofErr w:type="spellEnd"/>
      <w:r>
        <w:rPr>
          <w:rFonts w:ascii="Times New Roman" w:hAnsi="Times New Roman" w:cs="Times New Roman"/>
          <w:sz w:val="24"/>
          <w:szCs w:val="24"/>
        </w:rPr>
        <w:t xml:space="preserve"> in the AH rate specifications are </w:t>
      </w:r>
      <w:r w:rsidR="005D7916">
        <w:rPr>
          <w:rFonts w:ascii="Times New Roman" w:hAnsi="Times New Roman" w:cs="Times New Roman"/>
          <w:sz w:val="24"/>
          <w:szCs w:val="24"/>
        </w:rPr>
        <w:t>identical to those of the inpatient</w:t>
      </w:r>
      <w:r w:rsidR="00883343">
        <w:rPr>
          <w:rFonts w:ascii="Times New Roman" w:hAnsi="Times New Roman" w:cs="Times New Roman"/>
          <w:sz w:val="24"/>
          <w:szCs w:val="24"/>
        </w:rPr>
        <w:t xml:space="preserve"> mortality rate specifications.</w:t>
      </w:r>
    </w:p>
    <w:p w:rsidR="00642839" w:rsidRDefault="005D7916">
      <w:pPr>
        <w:rPr>
          <w:rFonts w:ascii="Times New Roman" w:hAnsi="Times New Roman" w:cs="Times New Roman"/>
          <w:sz w:val="24"/>
          <w:szCs w:val="24"/>
        </w:rPr>
      </w:pPr>
      <w:proofErr w:type="gramStart"/>
      <w:r w:rsidRPr="005D7916">
        <w:rPr>
          <w:rFonts w:ascii="Times New Roman" w:hAnsi="Times New Roman" w:cs="Times New Roman"/>
          <w:i/>
          <w:sz w:val="24"/>
          <w:szCs w:val="24"/>
        </w:rPr>
        <w:t>Maternal trauma rates</w:t>
      </w:r>
      <w:r>
        <w:rPr>
          <w:rFonts w:ascii="Times New Roman" w:hAnsi="Times New Roman" w:cs="Times New Roman"/>
          <w:i/>
          <w:sz w:val="24"/>
          <w:szCs w:val="24"/>
        </w:rPr>
        <w:t xml:space="preserve"> and delivery complication rates</w:t>
      </w:r>
      <w:r>
        <w:rPr>
          <w:rFonts w:ascii="Times New Roman" w:hAnsi="Times New Roman" w:cs="Times New Roman"/>
          <w:sz w:val="24"/>
          <w:szCs w:val="24"/>
        </w:rPr>
        <w:t>.</w:t>
      </w:r>
      <w:proofErr w:type="gramEnd"/>
      <w:r>
        <w:rPr>
          <w:rFonts w:ascii="Times New Roman" w:hAnsi="Times New Roman" w:cs="Times New Roman"/>
          <w:sz w:val="24"/>
          <w:szCs w:val="24"/>
        </w:rPr>
        <w:t xml:space="preserve">  In the obstetrics specifications</w:t>
      </w:r>
      <w:r w:rsidR="003E06CD">
        <w:rPr>
          <w:rFonts w:ascii="Times New Roman" w:hAnsi="Times New Roman" w:cs="Times New Roman"/>
          <w:sz w:val="24"/>
          <w:szCs w:val="24"/>
        </w:rPr>
        <w:t xml:space="preserve">, </w:t>
      </w:r>
      <w:r w:rsidR="003E06CD" w:rsidRPr="00961440">
        <w:rPr>
          <w:rFonts w:ascii="Times New Roman" w:hAnsi="Times New Roman" w:cs="Times New Roman"/>
          <w:b/>
          <w:sz w:val="24"/>
          <w:szCs w:val="24"/>
        </w:rPr>
        <w:t>X</w:t>
      </w:r>
      <w:r w:rsidR="003E06CD">
        <w:rPr>
          <w:rFonts w:ascii="Times New Roman" w:hAnsi="Times New Roman" w:cs="Times New Roman"/>
          <w:sz w:val="24"/>
          <w:szCs w:val="24"/>
        </w:rPr>
        <w:t xml:space="preserve"> includes </w:t>
      </w:r>
      <w:r w:rsidRPr="005D7916">
        <w:rPr>
          <w:rFonts w:ascii="Times New Roman" w:hAnsi="Times New Roman" w:cs="Times New Roman"/>
          <w:sz w:val="24"/>
          <w:szCs w:val="24"/>
        </w:rPr>
        <w:t>mother’s age (15-19, 20-24, 25-29, 30-34, 35-39 and 40+ years old); mother’s race (white, black and other); mother’s insurance status (private, government, no insurance and other); hospital bed size (0-100, 100-200, 200-300, 300-500 and 500+ beds); and hospital ownership type (proprietary, non-profit and government).</w:t>
      </w:r>
      <w:r w:rsidR="00E56D18">
        <w:rPr>
          <w:rFonts w:ascii="Times New Roman" w:hAnsi="Times New Roman" w:cs="Times New Roman"/>
          <w:sz w:val="24"/>
          <w:szCs w:val="24"/>
        </w:rPr>
        <w:t xml:space="preserve">  </w:t>
      </w:r>
      <w:proofErr w:type="spellStart"/>
      <w:r w:rsidR="00E56D18">
        <w:rPr>
          <w:rFonts w:ascii="Times New Roman" w:hAnsi="Times New Roman" w:cs="Times New Roman"/>
          <w:b/>
          <w:sz w:val="24"/>
          <w:szCs w:val="24"/>
        </w:rPr>
        <w:t>Z</w:t>
      </w:r>
      <w:r w:rsidR="00E56D18" w:rsidRPr="00961440">
        <w:rPr>
          <w:rFonts w:ascii="Times New Roman" w:hAnsi="Times New Roman" w:cs="Times New Roman"/>
          <w:b/>
          <w:sz w:val="24"/>
          <w:szCs w:val="24"/>
          <w:vertAlign w:val="subscript"/>
        </w:rPr>
        <w:t>s</w:t>
      </w:r>
      <w:proofErr w:type="gramStart"/>
      <w:r w:rsidR="00E56D18" w:rsidRPr="00961440">
        <w:rPr>
          <w:rFonts w:ascii="Times New Roman" w:hAnsi="Times New Roman" w:cs="Times New Roman"/>
          <w:b/>
          <w:sz w:val="24"/>
          <w:szCs w:val="24"/>
          <w:vertAlign w:val="subscript"/>
        </w:rPr>
        <w:t>,t</w:t>
      </w:r>
      <w:proofErr w:type="spellEnd"/>
      <w:proofErr w:type="gramEnd"/>
      <w:r w:rsidR="00E56D18">
        <w:rPr>
          <w:rFonts w:ascii="Times New Roman" w:hAnsi="Times New Roman" w:cs="Times New Roman"/>
          <w:sz w:val="24"/>
          <w:szCs w:val="24"/>
        </w:rPr>
        <w:t xml:space="preserve"> includes the state-year fertility </w:t>
      </w:r>
      <w:r w:rsidR="00E56D18">
        <w:rPr>
          <w:rFonts w:ascii="Times New Roman" w:hAnsi="Times New Roman" w:cs="Times New Roman"/>
          <w:sz w:val="24"/>
          <w:szCs w:val="24"/>
        </w:rPr>
        <w:lastRenderedPageBreak/>
        <w:t>rate, the state-year OB-GYN concentration rate</w:t>
      </w:r>
      <w:r w:rsidR="00CF666C">
        <w:rPr>
          <w:rFonts w:ascii="Times New Roman" w:hAnsi="Times New Roman" w:cs="Times New Roman"/>
          <w:sz w:val="24"/>
          <w:szCs w:val="24"/>
        </w:rPr>
        <w:t>,</w:t>
      </w:r>
      <w:r w:rsidR="007B06E4">
        <w:rPr>
          <w:rStyle w:val="FootnoteReference"/>
          <w:rFonts w:ascii="Times New Roman" w:hAnsi="Times New Roman" w:cs="Times New Roman"/>
          <w:sz w:val="24"/>
          <w:szCs w:val="24"/>
        </w:rPr>
        <w:footnoteReference w:id="17"/>
      </w:r>
      <w:r w:rsidR="00E56D18">
        <w:rPr>
          <w:rFonts w:ascii="Times New Roman" w:hAnsi="Times New Roman" w:cs="Times New Roman"/>
          <w:sz w:val="24"/>
          <w:szCs w:val="24"/>
        </w:rPr>
        <w:t xml:space="preserve"> </w:t>
      </w:r>
      <w:r w:rsidR="00CF666C">
        <w:rPr>
          <w:rFonts w:ascii="Times New Roman" w:hAnsi="Times New Roman" w:cs="Times New Roman"/>
          <w:sz w:val="24"/>
          <w:szCs w:val="24"/>
        </w:rPr>
        <w:t>the HMO penetration rate (and its square)</w:t>
      </w:r>
      <w:r w:rsidR="00CC1677">
        <w:rPr>
          <w:rFonts w:ascii="Times New Roman" w:hAnsi="Times New Roman" w:cs="Times New Roman"/>
          <w:sz w:val="24"/>
          <w:szCs w:val="24"/>
        </w:rPr>
        <w:t>, and median household income</w:t>
      </w:r>
      <w:r w:rsidR="00CF666C">
        <w:rPr>
          <w:rFonts w:ascii="Times New Roman" w:hAnsi="Times New Roman" w:cs="Times New Roman"/>
          <w:sz w:val="24"/>
          <w:szCs w:val="24"/>
        </w:rPr>
        <w:t>.</w:t>
      </w:r>
      <w:r w:rsidR="00CC1677">
        <w:rPr>
          <w:rFonts w:ascii="Times New Roman" w:hAnsi="Times New Roman" w:cs="Times New Roman"/>
          <w:sz w:val="24"/>
          <w:szCs w:val="24"/>
        </w:rPr>
        <w:t xml:space="preserve">  </w:t>
      </w:r>
      <w:r w:rsidR="00DF5F4D">
        <w:rPr>
          <w:rFonts w:ascii="Times New Roman" w:hAnsi="Times New Roman" w:cs="Times New Roman"/>
          <w:sz w:val="24"/>
          <w:szCs w:val="24"/>
        </w:rPr>
        <w:t>Obstetric specifications also include controls for cesarean delivery and episiotomy utilization.  The maternal trauma specifications also include a control c</w:t>
      </w:r>
      <w:r w:rsidR="00A224DC">
        <w:rPr>
          <w:rFonts w:ascii="Times New Roman" w:hAnsi="Times New Roman" w:cs="Times New Roman"/>
          <w:sz w:val="24"/>
          <w:szCs w:val="24"/>
        </w:rPr>
        <w:t xml:space="preserve">apturing the risk-status associated with the delivery, specified following Frakes (2013) </w:t>
      </w:r>
      <w:r w:rsidR="00575E7A">
        <w:rPr>
          <w:rFonts w:ascii="Times New Roman" w:hAnsi="Times New Roman" w:cs="Times New Roman"/>
          <w:sz w:val="24"/>
          <w:szCs w:val="24"/>
        </w:rPr>
        <w:t xml:space="preserve">as the predicted probability of cesarean delivery (PPC).  PPC values are calculated using </w:t>
      </w:r>
      <w:r w:rsidR="00575E7A" w:rsidRPr="00A6198C">
        <w:rPr>
          <w:rFonts w:ascii="Times New Roman" w:hAnsi="Times New Roman" w:cs="Times New Roman"/>
          <w:sz w:val="24"/>
          <w:szCs w:val="24"/>
        </w:rPr>
        <w:t xml:space="preserve">fitted values of a </w:t>
      </w:r>
      <w:proofErr w:type="spellStart"/>
      <w:r w:rsidR="00575E7A" w:rsidRPr="00A6198C">
        <w:rPr>
          <w:rFonts w:ascii="Times New Roman" w:hAnsi="Times New Roman" w:cs="Times New Roman"/>
          <w:sz w:val="24"/>
          <w:szCs w:val="24"/>
        </w:rPr>
        <w:t>logit</w:t>
      </w:r>
      <w:proofErr w:type="spellEnd"/>
      <w:r w:rsidR="00575E7A" w:rsidRPr="00A6198C">
        <w:rPr>
          <w:rFonts w:ascii="Times New Roman" w:hAnsi="Times New Roman" w:cs="Times New Roman"/>
          <w:sz w:val="24"/>
          <w:szCs w:val="24"/>
        </w:rPr>
        <w:t xml:space="preserve"> model (estimated annually) of the incidence of cesarean delivery on a set of individual risk factors and complications.</w:t>
      </w:r>
      <w:r w:rsidR="00575E7A">
        <w:rPr>
          <w:rFonts w:ascii="Times New Roman" w:hAnsi="Times New Roman" w:cs="Times New Roman"/>
          <w:sz w:val="24"/>
          <w:szCs w:val="24"/>
        </w:rPr>
        <w:t xml:space="preserve">  We include this measure from Frakes (2013) simply as a way to capture all such risk factors and complications in a single measure.  The results are robust to including separate indicator variables for all such measures.  Note that we exclude this control in the main specification of the delivery complications specification given that the outcome variable in that context is meant to capture certain of those complications itself.  In alternative specifications of the delivery complications approach, we also include controls for all non-preventable complications and risk factors.  The results are virtually identical under such alternative specifications (available upon request).  </w:t>
      </w:r>
      <w:r w:rsidR="00CF666C">
        <w:rPr>
          <w:rFonts w:ascii="Times New Roman" w:hAnsi="Times New Roman" w:cs="Times New Roman"/>
          <w:sz w:val="24"/>
          <w:szCs w:val="24"/>
        </w:rPr>
        <w:t xml:space="preserve"> </w:t>
      </w:r>
      <w:r w:rsidRPr="005D7916">
        <w:rPr>
          <w:rFonts w:ascii="Times New Roman" w:hAnsi="Times New Roman" w:cs="Times New Roman"/>
          <w:sz w:val="24"/>
          <w:szCs w:val="24"/>
        </w:rPr>
        <w:t xml:space="preserve">  </w:t>
      </w:r>
    </w:p>
    <w:p w:rsidR="007F656F" w:rsidRPr="00ED1CE6" w:rsidRDefault="00642839">
      <w:pPr>
        <w:rPr>
          <w:rFonts w:ascii="Times New Roman" w:hAnsi="Times New Roman" w:cs="Times New Roman"/>
          <w:sz w:val="24"/>
          <w:szCs w:val="24"/>
        </w:rPr>
      </w:pPr>
      <w:proofErr w:type="gramStart"/>
      <w:r w:rsidRPr="00642839">
        <w:rPr>
          <w:rFonts w:ascii="Times New Roman" w:hAnsi="Times New Roman" w:cs="Times New Roman"/>
          <w:i/>
          <w:sz w:val="24"/>
          <w:szCs w:val="24"/>
        </w:rPr>
        <w:t>Cancer Screening Rates</w:t>
      </w:r>
      <w:r>
        <w:rPr>
          <w:rFonts w:ascii="Times New Roman" w:hAnsi="Times New Roman" w:cs="Times New Roman"/>
          <w:sz w:val="24"/>
          <w:szCs w:val="24"/>
        </w:rPr>
        <w:t>.</w:t>
      </w:r>
      <w:proofErr w:type="gramEnd"/>
      <w:r w:rsidR="00977CD9">
        <w:rPr>
          <w:rFonts w:ascii="Times New Roman" w:hAnsi="Times New Roman" w:cs="Times New Roman"/>
          <w:sz w:val="24"/>
          <w:szCs w:val="24"/>
        </w:rPr>
        <w:t xml:space="preserve">  </w:t>
      </w:r>
      <w:r w:rsidR="007F656F" w:rsidRPr="007F656F">
        <w:rPr>
          <w:rFonts w:ascii="Times New Roman" w:hAnsi="Times New Roman" w:cs="Times New Roman"/>
          <w:b/>
          <w:sz w:val="24"/>
          <w:szCs w:val="24"/>
        </w:rPr>
        <w:t>X</w:t>
      </w:r>
      <w:r w:rsidR="007F656F">
        <w:rPr>
          <w:rFonts w:ascii="Times New Roman" w:hAnsi="Times New Roman" w:cs="Times New Roman"/>
          <w:sz w:val="24"/>
          <w:szCs w:val="24"/>
        </w:rPr>
        <w:t xml:space="preserve"> in the cancer screening specifications includes various individual characteristics provided for in the BRFSS files: marital status (married, widowed, divorced, </w:t>
      </w:r>
      <w:proofErr w:type="gramStart"/>
      <w:r w:rsidR="007F656F">
        <w:rPr>
          <w:rFonts w:ascii="Times New Roman" w:hAnsi="Times New Roman" w:cs="Times New Roman"/>
          <w:sz w:val="24"/>
          <w:szCs w:val="24"/>
        </w:rPr>
        <w:t>single</w:t>
      </w:r>
      <w:proofErr w:type="gramEnd"/>
      <w:r w:rsidR="007F656F">
        <w:rPr>
          <w:rFonts w:ascii="Times New Roman" w:hAnsi="Times New Roman" w:cs="Times New Roman"/>
          <w:sz w:val="24"/>
          <w:szCs w:val="24"/>
        </w:rPr>
        <w:t xml:space="preserve">), race (white, black, and other), educational attainment category, Hispanic origin, income (and its square), age category (by age </w:t>
      </w:r>
      <w:proofErr w:type="spellStart"/>
      <w:r w:rsidR="007F656F">
        <w:rPr>
          <w:rFonts w:ascii="Times New Roman" w:hAnsi="Times New Roman" w:cs="Times New Roman"/>
          <w:sz w:val="24"/>
          <w:szCs w:val="24"/>
        </w:rPr>
        <w:t>deciles</w:t>
      </w:r>
      <w:proofErr w:type="spellEnd"/>
      <w:r w:rsidR="007F656F">
        <w:rPr>
          <w:rFonts w:ascii="Times New Roman" w:hAnsi="Times New Roman" w:cs="Times New Roman"/>
          <w:sz w:val="24"/>
          <w:szCs w:val="24"/>
        </w:rPr>
        <w:t xml:space="preserve">), and smoking status.  </w:t>
      </w:r>
      <w:r w:rsidR="00ED1CE6" w:rsidRPr="00ED1CE6">
        <w:rPr>
          <w:rFonts w:ascii="Times New Roman" w:hAnsi="Times New Roman" w:cs="Times New Roman"/>
          <w:b/>
          <w:sz w:val="24"/>
          <w:szCs w:val="24"/>
        </w:rPr>
        <w:t>Z</w:t>
      </w:r>
      <w:r w:rsidR="00ED1CE6">
        <w:rPr>
          <w:rFonts w:ascii="Times New Roman" w:hAnsi="Times New Roman" w:cs="Times New Roman"/>
          <w:b/>
          <w:sz w:val="24"/>
          <w:szCs w:val="24"/>
        </w:rPr>
        <w:t xml:space="preserve"> </w:t>
      </w:r>
      <w:r w:rsidR="00ED1CE6">
        <w:rPr>
          <w:rFonts w:ascii="Times New Roman" w:hAnsi="Times New Roman" w:cs="Times New Roman"/>
          <w:sz w:val="24"/>
          <w:szCs w:val="24"/>
        </w:rPr>
        <w:t>includes certain characteristics of the prevailing state-year health care market (including physician concentration rate and the average number of hospital beds per capita),</w:t>
      </w:r>
      <w:r w:rsidR="00ED1CE6">
        <w:rPr>
          <w:rStyle w:val="FootnoteReference"/>
          <w:rFonts w:ascii="Times New Roman" w:hAnsi="Times New Roman" w:cs="Times New Roman"/>
          <w:sz w:val="24"/>
          <w:szCs w:val="24"/>
        </w:rPr>
        <w:footnoteReference w:id="18"/>
      </w:r>
      <w:r w:rsidR="00ED1CE6">
        <w:rPr>
          <w:rFonts w:ascii="Times New Roman" w:hAnsi="Times New Roman" w:cs="Times New Roman"/>
          <w:sz w:val="24"/>
          <w:szCs w:val="24"/>
        </w:rPr>
        <w:t xml:space="preserve"> along with HMO penetration rates and its square.  </w:t>
      </w:r>
    </w:p>
    <w:p w:rsidR="007F656F" w:rsidRDefault="007F656F">
      <w:pPr>
        <w:rPr>
          <w:rFonts w:ascii="Times New Roman" w:hAnsi="Times New Roman" w:cs="Times New Roman"/>
          <w:sz w:val="24"/>
          <w:szCs w:val="24"/>
        </w:rPr>
      </w:pPr>
    </w:p>
    <w:p w:rsidR="00225CD0" w:rsidRPr="00225CD0" w:rsidRDefault="00225CD0">
      <w:pPr>
        <w:rPr>
          <w:rFonts w:ascii="Times New Roman" w:hAnsi="Times New Roman" w:cs="Times New Roman"/>
          <w:b/>
          <w:i/>
          <w:sz w:val="24"/>
          <w:szCs w:val="24"/>
          <w:u w:val="single"/>
        </w:rPr>
      </w:pPr>
      <w:r w:rsidRPr="00225CD0">
        <w:rPr>
          <w:rFonts w:ascii="Times New Roman" w:hAnsi="Times New Roman" w:cs="Times New Roman"/>
          <w:b/>
          <w:i/>
          <w:sz w:val="24"/>
          <w:szCs w:val="24"/>
          <w:u w:val="single"/>
        </w:rPr>
        <w:t>Note on Liability-Standards Specifications</w:t>
      </w:r>
    </w:p>
    <w:p w:rsidR="00225CD0" w:rsidRDefault="00225CD0">
      <w:pPr>
        <w:rPr>
          <w:rFonts w:ascii="Times New Roman" w:hAnsi="Times New Roman" w:cs="Times New Roman"/>
          <w:sz w:val="24"/>
          <w:szCs w:val="24"/>
        </w:rPr>
      </w:pPr>
      <w:r w:rsidRPr="00225CD0">
        <w:rPr>
          <w:rFonts w:ascii="Times New Roman" w:hAnsi="Times New Roman" w:cs="Times New Roman"/>
          <w:sz w:val="24"/>
          <w:szCs w:val="24"/>
        </w:rPr>
        <w:t xml:space="preserve">Following </w:t>
      </w:r>
      <w:proofErr w:type="spellStart"/>
      <w:r w:rsidRPr="00225CD0">
        <w:rPr>
          <w:rFonts w:ascii="Times New Roman" w:hAnsi="Times New Roman" w:cs="Times New Roman"/>
          <w:sz w:val="24"/>
          <w:szCs w:val="24"/>
        </w:rPr>
        <w:t>Frakes</w:t>
      </w:r>
      <w:proofErr w:type="spellEnd"/>
      <w:r w:rsidRPr="00225CD0">
        <w:rPr>
          <w:rFonts w:ascii="Times New Roman" w:hAnsi="Times New Roman" w:cs="Times New Roman"/>
          <w:sz w:val="24"/>
          <w:szCs w:val="24"/>
        </w:rPr>
        <w:t xml:space="preserve"> (2013), we exclude from this initially-high versus initially-low analysis the state of Maryland, which modified its standard of care laws over the 1990s to retreat from a previous national-standard adoption, insofar as it is difficult to hypothesize the direction in which practices will evolve subsequent to this retreat.  </w:t>
      </w:r>
    </w:p>
    <w:p w:rsidR="006B4A8E" w:rsidRDefault="005D7916">
      <w:pPr>
        <w:rPr>
          <w:rFonts w:ascii="Times New Roman" w:hAnsi="Times New Roman" w:cs="Times New Roman"/>
          <w:sz w:val="24"/>
          <w:szCs w:val="24"/>
        </w:rPr>
      </w:pPr>
      <w:r w:rsidRPr="005D7916">
        <w:rPr>
          <w:rFonts w:ascii="Times New Roman" w:hAnsi="Times New Roman" w:cs="Times New Roman"/>
          <w:sz w:val="24"/>
          <w:szCs w:val="24"/>
        </w:rPr>
        <w:t xml:space="preserve"> </w:t>
      </w:r>
      <w:r>
        <w:rPr>
          <w:rFonts w:ascii="Times New Roman" w:hAnsi="Times New Roman" w:cs="Times New Roman"/>
          <w:sz w:val="24"/>
          <w:szCs w:val="24"/>
        </w:rPr>
        <w:t xml:space="preserve">  </w:t>
      </w:r>
      <w:r w:rsidR="006B4A8E">
        <w:rPr>
          <w:rFonts w:ascii="Times New Roman" w:hAnsi="Times New Roman" w:cs="Times New Roman"/>
          <w:sz w:val="24"/>
          <w:szCs w:val="24"/>
        </w:rPr>
        <w:br w:type="page"/>
      </w:r>
    </w:p>
    <w:p w:rsidR="006B4A8E" w:rsidRPr="006B4A8E" w:rsidRDefault="006B4A8E" w:rsidP="006E159E">
      <w:pPr>
        <w:rPr>
          <w:rFonts w:ascii="Times New Roman" w:hAnsi="Times New Roman" w:cs="Times New Roman"/>
          <w:b/>
          <w:sz w:val="24"/>
          <w:szCs w:val="24"/>
        </w:rPr>
      </w:pPr>
      <w:r w:rsidRPr="006B4A8E">
        <w:rPr>
          <w:rFonts w:ascii="Times New Roman" w:hAnsi="Times New Roman" w:cs="Times New Roman"/>
          <w:b/>
          <w:sz w:val="24"/>
          <w:szCs w:val="24"/>
        </w:rPr>
        <w:lastRenderedPageBreak/>
        <w:t>Online Appendix C: Additional Robustness Checks</w:t>
      </w:r>
    </w:p>
    <w:p w:rsidR="00BD43AC" w:rsidRDefault="00BD43AC" w:rsidP="006E159E">
      <w:pPr>
        <w:rPr>
          <w:rFonts w:ascii="Times New Roman" w:hAnsi="Times New Roman" w:cs="Times New Roman"/>
          <w:sz w:val="24"/>
          <w:szCs w:val="24"/>
        </w:rPr>
      </w:pPr>
    </w:p>
    <w:p w:rsidR="006B4A8E" w:rsidRPr="00BD43AC" w:rsidRDefault="00BD43AC" w:rsidP="006E159E">
      <w:pPr>
        <w:rPr>
          <w:rFonts w:ascii="Times New Roman" w:hAnsi="Times New Roman" w:cs="Times New Roman"/>
          <w:b/>
          <w:i/>
          <w:sz w:val="24"/>
          <w:szCs w:val="24"/>
          <w:u w:val="single"/>
        </w:rPr>
      </w:pPr>
      <w:r w:rsidRPr="00BD43AC">
        <w:rPr>
          <w:rFonts w:ascii="Times New Roman" w:hAnsi="Times New Roman" w:cs="Times New Roman"/>
          <w:b/>
          <w:i/>
          <w:sz w:val="24"/>
          <w:szCs w:val="24"/>
          <w:u w:val="single"/>
        </w:rPr>
        <w:t>Dynamic Difference-in-Difference Results</w:t>
      </w:r>
    </w:p>
    <w:p w:rsidR="006B4A8E" w:rsidRDefault="006B4A8E" w:rsidP="006E159E">
      <w:pPr>
        <w:rPr>
          <w:rFonts w:ascii="Times New Roman" w:hAnsi="Times New Roman" w:cs="Times New Roman"/>
          <w:sz w:val="24"/>
          <w:szCs w:val="24"/>
        </w:rPr>
      </w:pPr>
    </w:p>
    <w:p w:rsidR="00681AB5" w:rsidRDefault="00C00F78" w:rsidP="00681AB5">
      <w:pPr>
        <w:jc w:val="center"/>
        <w:rPr>
          <w:rFonts w:ascii="Times New Roman" w:hAnsi="Times New Roman" w:cs="Times New Roman"/>
          <w:sz w:val="16"/>
          <w:szCs w:val="16"/>
        </w:rPr>
      </w:pPr>
      <w:r>
        <w:rPr>
          <w:rFonts w:ascii="Times New Roman" w:hAnsi="Times New Roman" w:cs="Times New Roman"/>
          <w:sz w:val="16"/>
          <w:szCs w:val="16"/>
        </w:rPr>
        <w:t>Table C1</w:t>
      </w:r>
      <w:r w:rsidR="005B23A8">
        <w:rPr>
          <w:rFonts w:ascii="Times New Roman" w:hAnsi="Times New Roman" w:cs="Times New Roman"/>
          <w:sz w:val="16"/>
          <w:szCs w:val="16"/>
        </w:rPr>
        <w:t xml:space="preserve">.  </w:t>
      </w:r>
      <w:r w:rsidR="005B23A8" w:rsidRPr="00D5221C">
        <w:rPr>
          <w:rFonts w:ascii="Times New Roman" w:hAnsi="Times New Roman" w:cs="Times New Roman"/>
          <w:sz w:val="16"/>
          <w:szCs w:val="16"/>
        </w:rPr>
        <w:t xml:space="preserve">Relationship between </w:t>
      </w:r>
      <w:r w:rsidR="00BA63F1">
        <w:rPr>
          <w:rFonts w:ascii="Times New Roman" w:hAnsi="Times New Roman" w:cs="Times New Roman"/>
          <w:sz w:val="16"/>
          <w:szCs w:val="16"/>
        </w:rPr>
        <w:t xml:space="preserve">Damage Caps </w:t>
      </w:r>
      <w:r w:rsidR="005B23A8" w:rsidRPr="00D5221C">
        <w:rPr>
          <w:rFonts w:ascii="Times New Roman" w:hAnsi="Times New Roman" w:cs="Times New Roman"/>
          <w:sz w:val="16"/>
          <w:szCs w:val="16"/>
        </w:rPr>
        <w:t xml:space="preserve">and the </w:t>
      </w:r>
      <w:r w:rsidR="005B23A8">
        <w:rPr>
          <w:rFonts w:ascii="Times New Roman" w:hAnsi="Times New Roman" w:cs="Times New Roman"/>
          <w:sz w:val="16"/>
          <w:szCs w:val="16"/>
        </w:rPr>
        <w:t>AHRQ-Inspired Quality Indicators: Dynamic</w:t>
      </w:r>
    </w:p>
    <w:p w:rsidR="00D078EE" w:rsidRDefault="005B23A8" w:rsidP="00681AB5">
      <w:pPr>
        <w:jc w:val="center"/>
        <w:rPr>
          <w:rFonts w:ascii="Times New Roman" w:hAnsi="Times New Roman" w:cs="Times New Roman"/>
          <w:sz w:val="24"/>
          <w:szCs w:val="24"/>
        </w:rPr>
      </w:pPr>
      <w:r>
        <w:rPr>
          <w:rFonts w:ascii="Times New Roman" w:hAnsi="Times New Roman" w:cs="Times New Roman"/>
          <w:sz w:val="16"/>
          <w:szCs w:val="16"/>
        </w:rPr>
        <w:t>Difference-in-Difference Regression Results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242"/>
        <w:gridCol w:w="1242"/>
        <w:gridCol w:w="1242"/>
        <w:gridCol w:w="1242"/>
        <w:gridCol w:w="1242"/>
      </w:tblGrid>
      <w:tr w:rsidR="00F0739C" w:rsidRPr="006542D6" w:rsidTr="00F0739C">
        <w:tc>
          <w:tcPr>
            <w:tcW w:w="1800" w:type="dxa"/>
            <w:tcBorders>
              <w:top w:val="thinThickLargeGap" w:sz="24" w:space="0" w:color="auto"/>
              <w:bottom w:val="single" w:sz="4" w:space="0" w:color="auto"/>
            </w:tcBorders>
          </w:tcPr>
          <w:p w:rsidR="00F0739C" w:rsidRPr="006542D6" w:rsidRDefault="00F0739C" w:rsidP="00F0739C">
            <w:pPr>
              <w:jc w:val="center"/>
              <w:rPr>
                <w:rFonts w:ascii="Times New Roman" w:hAnsi="Times New Roman" w:cs="Times New Roman"/>
                <w:smallCaps/>
                <w:sz w:val="16"/>
                <w:szCs w:val="16"/>
              </w:rPr>
            </w:pPr>
          </w:p>
        </w:tc>
        <w:tc>
          <w:tcPr>
            <w:tcW w:w="1242" w:type="dxa"/>
            <w:tcBorders>
              <w:top w:val="thinThickLargeGap" w:sz="24" w:space="0" w:color="auto"/>
              <w:bottom w:val="single" w:sz="4" w:space="0" w:color="auto"/>
            </w:tcBorders>
            <w:vAlign w:val="center"/>
          </w:tcPr>
          <w:p w:rsidR="00F0739C" w:rsidRPr="006542D6" w:rsidRDefault="00F0739C" w:rsidP="00F0739C">
            <w:pPr>
              <w:jc w:val="center"/>
              <w:rPr>
                <w:rFonts w:ascii="Times New Roman" w:hAnsi="Times New Roman" w:cs="Times New Roman"/>
                <w:smallCaps/>
                <w:sz w:val="16"/>
                <w:szCs w:val="16"/>
              </w:rPr>
            </w:pPr>
            <w:r w:rsidRPr="006542D6">
              <w:rPr>
                <w:rFonts w:ascii="Times New Roman" w:hAnsi="Times New Roman" w:cs="Times New Roman"/>
                <w:smallCaps/>
                <w:sz w:val="16"/>
                <w:szCs w:val="16"/>
              </w:rPr>
              <w:t>(1)</w:t>
            </w:r>
          </w:p>
        </w:tc>
        <w:tc>
          <w:tcPr>
            <w:tcW w:w="1242" w:type="dxa"/>
            <w:tcBorders>
              <w:top w:val="thinThickLargeGap" w:sz="24" w:space="0" w:color="auto"/>
              <w:bottom w:val="single" w:sz="4" w:space="0" w:color="auto"/>
            </w:tcBorders>
            <w:vAlign w:val="center"/>
          </w:tcPr>
          <w:p w:rsidR="00F0739C" w:rsidRPr="006542D6" w:rsidRDefault="00F0739C" w:rsidP="00F0739C">
            <w:pPr>
              <w:jc w:val="center"/>
              <w:rPr>
                <w:rFonts w:ascii="Times New Roman" w:hAnsi="Times New Roman" w:cs="Times New Roman"/>
                <w:smallCaps/>
                <w:sz w:val="16"/>
                <w:szCs w:val="16"/>
              </w:rPr>
            </w:pPr>
            <w:r w:rsidRPr="006542D6">
              <w:rPr>
                <w:rFonts w:ascii="Times New Roman" w:hAnsi="Times New Roman" w:cs="Times New Roman"/>
                <w:smallCaps/>
                <w:sz w:val="16"/>
                <w:szCs w:val="16"/>
              </w:rPr>
              <w:t>(2)</w:t>
            </w:r>
          </w:p>
        </w:tc>
        <w:tc>
          <w:tcPr>
            <w:tcW w:w="1242" w:type="dxa"/>
            <w:tcBorders>
              <w:top w:val="thinThickLargeGap" w:sz="24" w:space="0" w:color="auto"/>
              <w:bottom w:val="single" w:sz="4" w:space="0" w:color="auto"/>
            </w:tcBorders>
            <w:vAlign w:val="center"/>
          </w:tcPr>
          <w:p w:rsidR="00F0739C" w:rsidRPr="006542D6" w:rsidRDefault="00F0739C" w:rsidP="00F0739C">
            <w:pPr>
              <w:jc w:val="center"/>
              <w:rPr>
                <w:rFonts w:ascii="Times New Roman" w:hAnsi="Times New Roman" w:cs="Times New Roman"/>
                <w:smallCaps/>
                <w:sz w:val="16"/>
                <w:szCs w:val="16"/>
              </w:rPr>
            </w:pPr>
            <w:r w:rsidRPr="006542D6">
              <w:rPr>
                <w:rFonts w:ascii="Times New Roman" w:hAnsi="Times New Roman" w:cs="Times New Roman"/>
                <w:smallCaps/>
                <w:sz w:val="16"/>
                <w:szCs w:val="16"/>
              </w:rPr>
              <w:t>(3)</w:t>
            </w:r>
          </w:p>
        </w:tc>
        <w:tc>
          <w:tcPr>
            <w:tcW w:w="1242" w:type="dxa"/>
            <w:tcBorders>
              <w:top w:val="thinThickLargeGap" w:sz="24" w:space="0" w:color="auto"/>
              <w:bottom w:val="single" w:sz="4" w:space="0" w:color="auto"/>
            </w:tcBorders>
            <w:vAlign w:val="center"/>
          </w:tcPr>
          <w:p w:rsidR="00F0739C" w:rsidRPr="006542D6" w:rsidRDefault="00F0739C" w:rsidP="00F0739C">
            <w:pPr>
              <w:jc w:val="center"/>
              <w:rPr>
                <w:rFonts w:ascii="Times New Roman" w:hAnsi="Times New Roman" w:cs="Times New Roman"/>
                <w:smallCaps/>
                <w:sz w:val="16"/>
                <w:szCs w:val="16"/>
              </w:rPr>
            </w:pPr>
            <w:r w:rsidRPr="006542D6">
              <w:rPr>
                <w:rFonts w:ascii="Times New Roman" w:hAnsi="Times New Roman" w:cs="Times New Roman"/>
                <w:smallCaps/>
                <w:sz w:val="16"/>
                <w:szCs w:val="16"/>
              </w:rPr>
              <w:t>(4)</w:t>
            </w:r>
          </w:p>
        </w:tc>
        <w:tc>
          <w:tcPr>
            <w:tcW w:w="1242" w:type="dxa"/>
            <w:tcBorders>
              <w:top w:val="thinThickLargeGap" w:sz="24" w:space="0" w:color="auto"/>
              <w:bottom w:val="single" w:sz="4" w:space="0" w:color="auto"/>
            </w:tcBorders>
            <w:vAlign w:val="center"/>
          </w:tcPr>
          <w:p w:rsidR="00F0739C" w:rsidRPr="006542D6" w:rsidRDefault="00F0739C" w:rsidP="00F0739C">
            <w:pPr>
              <w:jc w:val="center"/>
              <w:rPr>
                <w:rFonts w:ascii="Times New Roman" w:hAnsi="Times New Roman" w:cs="Times New Roman"/>
                <w:smallCaps/>
                <w:sz w:val="16"/>
                <w:szCs w:val="16"/>
              </w:rPr>
            </w:pPr>
            <w:r>
              <w:rPr>
                <w:rFonts w:ascii="Times New Roman" w:hAnsi="Times New Roman" w:cs="Times New Roman"/>
                <w:smallCaps/>
                <w:sz w:val="16"/>
                <w:szCs w:val="16"/>
              </w:rPr>
              <w:t>(5)</w:t>
            </w:r>
          </w:p>
        </w:tc>
      </w:tr>
      <w:tr w:rsidR="00F0739C" w:rsidRPr="006542D6" w:rsidTr="00F0739C">
        <w:tc>
          <w:tcPr>
            <w:tcW w:w="1800" w:type="dxa"/>
            <w:vAlign w:val="center"/>
          </w:tcPr>
          <w:p w:rsidR="00F0739C" w:rsidRPr="006542D6" w:rsidRDefault="00F0739C" w:rsidP="00F0739C">
            <w:pPr>
              <w:spacing w:line="360" w:lineRule="auto"/>
              <w:rPr>
                <w:rFonts w:ascii="Times New Roman" w:hAnsi="Times New Roman" w:cs="Times New Roman"/>
                <w:sz w:val="16"/>
                <w:szCs w:val="16"/>
              </w:rPr>
            </w:pPr>
          </w:p>
        </w:tc>
        <w:tc>
          <w:tcPr>
            <w:tcW w:w="1242" w:type="dxa"/>
            <w:vAlign w:val="center"/>
          </w:tcPr>
          <w:p w:rsidR="00F0739C" w:rsidRPr="006542D6"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Inpatient Mortality Rate</w:t>
            </w:r>
          </w:p>
        </w:tc>
        <w:tc>
          <w:tcPr>
            <w:tcW w:w="1242" w:type="dxa"/>
            <w:vAlign w:val="center"/>
          </w:tcPr>
          <w:p w:rsidR="00F0739C" w:rsidRPr="006542D6"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AH RATE</w:t>
            </w:r>
          </w:p>
        </w:tc>
        <w:tc>
          <w:tcPr>
            <w:tcW w:w="1242" w:type="dxa"/>
            <w:vAlign w:val="center"/>
          </w:tcPr>
          <w:p w:rsidR="00F0739C" w:rsidRDefault="00F0739C" w:rsidP="00CE6AA4">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Low-discretion</w:t>
            </w:r>
          </w:p>
          <w:p w:rsidR="00F0739C" w:rsidRPr="006542D6" w:rsidRDefault="00F0739C" w:rsidP="00CE6AA4">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AH Rate</w:t>
            </w:r>
          </w:p>
        </w:tc>
        <w:tc>
          <w:tcPr>
            <w:tcW w:w="1242" w:type="dxa"/>
            <w:vAlign w:val="center"/>
          </w:tcPr>
          <w:p w:rsidR="00F0739C" w:rsidRPr="006542D6"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Maternal Trauma Rate</w:t>
            </w:r>
          </w:p>
        </w:tc>
        <w:tc>
          <w:tcPr>
            <w:tcW w:w="1242" w:type="dxa"/>
            <w:vAlign w:val="center"/>
          </w:tcPr>
          <w:p w:rsidR="00F0739C" w:rsidRPr="006542D6"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 xml:space="preserve">Preventable Delivery </w:t>
            </w:r>
            <w:proofErr w:type="spellStart"/>
            <w:r>
              <w:rPr>
                <w:rFonts w:ascii="Times New Roman" w:hAnsi="Times New Roman" w:cs="Times New Roman"/>
                <w:smallCaps/>
                <w:sz w:val="16"/>
                <w:szCs w:val="16"/>
              </w:rPr>
              <w:t>Complica-tions</w:t>
            </w:r>
            <w:proofErr w:type="spellEnd"/>
          </w:p>
        </w:tc>
      </w:tr>
      <w:tr w:rsidR="00F0739C" w:rsidRPr="006542D6" w:rsidTr="00F0739C">
        <w:tc>
          <w:tcPr>
            <w:tcW w:w="1800" w:type="dxa"/>
            <w:vAlign w:val="center"/>
          </w:tcPr>
          <w:p w:rsidR="00F0739C" w:rsidRPr="00CE6AA4" w:rsidRDefault="00F0739C" w:rsidP="00F0739C">
            <w:pPr>
              <w:spacing w:line="360" w:lineRule="auto"/>
              <w:rPr>
                <w:rFonts w:ascii="Times New Roman" w:hAnsi="Times New Roman" w:cs="Times New Roman"/>
                <w:sz w:val="16"/>
                <w:szCs w:val="16"/>
                <w:u w:val="single"/>
              </w:rPr>
            </w:pPr>
            <w:r w:rsidRPr="00CE6AA4">
              <w:rPr>
                <w:rFonts w:ascii="Times New Roman" w:hAnsi="Times New Roman" w:cs="Times New Roman"/>
                <w:sz w:val="16"/>
                <w:szCs w:val="16"/>
                <w:u w:val="single"/>
              </w:rPr>
              <w:t>Non-Economic Damage Cap</w:t>
            </w:r>
          </w:p>
        </w:tc>
        <w:tc>
          <w:tcPr>
            <w:tcW w:w="1242" w:type="dxa"/>
            <w:vAlign w:val="center"/>
          </w:tcPr>
          <w:p w:rsidR="00F0739C" w:rsidRPr="006542D6" w:rsidRDefault="00F0739C" w:rsidP="00F0739C">
            <w:pPr>
              <w:spacing w:line="360" w:lineRule="auto"/>
              <w:jc w:val="center"/>
              <w:rPr>
                <w:rFonts w:ascii="Times New Roman" w:hAnsi="Times New Roman" w:cs="Times New Roman"/>
                <w:smallCaps/>
                <w:sz w:val="16"/>
                <w:szCs w:val="16"/>
              </w:rPr>
            </w:pPr>
          </w:p>
        </w:tc>
        <w:tc>
          <w:tcPr>
            <w:tcW w:w="1242" w:type="dxa"/>
            <w:vAlign w:val="center"/>
          </w:tcPr>
          <w:p w:rsidR="00F0739C" w:rsidRPr="006542D6" w:rsidRDefault="00F0739C" w:rsidP="00DF700A">
            <w:pPr>
              <w:spacing w:line="360" w:lineRule="auto"/>
              <w:rPr>
                <w:rFonts w:ascii="Times New Roman" w:hAnsi="Times New Roman" w:cs="Times New Roman"/>
                <w:smallCaps/>
                <w:sz w:val="16"/>
                <w:szCs w:val="16"/>
              </w:rPr>
            </w:pPr>
          </w:p>
        </w:tc>
        <w:tc>
          <w:tcPr>
            <w:tcW w:w="1242" w:type="dxa"/>
            <w:vAlign w:val="center"/>
          </w:tcPr>
          <w:p w:rsidR="00F0739C" w:rsidRPr="006542D6" w:rsidRDefault="00F0739C" w:rsidP="00F0739C">
            <w:pPr>
              <w:spacing w:line="360" w:lineRule="auto"/>
              <w:jc w:val="center"/>
              <w:rPr>
                <w:rFonts w:ascii="Times New Roman" w:hAnsi="Times New Roman" w:cs="Times New Roman"/>
                <w:smallCaps/>
                <w:sz w:val="16"/>
                <w:szCs w:val="16"/>
              </w:rPr>
            </w:pPr>
          </w:p>
        </w:tc>
        <w:tc>
          <w:tcPr>
            <w:tcW w:w="1242" w:type="dxa"/>
            <w:vAlign w:val="center"/>
          </w:tcPr>
          <w:p w:rsidR="00F0739C" w:rsidRPr="006542D6" w:rsidRDefault="00F0739C" w:rsidP="00F0739C">
            <w:pPr>
              <w:spacing w:line="360" w:lineRule="auto"/>
              <w:jc w:val="center"/>
              <w:rPr>
                <w:rFonts w:ascii="Times New Roman" w:hAnsi="Times New Roman" w:cs="Times New Roman"/>
                <w:smallCaps/>
                <w:sz w:val="16"/>
                <w:szCs w:val="16"/>
              </w:rPr>
            </w:pPr>
          </w:p>
        </w:tc>
        <w:tc>
          <w:tcPr>
            <w:tcW w:w="1242" w:type="dxa"/>
            <w:vAlign w:val="center"/>
          </w:tcPr>
          <w:p w:rsidR="00F0739C" w:rsidRPr="006542D6" w:rsidRDefault="00F0739C" w:rsidP="00F0739C">
            <w:pPr>
              <w:spacing w:line="360" w:lineRule="auto"/>
              <w:jc w:val="center"/>
              <w:rPr>
                <w:rFonts w:ascii="Times New Roman" w:hAnsi="Times New Roman" w:cs="Times New Roman"/>
                <w:smallCaps/>
                <w:sz w:val="16"/>
                <w:szCs w:val="16"/>
              </w:rPr>
            </w:pPr>
          </w:p>
        </w:tc>
      </w:tr>
      <w:tr w:rsidR="00F0739C" w:rsidRPr="006542D6" w:rsidTr="00F0739C">
        <w:tc>
          <w:tcPr>
            <w:tcW w:w="1800" w:type="dxa"/>
            <w:vAlign w:val="center"/>
          </w:tcPr>
          <w:p w:rsidR="00F0739C" w:rsidRPr="006542D6" w:rsidRDefault="00F0739C" w:rsidP="00F0739C">
            <w:pPr>
              <w:spacing w:line="360" w:lineRule="auto"/>
              <w:rPr>
                <w:rFonts w:ascii="Times New Roman" w:hAnsi="Times New Roman" w:cs="Times New Roman"/>
                <w:sz w:val="16"/>
                <w:szCs w:val="16"/>
              </w:rPr>
            </w:pPr>
            <w:r>
              <w:rPr>
                <w:rFonts w:ascii="Times New Roman" w:hAnsi="Times New Roman" w:cs="Times New Roman"/>
                <w:sz w:val="16"/>
                <w:szCs w:val="16"/>
              </w:rPr>
              <w:t>4-Year Lead Dummy</w:t>
            </w:r>
          </w:p>
        </w:tc>
        <w:tc>
          <w:tcPr>
            <w:tcW w:w="1242" w:type="dxa"/>
            <w:vAlign w:val="center"/>
          </w:tcPr>
          <w:p w:rsidR="00F0739C" w:rsidRDefault="00F0739C" w:rsidP="00DF700A">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-0.084***</w:t>
            </w:r>
          </w:p>
          <w:p w:rsidR="00F0739C" w:rsidRPr="006542D6" w:rsidRDefault="00F0739C" w:rsidP="00DF700A">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DF700A">
              <w:rPr>
                <w:rFonts w:ascii="Times New Roman" w:hAnsi="Times New Roman" w:cs="Times New Roman"/>
                <w:smallCaps/>
                <w:sz w:val="16"/>
                <w:szCs w:val="16"/>
              </w:rPr>
              <w:t>.030</w:t>
            </w:r>
            <w:r>
              <w:rPr>
                <w:rFonts w:ascii="Times New Roman" w:hAnsi="Times New Roman" w:cs="Times New Roman"/>
                <w:smallCaps/>
                <w:sz w:val="16"/>
                <w:szCs w:val="16"/>
              </w:rPr>
              <w:t>)</w:t>
            </w:r>
          </w:p>
        </w:tc>
        <w:tc>
          <w:tcPr>
            <w:tcW w:w="1242" w:type="dxa"/>
            <w:vAlign w:val="center"/>
          </w:tcPr>
          <w:p w:rsidR="00F0739C"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0.023</w:t>
            </w:r>
          </w:p>
          <w:p w:rsidR="00F0739C" w:rsidRPr="006542D6" w:rsidRDefault="00F0739C" w:rsidP="00CC44FC">
            <w:pPr>
              <w:spacing w:line="360" w:lineRule="auto"/>
              <w:jc w:val="center"/>
              <w:rPr>
                <w:rFonts w:ascii="Times New Roman" w:hAnsi="Times New Roman" w:cs="Times New Roman"/>
                <w:smallCaps/>
                <w:sz w:val="16"/>
                <w:szCs w:val="16"/>
              </w:rPr>
            </w:pPr>
            <w:r w:rsidRPr="00CC44FC">
              <w:rPr>
                <w:rFonts w:ascii="Times New Roman" w:hAnsi="Times New Roman" w:cs="Times New Roman"/>
                <w:smallCaps/>
                <w:sz w:val="16"/>
                <w:szCs w:val="16"/>
              </w:rPr>
              <w:t>(</w:t>
            </w:r>
            <w:r>
              <w:rPr>
                <w:rFonts w:ascii="Times New Roman" w:hAnsi="Times New Roman" w:cs="Times New Roman"/>
                <w:smallCaps/>
                <w:sz w:val="16"/>
                <w:szCs w:val="16"/>
              </w:rPr>
              <w:t>0</w:t>
            </w:r>
            <w:r w:rsidRPr="00CC44FC">
              <w:rPr>
                <w:rFonts w:ascii="Times New Roman" w:hAnsi="Times New Roman" w:cs="Times New Roman"/>
                <w:smallCaps/>
                <w:sz w:val="16"/>
                <w:szCs w:val="16"/>
              </w:rPr>
              <w:t>.032)</w:t>
            </w:r>
          </w:p>
        </w:tc>
        <w:tc>
          <w:tcPr>
            <w:tcW w:w="1242" w:type="dxa"/>
            <w:vAlign w:val="center"/>
          </w:tcPr>
          <w:p w:rsidR="00F0739C" w:rsidRDefault="00F0739C" w:rsidP="00BE5C27">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0.037</w:t>
            </w:r>
            <w:r w:rsidRPr="00BE5C27">
              <w:rPr>
                <w:rFonts w:ascii="Times New Roman" w:hAnsi="Times New Roman" w:cs="Times New Roman"/>
                <w:smallCaps/>
                <w:sz w:val="16"/>
                <w:szCs w:val="16"/>
              </w:rPr>
              <w:t xml:space="preserve">  </w:t>
            </w:r>
          </w:p>
          <w:p w:rsidR="00F0739C" w:rsidRPr="006542D6" w:rsidRDefault="00F0739C" w:rsidP="00BE5C27">
            <w:pPr>
              <w:spacing w:line="360" w:lineRule="auto"/>
              <w:jc w:val="center"/>
              <w:rPr>
                <w:rFonts w:ascii="Times New Roman" w:hAnsi="Times New Roman" w:cs="Times New Roman"/>
                <w:smallCaps/>
                <w:sz w:val="16"/>
                <w:szCs w:val="16"/>
              </w:rPr>
            </w:pPr>
            <w:r w:rsidRPr="00BE5C27">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BE5C27">
              <w:rPr>
                <w:rFonts w:ascii="Times New Roman" w:hAnsi="Times New Roman" w:cs="Times New Roman"/>
                <w:smallCaps/>
                <w:sz w:val="16"/>
                <w:szCs w:val="16"/>
              </w:rPr>
              <w:t>.027)</w:t>
            </w:r>
          </w:p>
        </w:tc>
        <w:tc>
          <w:tcPr>
            <w:tcW w:w="1242" w:type="dxa"/>
            <w:vAlign w:val="center"/>
          </w:tcPr>
          <w:p w:rsidR="00F0739C"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0.003</w:t>
            </w:r>
          </w:p>
          <w:p w:rsidR="00F0739C" w:rsidRPr="006542D6"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D71ED9">
              <w:rPr>
                <w:rFonts w:ascii="Times New Roman" w:hAnsi="Times New Roman" w:cs="Times New Roman"/>
                <w:smallCaps/>
                <w:sz w:val="16"/>
                <w:szCs w:val="16"/>
              </w:rPr>
              <w:t>.003</w:t>
            </w:r>
            <w:r>
              <w:rPr>
                <w:rFonts w:ascii="Times New Roman" w:hAnsi="Times New Roman" w:cs="Times New Roman"/>
                <w:smallCaps/>
                <w:sz w:val="16"/>
                <w:szCs w:val="16"/>
              </w:rPr>
              <w:t>)</w:t>
            </w:r>
          </w:p>
        </w:tc>
        <w:tc>
          <w:tcPr>
            <w:tcW w:w="1242" w:type="dxa"/>
            <w:vAlign w:val="center"/>
          </w:tcPr>
          <w:p w:rsidR="00F0739C" w:rsidRDefault="00F0739C" w:rsidP="00800EDB">
            <w:pPr>
              <w:spacing w:line="360" w:lineRule="auto"/>
              <w:jc w:val="center"/>
              <w:rPr>
                <w:rFonts w:ascii="Times New Roman" w:hAnsi="Times New Roman" w:cs="Times New Roman"/>
                <w:smallCaps/>
                <w:sz w:val="16"/>
                <w:szCs w:val="16"/>
              </w:rPr>
            </w:pPr>
            <w:r w:rsidRPr="00800EDB">
              <w:rPr>
                <w:rFonts w:ascii="Times New Roman" w:hAnsi="Times New Roman" w:cs="Times New Roman"/>
                <w:smallCaps/>
                <w:sz w:val="16"/>
                <w:szCs w:val="16"/>
              </w:rPr>
              <w:t>-</w:t>
            </w:r>
            <w:r>
              <w:rPr>
                <w:rFonts w:ascii="Times New Roman" w:hAnsi="Times New Roman" w:cs="Times New Roman"/>
                <w:smallCaps/>
                <w:sz w:val="16"/>
                <w:szCs w:val="16"/>
              </w:rPr>
              <w:t>0.013</w:t>
            </w:r>
          </w:p>
          <w:p w:rsidR="00F0739C" w:rsidRPr="006542D6" w:rsidRDefault="00F0739C" w:rsidP="00800EDB">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800EDB">
              <w:rPr>
                <w:rFonts w:ascii="Times New Roman" w:hAnsi="Times New Roman" w:cs="Times New Roman"/>
                <w:smallCaps/>
                <w:sz w:val="16"/>
                <w:szCs w:val="16"/>
              </w:rPr>
              <w:t>.010</w:t>
            </w:r>
            <w:r>
              <w:rPr>
                <w:rFonts w:ascii="Times New Roman" w:hAnsi="Times New Roman" w:cs="Times New Roman"/>
                <w:smallCaps/>
                <w:sz w:val="16"/>
                <w:szCs w:val="16"/>
              </w:rPr>
              <w:t>)</w:t>
            </w:r>
          </w:p>
        </w:tc>
      </w:tr>
      <w:tr w:rsidR="00F0739C" w:rsidRPr="006542D6" w:rsidTr="00F0739C">
        <w:tc>
          <w:tcPr>
            <w:tcW w:w="1800" w:type="dxa"/>
            <w:vAlign w:val="center"/>
          </w:tcPr>
          <w:p w:rsidR="00F0739C" w:rsidRPr="006542D6" w:rsidRDefault="00F0739C" w:rsidP="00F0739C">
            <w:pPr>
              <w:spacing w:line="360" w:lineRule="auto"/>
              <w:rPr>
                <w:rFonts w:ascii="Times New Roman" w:hAnsi="Times New Roman" w:cs="Times New Roman"/>
                <w:sz w:val="16"/>
                <w:szCs w:val="16"/>
              </w:rPr>
            </w:pPr>
            <w:r>
              <w:rPr>
                <w:rFonts w:ascii="Times New Roman" w:hAnsi="Times New Roman" w:cs="Times New Roman"/>
                <w:sz w:val="16"/>
                <w:szCs w:val="16"/>
              </w:rPr>
              <w:t>3-Year Lead Dummy</w:t>
            </w:r>
          </w:p>
        </w:tc>
        <w:tc>
          <w:tcPr>
            <w:tcW w:w="1242" w:type="dxa"/>
            <w:vAlign w:val="center"/>
          </w:tcPr>
          <w:p w:rsidR="00F0739C" w:rsidRDefault="00F0739C" w:rsidP="00DF700A">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-0.012</w:t>
            </w:r>
          </w:p>
          <w:p w:rsidR="00F0739C" w:rsidRPr="006542D6" w:rsidRDefault="00F0739C" w:rsidP="00DF700A">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DF700A">
              <w:rPr>
                <w:rFonts w:ascii="Times New Roman" w:hAnsi="Times New Roman" w:cs="Times New Roman"/>
                <w:smallCaps/>
                <w:sz w:val="16"/>
                <w:szCs w:val="16"/>
              </w:rPr>
              <w:t>.034</w:t>
            </w:r>
            <w:r>
              <w:rPr>
                <w:rFonts w:ascii="Times New Roman" w:hAnsi="Times New Roman" w:cs="Times New Roman"/>
                <w:smallCaps/>
                <w:sz w:val="16"/>
                <w:szCs w:val="16"/>
              </w:rPr>
              <w:t>)</w:t>
            </w:r>
          </w:p>
        </w:tc>
        <w:tc>
          <w:tcPr>
            <w:tcW w:w="1242" w:type="dxa"/>
            <w:vAlign w:val="center"/>
          </w:tcPr>
          <w:p w:rsidR="00F0739C" w:rsidRPr="006542D6" w:rsidRDefault="00F0739C" w:rsidP="00CC44F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-0.030      (0.020</w:t>
            </w:r>
            <w:r w:rsidRPr="00CC44FC">
              <w:rPr>
                <w:rFonts w:ascii="Times New Roman" w:hAnsi="Times New Roman" w:cs="Times New Roman"/>
                <w:smallCaps/>
                <w:sz w:val="16"/>
                <w:szCs w:val="16"/>
              </w:rPr>
              <w:t>)</w:t>
            </w:r>
          </w:p>
        </w:tc>
        <w:tc>
          <w:tcPr>
            <w:tcW w:w="1242" w:type="dxa"/>
            <w:vAlign w:val="center"/>
          </w:tcPr>
          <w:p w:rsidR="00F0739C" w:rsidRPr="006542D6" w:rsidRDefault="00F0739C" w:rsidP="00BE5C27">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-0.028      (0.023</w:t>
            </w:r>
            <w:r w:rsidRPr="00BE5C27">
              <w:rPr>
                <w:rFonts w:ascii="Times New Roman" w:hAnsi="Times New Roman" w:cs="Times New Roman"/>
                <w:smallCaps/>
                <w:sz w:val="16"/>
                <w:szCs w:val="16"/>
              </w:rPr>
              <w:t>)</w:t>
            </w:r>
          </w:p>
        </w:tc>
        <w:tc>
          <w:tcPr>
            <w:tcW w:w="1242" w:type="dxa"/>
            <w:vAlign w:val="center"/>
          </w:tcPr>
          <w:p w:rsidR="00F0739C" w:rsidRDefault="00F0739C" w:rsidP="00F0739C">
            <w:pPr>
              <w:spacing w:line="360" w:lineRule="auto"/>
              <w:jc w:val="center"/>
              <w:rPr>
                <w:rFonts w:ascii="Times New Roman" w:hAnsi="Times New Roman" w:cs="Times New Roman"/>
                <w:smallCaps/>
                <w:sz w:val="16"/>
                <w:szCs w:val="16"/>
              </w:rPr>
            </w:pPr>
            <w:r w:rsidRPr="00D71ED9">
              <w:rPr>
                <w:rFonts w:ascii="Times New Roman" w:hAnsi="Times New Roman" w:cs="Times New Roman"/>
                <w:smallCaps/>
                <w:sz w:val="16"/>
                <w:szCs w:val="16"/>
              </w:rPr>
              <w:t>-</w:t>
            </w:r>
            <w:r>
              <w:rPr>
                <w:rFonts w:ascii="Times New Roman" w:hAnsi="Times New Roman" w:cs="Times New Roman"/>
                <w:smallCaps/>
                <w:sz w:val="16"/>
                <w:szCs w:val="16"/>
              </w:rPr>
              <w:t>0.002</w:t>
            </w:r>
          </w:p>
          <w:p w:rsidR="00F0739C" w:rsidRPr="00D71ED9"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(0.002)</w:t>
            </w:r>
          </w:p>
        </w:tc>
        <w:tc>
          <w:tcPr>
            <w:tcW w:w="1242" w:type="dxa"/>
            <w:vAlign w:val="center"/>
          </w:tcPr>
          <w:p w:rsidR="00F0739C"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0.010</w:t>
            </w:r>
          </w:p>
          <w:p w:rsidR="00F0739C" w:rsidRPr="006542D6" w:rsidRDefault="00F0739C" w:rsidP="00F0739C">
            <w:pPr>
              <w:spacing w:line="360" w:lineRule="auto"/>
              <w:jc w:val="center"/>
              <w:rPr>
                <w:rFonts w:ascii="Times New Roman" w:hAnsi="Times New Roman" w:cs="Times New Roman"/>
                <w:smallCaps/>
                <w:sz w:val="16"/>
                <w:szCs w:val="16"/>
              </w:rPr>
            </w:pPr>
            <w:r w:rsidRPr="00800EDB">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800EDB">
              <w:rPr>
                <w:rFonts w:ascii="Times New Roman" w:hAnsi="Times New Roman" w:cs="Times New Roman"/>
                <w:smallCaps/>
                <w:sz w:val="16"/>
                <w:szCs w:val="16"/>
              </w:rPr>
              <w:t>.006</w:t>
            </w:r>
            <w:r>
              <w:rPr>
                <w:rFonts w:ascii="Times New Roman" w:hAnsi="Times New Roman" w:cs="Times New Roman"/>
                <w:smallCaps/>
                <w:sz w:val="16"/>
                <w:szCs w:val="16"/>
              </w:rPr>
              <w:t>)</w:t>
            </w:r>
          </w:p>
        </w:tc>
      </w:tr>
      <w:tr w:rsidR="00F0739C" w:rsidRPr="006542D6" w:rsidTr="00F0739C">
        <w:tc>
          <w:tcPr>
            <w:tcW w:w="1800" w:type="dxa"/>
            <w:vAlign w:val="center"/>
          </w:tcPr>
          <w:p w:rsidR="00F0739C" w:rsidRPr="006542D6" w:rsidRDefault="00F0739C" w:rsidP="00F0739C">
            <w:pPr>
              <w:spacing w:line="360" w:lineRule="auto"/>
              <w:rPr>
                <w:rFonts w:ascii="Times New Roman" w:hAnsi="Times New Roman" w:cs="Times New Roman"/>
                <w:sz w:val="16"/>
                <w:szCs w:val="16"/>
              </w:rPr>
            </w:pPr>
            <w:r>
              <w:rPr>
                <w:rFonts w:ascii="Times New Roman" w:hAnsi="Times New Roman" w:cs="Times New Roman"/>
                <w:sz w:val="16"/>
                <w:szCs w:val="16"/>
              </w:rPr>
              <w:t>2-Year Lead Dummy</w:t>
            </w:r>
          </w:p>
        </w:tc>
        <w:tc>
          <w:tcPr>
            <w:tcW w:w="1242" w:type="dxa"/>
            <w:vAlign w:val="center"/>
          </w:tcPr>
          <w:p w:rsidR="00F0739C" w:rsidRDefault="00F0739C" w:rsidP="00F60323">
            <w:pPr>
              <w:spacing w:line="360" w:lineRule="auto"/>
              <w:jc w:val="center"/>
              <w:rPr>
                <w:rFonts w:ascii="Times New Roman" w:hAnsi="Times New Roman" w:cs="Times New Roman"/>
                <w:smallCaps/>
                <w:sz w:val="16"/>
                <w:szCs w:val="16"/>
              </w:rPr>
            </w:pPr>
            <w:r w:rsidRPr="00F60323">
              <w:rPr>
                <w:rFonts w:ascii="Times New Roman" w:hAnsi="Times New Roman" w:cs="Times New Roman"/>
                <w:smallCaps/>
                <w:sz w:val="16"/>
                <w:szCs w:val="16"/>
              </w:rPr>
              <w:t>-</w:t>
            </w:r>
            <w:r>
              <w:rPr>
                <w:rFonts w:ascii="Times New Roman" w:hAnsi="Times New Roman" w:cs="Times New Roman"/>
                <w:smallCaps/>
                <w:sz w:val="16"/>
                <w:szCs w:val="16"/>
              </w:rPr>
              <w:t>0</w:t>
            </w:r>
            <w:r w:rsidRPr="00F60323">
              <w:rPr>
                <w:rFonts w:ascii="Times New Roman" w:hAnsi="Times New Roman" w:cs="Times New Roman"/>
                <w:smallCaps/>
                <w:sz w:val="16"/>
                <w:szCs w:val="16"/>
              </w:rPr>
              <w:t>.010</w:t>
            </w:r>
          </w:p>
          <w:p w:rsidR="00F0739C" w:rsidRPr="006542D6" w:rsidRDefault="00F0739C" w:rsidP="00F60323">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F60323">
              <w:rPr>
                <w:rFonts w:ascii="Times New Roman" w:hAnsi="Times New Roman" w:cs="Times New Roman"/>
                <w:smallCaps/>
                <w:sz w:val="16"/>
                <w:szCs w:val="16"/>
              </w:rPr>
              <w:t>.056</w:t>
            </w:r>
            <w:r>
              <w:rPr>
                <w:rFonts w:ascii="Times New Roman" w:hAnsi="Times New Roman" w:cs="Times New Roman"/>
                <w:smallCaps/>
                <w:sz w:val="16"/>
                <w:szCs w:val="16"/>
              </w:rPr>
              <w:t>)</w:t>
            </w:r>
          </w:p>
        </w:tc>
        <w:tc>
          <w:tcPr>
            <w:tcW w:w="1242" w:type="dxa"/>
            <w:vAlign w:val="center"/>
          </w:tcPr>
          <w:p w:rsidR="00F0739C" w:rsidRPr="006542D6" w:rsidRDefault="00F0739C" w:rsidP="00CC44F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-0.001      (0.027</w:t>
            </w:r>
            <w:r w:rsidRPr="00CC44FC">
              <w:rPr>
                <w:rFonts w:ascii="Times New Roman" w:hAnsi="Times New Roman" w:cs="Times New Roman"/>
                <w:smallCaps/>
                <w:sz w:val="16"/>
                <w:szCs w:val="16"/>
              </w:rPr>
              <w:t>)</w:t>
            </w:r>
          </w:p>
        </w:tc>
        <w:tc>
          <w:tcPr>
            <w:tcW w:w="1242" w:type="dxa"/>
            <w:vAlign w:val="center"/>
          </w:tcPr>
          <w:p w:rsidR="00F0739C" w:rsidRPr="006542D6" w:rsidRDefault="00F0739C" w:rsidP="00BE5C27">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-0.006      (0.031</w:t>
            </w:r>
            <w:r w:rsidRPr="00BE5C27">
              <w:rPr>
                <w:rFonts w:ascii="Times New Roman" w:hAnsi="Times New Roman" w:cs="Times New Roman"/>
                <w:smallCaps/>
                <w:sz w:val="16"/>
                <w:szCs w:val="16"/>
              </w:rPr>
              <w:t>)</w:t>
            </w:r>
          </w:p>
        </w:tc>
        <w:tc>
          <w:tcPr>
            <w:tcW w:w="1242" w:type="dxa"/>
            <w:vAlign w:val="center"/>
          </w:tcPr>
          <w:p w:rsidR="00F0739C"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0.001</w:t>
            </w:r>
          </w:p>
          <w:p w:rsidR="00F0739C" w:rsidRPr="006542D6"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D71ED9">
              <w:rPr>
                <w:rFonts w:ascii="Times New Roman" w:hAnsi="Times New Roman" w:cs="Times New Roman"/>
                <w:smallCaps/>
                <w:sz w:val="16"/>
                <w:szCs w:val="16"/>
              </w:rPr>
              <w:t>.003</w:t>
            </w:r>
            <w:r>
              <w:rPr>
                <w:rFonts w:ascii="Times New Roman" w:hAnsi="Times New Roman" w:cs="Times New Roman"/>
                <w:smallCaps/>
                <w:sz w:val="16"/>
                <w:szCs w:val="16"/>
              </w:rPr>
              <w:t>)</w:t>
            </w:r>
          </w:p>
        </w:tc>
        <w:tc>
          <w:tcPr>
            <w:tcW w:w="1242" w:type="dxa"/>
            <w:vAlign w:val="center"/>
          </w:tcPr>
          <w:p w:rsidR="00F0739C"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0.014</w:t>
            </w:r>
          </w:p>
          <w:p w:rsidR="00F0739C" w:rsidRPr="006542D6"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(0.010)</w:t>
            </w:r>
          </w:p>
        </w:tc>
      </w:tr>
      <w:tr w:rsidR="00F0739C" w:rsidRPr="006542D6" w:rsidTr="00F0739C">
        <w:tc>
          <w:tcPr>
            <w:tcW w:w="1800" w:type="dxa"/>
            <w:vAlign w:val="center"/>
          </w:tcPr>
          <w:p w:rsidR="00F0739C" w:rsidRPr="006542D6" w:rsidRDefault="00F0739C" w:rsidP="00F0739C">
            <w:pPr>
              <w:spacing w:line="360" w:lineRule="auto"/>
              <w:rPr>
                <w:rFonts w:ascii="Times New Roman" w:hAnsi="Times New Roman" w:cs="Times New Roman"/>
                <w:sz w:val="16"/>
                <w:szCs w:val="16"/>
              </w:rPr>
            </w:pPr>
            <w:r>
              <w:rPr>
                <w:rFonts w:ascii="Times New Roman" w:hAnsi="Times New Roman" w:cs="Times New Roman"/>
                <w:sz w:val="16"/>
                <w:szCs w:val="16"/>
              </w:rPr>
              <w:t>1-Year Lead Dummy</w:t>
            </w:r>
          </w:p>
        </w:tc>
        <w:tc>
          <w:tcPr>
            <w:tcW w:w="1242" w:type="dxa"/>
            <w:vAlign w:val="center"/>
          </w:tcPr>
          <w:p w:rsidR="00F0739C" w:rsidRDefault="00F0739C" w:rsidP="00F60323">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0.027</w:t>
            </w:r>
          </w:p>
          <w:p w:rsidR="00F0739C" w:rsidRPr="006542D6" w:rsidRDefault="00F0739C" w:rsidP="00F60323">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F60323">
              <w:rPr>
                <w:rFonts w:ascii="Times New Roman" w:hAnsi="Times New Roman" w:cs="Times New Roman"/>
                <w:smallCaps/>
                <w:sz w:val="16"/>
                <w:szCs w:val="16"/>
              </w:rPr>
              <w:t>.04</w:t>
            </w:r>
            <w:r>
              <w:rPr>
                <w:rFonts w:ascii="Times New Roman" w:hAnsi="Times New Roman" w:cs="Times New Roman"/>
                <w:smallCaps/>
                <w:sz w:val="16"/>
                <w:szCs w:val="16"/>
              </w:rPr>
              <w:t>1)</w:t>
            </w:r>
          </w:p>
        </w:tc>
        <w:tc>
          <w:tcPr>
            <w:tcW w:w="1242" w:type="dxa"/>
            <w:vAlign w:val="center"/>
          </w:tcPr>
          <w:p w:rsidR="00F0739C" w:rsidRPr="006542D6" w:rsidRDefault="00F0739C" w:rsidP="00CC44F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-0.008     (0.017</w:t>
            </w:r>
            <w:r w:rsidRPr="00CC44FC">
              <w:rPr>
                <w:rFonts w:ascii="Times New Roman" w:hAnsi="Times New Roman" w:cs="Times New Roman"/>
                <w:smallCaps/>
                <w:sz w:val="16"/>
                <w:szCs w:val="16"/>
              </w:rPr>
              <w:t>)</w:t>
            </w:r>
          </w:p>
        </w:tc>
        <w:tc>
          <w:tcPr>
            <w:tcW w:w="1242" w:type="dxa"/>
            <w:vAlign w:val="center"/>
          </w:tcPr>
          <w:p w:rsidR="00F0739C" w:rsidRPr="006542D6" w:rsidRDefault="00F0739C" w:rsidP="0040651F">
            <w:pPr>
              <w:spacing w:line="360" w:lineRule="auto"/>
              <w:jc w:val="center"/>
              <w:rPr>
                <w:rFonts w:ascii="Times New Roman" w:hAnsi="Times New Roman" w:cs="Times New Roman"/>
                <w:smallCaps/>
                <w:sz w:val="16"/>
                <w:szCs w:val="16"/>
              </w:rPr>
            </w:pPr>
            <w:r w:rsidRPr="0040651F">
              <w:rPr>
                <w:rFonts w:ascii="Times New Roman" w:hAnsi="Times New Roman" w:cs="Times New Roman"/>
                <w:smallCaps/>
                <w:sz w:val="16"/>
                <w:szCs w:val="16"/>
              </w:rPr>
              <w:t>-</w:t>
            </w:r>
            <w:r>
              <w:rPr>
                <w:rFonts w:ascii="Times New Roman" w:hAnsi="Times New Roman" w:cs="Times New Roman"/>
                <w:smallCaps/>
                <w:sz w:val="16"/>
                <w:szCs w:val="16"/>
              </w:rPr>
              <w:t>0</w:t>
            </w:r>
            <w:r w:rsidRPr="0040651F">
              <w:rPr>
                <w:rFonts w:ascii="Times New Roman" w:hAnsi="Times New Roman" w:cs="Times New Roman"/>
                <w:smallCaps/>
                <w:sz w:val="16"/>
                <w:szCs w:val="16"/>
              </w:rPr>
              <w:t>.00</w:t>
            </w:r>
            <w:r>
              <w:rPr>
                <w:rFonts w:ascii="Times New Roman" w:hAnsi="Times New Roman" w:cs="Times New Roman"/>
                <w:smallCaps/>
                <w:sz w:val="16"/>
                <w:szCs w:val="16"/>
              </w:rPr>
              <w:t>8       (0.024</w:t>
            </w:r>
            <w:r w:rsidRPr="0040651F">
              <w:rPr>
                <w:rFonts w:ascii="Times New Roman" w:hAnsi="Times New Roman" w:cs="Times New Roman"/>
                <w:smallCaps/>
                <w:sz w:val="16"/>
                <w:szCs w:val="16"/>
              </w:rPr>
              <w:t>)</w:t>
            </w:r>
          </w:p>
        </w:tc>
        <w:tc>
          <w:tcPr>
            <w:tcW w:w="1242" w:type="dxa"/>
            <w:vAlign w:val="center"/>
          </w:tcPr>
          <w:p w:rsidR="00F0739C" w:rsidRDefault="00F0739C" w:rsidP="00F0739C">
            <w:pPr>
              <w:spacing w:line="360" w:lineRule="auto"/>
              <w:jc w:val="center"/>
              <w:rPr>
                <w:rFonts w:ascii="Times New Roman" w:hAnsi="Times New Roman" w:cs="Times New Roman"/>
                <w:smallCaps/>
                <w:sz w:val="16"/>
                <w:szCs w:val="16"/>
              </w:rPr>
            </w:pPr>
            <w:r w:rsidRPr="00D71ED9">
              <w:rPr>
                <w:rFonts w:ascii="Times New Roman" w:hAnsi="Times New Roman" w:cs="Times New Roman"/>
                <w:smallCaps/>
                <w:sz w:val="16"/>
                <w:szCs w:val="16"/>
              </w:rPr>
              <w:t>-</w:t>
            </w:r>
            <w:r>
              <w:rPr>
                <w:rFonts w:ascii="Times New Roman" w:hAnsi="Times New Roman" w:cs="Times New Roman"/>
                <w:smallCaps/>
                <w:sz w:val="16"/>
                <w:szCs w:val="16"/>
              </w:rPr>
              <w:t>0.000</w:t>
            </w:r>
          </w:p>
          <w:p w:rsidR="00F0739C" w:rsidRPr="006542D6"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D71ED9">
              <w:rPr>
                <w:rFonts w:ascii="Times New Roman" w:hAnsi="Times New Roman" w:cs="Times New Roman"/>
                <w:smallCaps/>
                <w:sz w:val="16"/>
                <w:szCs w:val="16"/>
              </w:rPr>
              <w:t>.002</w:t>
            </w:r>
            <w:r>
              <w:rPr>
                <w:rFonts w:ascii="Times New Roman" w:hAnsi="Times New Roman" w:cs="Times New Roman"/>
                <w:smallCaps/>
                <w:sz w:val="16"/>
                <w:szCs w:val="16"/>
              </w:rPr>
              <w:t>)</w:t>
            </w:r>
          </w:p>
        </w:tc>
        <w:tc>
          <w:tcPr>
            <w:tcW w:w="1242" w:type="dxa"/>
            <w:vAlign w:val="center"/>
          </w:tcPr>
          <w:p w:rsidR="00F0739C" w:rsidRDefault="00F0739C" w:rsidP="00F0739C">
            <w:pPr>
              <w:spacing w:line="360" w:lineRule="auto"/>
              <w:jc w:val="center"/>
              <w:rPr>
                <w:rFonts w:ascii="Times New Roman" w:hAnsi="Times New Roman" w:cs="Times New Roman"/>
                <w:smallCaps/>
                <w:sz w:val="16"/>
                <w:szCs w:val="16"/>
              </w:rPr>
            </w:pPr>
            <w:r w:rsidRPr="00800EDB">
              <w:rPr>
                <w:rFonts w:ascii="Times New Roman" w:hAnsi="Times New Roman" w:cs="Times New Roman"/>
                <w:smallCaps/>
                <w:sz w:val="16"/>
                <w:szCs w:val="16"/>
              </w:rPr>
              <w:t>-</w:t>
            </w:r>
            <w:r>
              <w:rPr>
                <w:rFonts w:ascii="Times New Roman" w:hAnsi="Times New Roman" w:cs="Times New Roman"/>
                <w:smallCaps/>
                <w:sz w:val="16"/>
                <w:szCs w:val="16"/>
              </w:rPr>
              <w:t>0.007</w:t>
            </w:r>
          </w:p>
          <w:p w:rsidR="00F0739C" w:rsidRPr="006542D6"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800EDB">
              <w:rPr>
                <w:rFonts w:ascii="Times New Roman" w:hAnsi="Times New Roman" w:cs="Times New Roman"/>
                <w:smallCaps/>
                <w:sz w:val="16"/>
                <w:szCs w:val="16"/>
              </w:rPr>
              <w:t>.006</w:t>
            </w:r>
            <w:r>
              <w:rPr>
                <w:rFonts w:ascii="Times New Roman" w:hAnsi="Times New Roman" w:cs="Times New Roman"/>
                <w:smallCaps/>
                <w:sz w:val="16"/>
                <w:szCs w:val="16"/>
              </w:rPr>
              <w:t>)</w:t>
            </w:r>
          </w:p>
        </w:tc>
      </w:tr>
      <w:tr w:rsidR="00F0739C" w:rsidRPr="006542D6" w:rsidTr="00F0739C">
        <w:tc>
          <w:tcPr>
            <w:tcW w:w="1800" w:type="dxa"/>
            <w:vAlign w:val="center"/>
          </w:tcPr>
          <w:p w:rsidR="00F0739C" w:rsidRPr="006542D6" w:rsidRDefault="00F0739C" w:rsidP="00F0739C">
            <w:pPr>
              <w:spacing w:line="360" w:lineRule="auto"/>
              <w:rPr>
                <w:rFonts w:ascii="Times New Roman" w:hAnsi="Times New Roman" w:cs="Times New Roman"/>
                <w:sz w:val="16"/>
                <w:szCs w:val="16"/>
              </w:rPr>
            </w:pPr>
            <w:r>
              <w:rPr>
                <w:rFonts w:ascii="Times New Roman" w:hAnsi="Times New Roman" w:cs="Times New Roman"/>
                <w:sz w:val="16"/>
                <w:szCs w:val="16"/>
              </w:rPr>
              <w:t>Contemporaneous Dummy</w:t>
            </w:r>
          </w:p>
        </w:tc>
        <w:tc>
          <w:tcPr>
            <w:tcW w:w="1242" w:type="dxa"/>
            <w:vAlign w:val="center"/>
          </w:tcPr>
          <w:p w:rsidR="00F0739C" w:rsidRDefault="00F0739C" w:rsidP="00F60323">
            <w:pPr>
              <w:spacing w:line="360" w:lineRule="auto"/>
              <w:jc w:val="center"/>
              <w:rPr>
                <w:rFonts w:ascii="Times New Roman" w:hAnsi="Times New Roman" w:cs="Times New Roman"/>
                <w:smallCaps/>
                <w:sz w:val="16"/>
                <w:szCs w:val="16"/>
              </w:rPr>
            </w:pPr>
            <w:r w:rsidRPr="00F60323">
              <w:rPr>
                <w:rFonts w:ascii="Times New Roman" w:hAnsi="Times New Roman" w:cs="Times New Roman"/>
                <w:smallCaps/>
                <w:sz w:val="16"/>
                <w:szCs w:val="16"/>
              </w:rPr>
              <w:t>-</w:t>
            </w:r>
            <w:r>
              <w:rPr>
                <w:rFonts w:ascii="Times New Roman" w:hAnsi="Times New Roman" w:cs="Times New Roman"/>
                <w:smallCaps/>
                <w:sz w:val="16"/>
                <w:szCs w:val="16"/>
              </w:rPr>
              <w:t>0</w:t>
            </w:r>
            <w:r w:rsidRPr="00F60323">
              <w:rPr>
                <w:rFonts w:ascii="Times New Roman" w:hAnsi="Times New Roman" w:cs="Times New Roman"/>
                <w:smallCaps/>
                <w:sz w:val="16"/>
                <w:szCs w:val="16"/>
              </w:rPr>
              <w:t>.04</w:t>
            </w:r>
            <w:r>
              <w:rPr>
                <w:rFonts w:ascii="Times New Roman" w:hAnsi="Times New Roman" w:cs="Times New Roman"/>
                <w:smallCaps/>
                <w:sz w:val="16"/>
                <w:szCs w:val="16"/>
              </w:rPr>
              <w:t>6</w:t>
            </w:r>
          </w:p>
          <w:p w:rsidR="00F0739C" w:rsidRPr="006542D6" w:rsidRDefault="00F0739C" w:rsidP="00F60323">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F60323">
              <w:rPr>
                <w:rFonts w:ascii="Times New Roman" w:hAnsi="Times New Roman" w:cs="Times New Roman"/>
                <w:smallCaps/>
                <w:sz w:val="16"/>
                <w:szCs w:val="16"/>
              </w:rPr>
              <w:t>.048</w:t>
            </w:r>
            <w:r>
              <w:rPr>
                <w:rFonts w:ascii="Times New Roman" w:hAnsi="Times New Roman" w:cs="Times New Roman"/>
                <w:smallCaps/>
                <w:sz w:val="16"/>
                <w:szCs w:val="16"/>
              </w:rPr>
              <w:t>)</w:t>
            </w:r>
          </w:p>
        </w:tc>
        <w:tc>
          <w:tcPr>
            <w:tcW w:w="1242" w:type="dxa"/>
            <w:vAlign w:val="center"/>
          </w:tcPr>
          <w:p w:rsidR="00F0739C" w:rsidRDefault="00F0739C" w:rsidP="009959E7">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0.009</w:t>
            </w:r>
          </w:p>
          <w:p w:rsidR="00F0739C" w:rsidRPr="006542D6" w:rsidRDefault="00F0739C" w:rsidP="009959E7">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(0.028</w:t>
            </w:r>
            <w:r w:rsidRPr="009959E7">
              <w:rPr>
                <w:rFonts w:ascii="Times New Roman" w:hAnsi="Times New Roman" w:cs="Times New Roman"/>
                <w:smallCaps/>
                <w:sz w:val="16"/>
                <w:szCs w:val="16"/>
              </w:rPr>
              <w:t>)</w:t>
            </w:r>
          </w:p>
        </w:tc>
        <w:tc>
          <w:tcPr>
            <w:tcW w:w="1242" w:type="dxa"/>
            <w:vAlign w:val="center"/>
          </w:tcPr>
          <w:p w:rsidR="00F0739C" w:rsidRDefault="00F0739C" w:rsidP="00695E27">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0.007</w:t>
            </w:r>
          </w:p>
          <w:p w:rsidR="00F0739C" w:rsidRPr="006542D6" w:rsidRDefault="00F0739C" w:rsidP="00695E27">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(0.031</w:t>
            </w:r>
            <w:r w:rsidRPr="00695E27">
              <w:rPr>
                <w:rFonts w:ascii="Times New Roman" w:hAnsi="Times New Roman" w:cs="Times New Roman"/>
                <w:smallCaps/>
                <w:sz w:val="16"/>
                <w:szCs w:val="16"/>
              </w:rPr>
              <w:t>)</w:t>
            </w:r>
          </w:p>
        </w:tc>
        <w:tc>
          <w:tcPr>
            <w:tcW w:w="1242" w:type="dxa"/>
            <w:vAlign w:val="center"/>
          </w:tcPr>
          <w:p w:rsidR="00F0739C"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0.001</w:t>
            </w:r>
          </w:p>
          <w:p w:rsidR="00F0739C" w:rsidRPr="006542D6"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D71ED9">
              <w:rPr>
                <w:rFonts w:ascii="Times New Roman" w:hAnsi="Times New Roman" w:cs="Times New Roman"/>
                <w:smallCaps/>
                <w:sz w:val="16"/>
                <w:szCs w:val="16"/>
              </w:rPr>
              <w:t>.003</w:t>
            </w:r>
            <w:r>
              <w:rPr>
                <w:rFonts w:ascii="Times New Roman" w:hAnsi="Times New Roman" w:cs="Times New Roman"/>
                <w:smallCaps/>
                <w:sz w:val="16"/>
                <w:szCs w:val="16"/>
              </w:rPr>
              <w:t>)</w:t>
            </w:r>
            <w:r w:rsidRPr="00D71ED9">
              <w:rPr>
                <w:rFonts w:ascii="Times New Roman" w:hAnsi="Times New Roman" w:cs="Times New Roman"/>
                <w:smallCaps/>
                <w:sz w:val="16"/>
                <w:szCs w:val="16"/>
              </w:rPr>
              <w:t xml:space="preserve">  </w:t>
            </w:r>
          </w:p>
        </w:tc>
        <w:tc>
          <w:tcPr>
            <w:tcW w:w="1242" w:type="dxa"/>
            <w:vAlign w:val="center"/>
          </w:tcPr>
          <w:p w:rsidR="00F0739C"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0.004</w:t>
            </w:r>
          </w:p>
          <w:p w:rsidR="00F0739C" w:rsidRPr="006542D6"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800EDB">
              <w:rPr>
                <w:rFonts w:ascii="Times New Roman" w:hAnsi="Times New Roman" w:cs="Times New Roman"/>
                <w:smallCaps/>
                <w:sz w:val="16"/>
                <w:szCs w:val="16"/>
              </w:rPr>
              <w:t>.005</w:t>
            </w:r>
            <w:r>
              <w:rPr>
                <w:rFonts w:ascii="Times New Roman" w:hAnsi="Times New Roman" w:cs="Times New Roman"/>
                <w:smallCaps/>
                <w:sz w:val="16"/>
                <w:szCs w:val="16"/>
              </w:rPr>
              <w:t>)</w:t>
            </w:r>
          </w:p>
        </w:tc>
      </w:tr>
      <w:tr w:rsidR="00F0739C" w:rsidRPr="006542D6" w:rsidTr="00F0739C">
        <w:tc>
          <w:tcPr>
            <w:tcW w:w="1800" w:type="dxa"/>
            <w:vAlign w:val="center"/>
          </w:tcPr>
          <w:p w:rsidR="00F0739C" w:rsidRPr="006542D6" w:rsidRDefault="00F0739C" w:rsidP="00F0739C">
            <w:pPr>
              <w:spacing w:line="360" w:lineRule="auto"/>
              <w:rPr>
                <w:rFonts w:ascii="Times New Roman" w:hAnsi="Times New Roman" w:cs="Times New Roman"/>
                <w:sz w:val="16"/>
                <w:szCs w:val="16"/>
              </w:rPr>
            </w:pPr>
            <w:r>
              <w:rPr>
                <w:rFonts w:ascii="Times New Roman" w:hAnsi="Times New Roman" w:cs="Times New Roman"/>
                <w:sz w:val="16"/>
                <w:szCs w:val="16"/>
              </w:rPr>
              <w:t>1-Year Lag Dummy</w:t>
            </w:r>
          </w:p>
        </w:tc>
        <w:tc>
          <w:tcPr>
            <w:tcW w:w="1242" w:type="dxa"/>
            <w:vAlign w:val="center"/>
          </w:tcPr>
          <w:p w:rsidR="00F0739C" w:rsidRDefault="00F0739C" w:rsidP="00335512">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335512">
              <w:rPr>
                <w:rFonts w:ascii="Times New Roman" w:hAnsi="Times New Roman" w:cs="Times New Roman"/>
                <w:smallCaps/>
                <w:sz w:val="16"/>
                <w:szCs w:val="16"/>
              </w:rPr>
              <w:t>.031</w:t>
            </w:r>
          </w:p>
          <w:p w:rsidR="00F0739C" w:rsidRPr="006542D6" w:rsidRDefault="00F0739C" w:rsidP="00335512">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335512">
              <w:rPr>
                <w:rFonts w:ascii="Times New Roman" w:hAnsi="Times New Roman" w:cs="Times New Roman"/>
                <w:smallCaps/>
                <w:sz w:val="16"/>
                <w:szCs w:val="16"/>
              </w:rPr>
              <w:t>.066</w:t>
            </w:r>
            <w:r>
              <w:rPr>
                <w:rFonts w:ascii="Times New Roman" w:hAnsi="Times New Roman" w:cs="Times New Roman"/>
                <w:smallCaps/>
                <w:sz w:val="16"/>
                <w:szCs w:val="16"/>
              </w:rPr>
              <w:t>)</w:t>
            </w:r>
          </w:p>
        </w:tc>
        <w:tc>
          <w:tcPr>
            <w:tcW w:w="1242" w:type="dxa"/>
            <w:vAlign w:val="center"/>
          </w:tcPr>
          <w:p w:rsidR="00F0739C" w:rsidRDefault="00F0739C" w:rsidP="009F04E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0.015</w:t>
            </w:r>
          </w:p>
          <w:p w:rsidR="00F0739C" w:rsidRPr="006542D6" w:rsidRDefault="00F0739C" w:rsidP="009F04E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(0.031</w:t>
            </w:r>
            <w:r w:rsidRPr="009F04EC">
              <w:rPr>
                <w:rFonts w:ascii="Times New Roman" w:hAnsi="Times New Roman" w:cs="Times New Roman"/>
                <w:smallCaps/>
                <w:sz w:val="16"/>
                <w:szCs w:val="16"/>
              </w:rPr>
              <w:t>)</w:t>
            </w:r>
          </w:p>
        </w:tc>
        <w:tc>
          <w:tcPr>
            <w:tcW w:w="1242" w:type="dxa"/>
            <w:vAlign w:val="center"/>
          </w:tcPr>
          <w:p w:rsidR="00F0739C" w:rsidRPr="006542D6" w:rsidRDefault="00F0739C" w:rsidP="002B1B54">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-0.004      (0.023</w:t>
            </w:r>
            <w:r w:rsidRPr="002B1B54">
              <w:rPr>
                <w:rFonts w:ascii="Times New Roman" w:hAnsi="Times New Roman" w:cs="Times New Roman"/>
                <w:smallCaps/>
                <w:sz w:val="16"/>
                <w:szCs w:val="16"/>
              </w:rPr>
              <w:t>)</w:t>
            </w:r>
          </w:p>
        </w:tc>
        <w:tc>
          <w:tcPr>
            <w:tcW w:w="1242" w:type="dxa"/>
            <w:vAlign w:val="center"/>
          </w:tcPr>
          <w:p w:rsidR="00F0739C" w:rsidRDefault="00F0739C" w:rsidP="00F0739C">
            <w:pPr>
              <w:spacing w:line="360" w:lineRule="auto"/>
              <w:jc w:val="center"/>
              <w:rPr>
                <w:rFonts w:ascii="Times New Roman" w:hAnsi="Times New Roman" w:cs="Times New Roman"/>
                <w:smallCaps/>
                <w:sz w:val="16"/>
                <w:szCs w:val="16"/>
              </w:rPr>
            </w:pPr>
            <w:r w:rsidRPr="00D71ED9">
              <w:rPr>
                <w:rFonts w:ascii="Times New Roman" w:hAnsi="Times New Roman" w:cs="Times New Roman"/>
                <w:smallCaps/>
                <w:sz w:val="16"/>
                <w:szCs w:val="16"/>
              </w:rPr>
              <w:t>-</w:t>
            </w:r>
            <w:r>
              <w:rPr>
                <w:rFonts w:ascii="Times New Roman" w:hAnsi="Times New Roman" w:cs="Times New Roman"/>
                <w:smallCaps/>
                <w:sz w:val="16"/>
                <w:szCs w:val="16"/>
              </w:rPr>
              <w:t>0.005</w:t>
            </w:r>
          </w:p>
          <w:p w:rsidR="00F0739C" w:rsidRPr="006542D6"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(0.005)</w:t>
            </w:r>
          </w:p>
        </w:tc>
        <w:tc>
          <w:tcPr>
            <w:tcW w:w="1242" w:type="dxa"/>
            <w:vAlign w:val="center"/>
          </w:tcPr>
          <w:p w:rsidR="00F0739C"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0.005</w:t>
            </w:r>
          </w:p>
          <w:p w:rsidR="00F0739C" w:rsidRPr="006542D6"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(0.010)</w:t>
            </w:r>
          </w:p>
        </w:tc>
      </w:tr>
      <w:tr w:rsidR="00F0739C" w:rsidRPr="006542D6" w:rsidTr="00F0739C">
        <w:tc>
          <w:tcPr>
            <w:tcW w:w="1800" w:type="dxa"/>
            <w:vAlign w:val="center"/>
          </w:tcPr>
          <w:p w:rsidR="00F0739C" w:rsidRPr="006542D6" w:rsidRDefault="00F0739C" w:rsidP="00F0739C">
            <w:pPr>
              <w:spacing w:line="360" w:lineRule="auto"/>
              <w:rPr>
                <w:rFonts w:ascii="Times New Roman" w:hAnsi="Times New Roman" w:cs="Times New Roman"/>
                <w:sz w:val="16"/>
                <w:szCs w:val="16"/>
              </w:rPr>
            </w:pPr>
            <w:r>
              <w:rPr>
                <w:rFonts w:ascii="Times New Roman" w:hAnsi="Times New Roman" w:cs="Times New Roman"/>
                <w:sz w:val="16"/>
                <w:szCs w:val="16"/>
              </w:rPr>
              <w:t>2-Year Lag Dummy</w:t>
            </w:r>
          </w:p>
        </w:tc>
        <w:tc>
          <w:tcPr>
            <w:tcW w:w="1242" w:type="dxa"/>
            <w:vAlign w:val="center"/>
          </w:tcPr>
          <w:p w:rsidR="00F0739C" w:rsidRDefault="00F0739C" w:rsidP="002B7310">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2B7310">
              <w:rPr>
                <w:rFonts w:ascii="Times New Roman" w:hAnsi="Times New Roman" w:cs="Times New Roman"/>
                <w:smallCaps/>
                <w:sz w:val="16"/>
                <w:szCs w:val="16"/>
              </w:rPr>
              <w:t>.034</w:t>
            </w:r>
          </w:p>
          <w:p w:rsidR="00F0739C" w:rsidRPr="006542D6" w:rsidRDefault="00F0739C" w:rsidP="002B7310">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2B7310">
              <w:rPr>
                <w:rFonts w:ascii="Times New Roman" w:hAnsi="Times New Roman" w:cs="Times New Roman"/>
                <w:smallCaps/>
                <w:sz w:val="16"/>
                <w:szCs w:val="16"/>
              </w:rPr>
              <w:t>.067</w:t>
            </w:r>
            <w:r>
              <w:rPr>
                <w:rFonts w:ascii="Times New Roman" w:hAnsi="Times New Roman" w:cs="Times New Roman"/>
                <w:smallCaps/>
                <w:sz w:val="16"/>
                <w:szCs w:val="16"/>
              </w:rPr>
              <w:t>)</w:t>
            </w:r>
          </w:p>
        </w:tc>
        <w:tc>
          <w:tcPr>
            <w:tcW w:w="1242" w:type="dxa"/>
            <w:vAlign w:val="center"/>
          </w:tcPr>
          <w:p w:rsidR="00F0739C" w:rsidRPr="006542D6" w:rsidRDefault="00F0739C" w:rsidP="009F04E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-0.065</w:t>
            </w:r>
            <w:r w:rsidRPr="009F04EC">
              <w:rPr>
                <w:rFonts w:ascii="Times New Roman" w:hAnsi="Times New Roman" w:cs="Times New Roman"/>
                <w:smallCaps/>
                <w:sz w:val="16"/>
                <w:szCs w:val="16"/>
              </w:rPr>
              <w:t>*</w:t>
            </w:r>
            <w:r>
              <w:rPr>
                <w:rFonts w:ascii="Times New Roman" w:hAnsi="Times New Roman" w:cs="Times New Roman"/>
                <w:smallCaps/>
                <w:sz w:val="16"/>
                <w:szCs w:val="16"/>
              </w:rPr>
              <w:t>*</w:t>
            </w:r>
            <w:r w:rsidRPr="009F04EC">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9F04EC">
              <w:rPr>
                <w:rFonts w:ascii="Times New Roman" w:hAnsi="Times New Roman" w:cs="Times New Roman"/>
                <w:smallCaps/>
                <w:sz w:val="16"/>
                <w:szCs w:val="16"/>
              </w:rPr>
              <w:t>.02</w:t>
            </w:r>
            <w:r>
              <w:rPr>
                <w:rFonts w:ascii="Times New Roman" w:hAnsi="Times New Roman" w:cs="Times New Roman"/>
                <w:smallCaps/>
                <w:sz w:val="16"/>
                <w:szCs w:val="16"/>
              </w:rPr>
              <w:t>5</w:t>
            </w:r>
            <w:r w:rsidRPr="009F04EC">
              <w:rPr>
                <w:rFonts w:ascii="Times New Roman" w:hAnsi="Times New Roman" w:cs="Times New Roman"/>
                <w:smallCaps/>
                <w:sz w:val="16"/>
                <w:szCs w:val="16"/>
              </w:rPr>
              <w:t>)</w:t>
            </w:r>
          </w:p>
        </w:tc>
        <w:tc>
          <w:tcPr>
            <w:tcW w:w="1242" w:type="dxa"/>
            <w:vAlign w:val="center"/>
          </w:tcPr>
          <w:p w:rsidR="00F0739C" w:rsidRPr="006542D6" w:rsidRDefault="00F0739C" w:rsidP="00324C82">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-0.063**     (0.025</w:t>
            </w:r>
            <w:r w:rsidRPr="00324C82">
              <w:rPr>
                <w:rFonts w:ascii="Times New Roman" w:hAnsi="Times New Roman" w:cs="Times New Roman"/>
                <w:smallCaps/>
                <w:sz w:val="16"/>
                <w:szCs w:val="16"/>
              </w:rPr>
              <w:t>)</w:t>
            </w:r>
          </w:p>
        </w:tc>
        <w:tc>
          <w:tcPr>
            <w:tcW w:w="1242" w:type="dxa"/>
            <w:vAlign w:val="center"/>
          </w:tcPr>
          <w:p w:rsidR="00F0739C" w:rsidRDefault="00F0739C" w:rsidP="00F0739C">
            <w:pPr>
              <w:spacing w:line="360" w:lineRule="auto"/>
              <w:jc w:val="center"/>
              <w:rPr>
                <w:rFonts w:ascii="Times New Roman" w:hAnsi="Times New Roman" w:cs="Times New Roman"/>
                <w:smallCaps/>
                <w:sz w:val="16"/>
                <w:szCs w:val="16"/>
              </w:rPr>
            </w:pPr>
            <w:r w:rsidRPr="00D71ED9">
              <w:rPr>
                <w:rFonts w:ascii="Times New Roman" w:hAnsi="Times New Roman" w:cs="Times New Roman"/>
                <w:smallCaps/>
                <w:sz w:val="16"/>
                <w:szCs w:val="16"/>
              </w:rPr>
              <w:t>-</w:t>
            </w:r>
            <w:r>
              <w:rPr>
                <w:rFonts w:ascii="Times New Roman" w:hAnsi="Times New Roman" w:cs="Times New Roman"/>
                <w:smallCaps/>
                <w:sz w:val="16"/>
                <w:szCs w:val="16"/>
              </w:rPr>
              <w:t>0.003</w:t>
            </w:r>
          </w:p>
          <w:p w:rsidR="00F0739C" w:rsidRPr="006542D6"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(0.004)</w:t>
            </w:r>
          </w:p>
        </w:tc>
        <w:tc>
          <w:tcPr>
            <w:tcW w:w="1242" w:type="dxa"/>
            <w:vAlign w:val="center"/>
          </w:tcPr>
          <w:p w:rsidR="00F0739C" w:rsidRPr="006542D6" w:rsidRDefault="00F0739C" w:rsidP="00F0739C">
            <w:pPr>
              <w:spacing w:line="360" w:lineRule="auto"/>
              <w:jc w:val="center"/>
              <w:rPr>
                <w:rFonts w:ascii="Times New Roman" w:hAnsi="Times New Roman" w:cs="Times New Roman"/>
                <w:smallCaps/>
                <w:sz w:val="16"/>
                <w:szCs w:val="16"/>
              </w:rPr>
            </w:pPr>
            <w:r w:rsidRPr="00800EDB">
              <w:rPr>
                <w:rFonts w:ascii="Times New Roman" w:hAnsi="Times New Roman" w:cs="Times New Roman"/>
                <w:smallCaps/>
                <w:sz w:val="16"/>
                <w:szCs w:val="16"/>
              </w:rPr>
              <w:t>-</w:t>
            </w:r>
            <w:r>
              <w:rPr>
                <w:rFonts w:ascii="Times New Roman" w:hAnsi="Times New Roman" w:cs="Times New Roman"/>
                <w:smallCaps/>
                <w:sz w:val="16"/>
                <w:szCs w:val="16"/>
              </w:rPr>
              <w:t>0.012</w:t>
            </w:r>
            <w:r w:rsidRPr="00800EDB">
              <w:rPr>
                <w:rFonts w:ascii="Times New Roman" w:hAnsi="Times New Roman" w:cs="Times New Roman"/>
                <w:smallCaps/>
                <w:sz w:val="16"/>
                <w:szCs w:val="16"/>
              </w:rPr>
              <w:t xml:space="preserve">     </w:t>
            </w:r>
            <w:r>
              <w:rPr>
                <w:rFonts w:ascii="Times New Roman" w:hAnsi="Times New Roman" w:cs="Times New Roman"/>
                <w:smallCaps/>
                <w:sz w:val="16"/>
                <w:szCs w:val="16"/>
              </w:rPr>
              <w:t>(0.011)</w:t>
            </w:r>
          </w:p>
        </w:tc>
      </w:tr>
      <w:tr w:rsidR="00F0739C" w:rsidRPr="006542D6" w:rsidTr="00F0739C">
        <w:tc>
          <w:tcPr>
            <w:tcW w:w="1800" w:type="dxa"/>
            <w:vAlign w:val="center"/>
          </w:tcPr>
          <w:p w:rsidR="00F0739C" w:rsidRPr="006542D6" w:rsidRDefault="00F0739C" w:rsidP="00F0739C">
            <w:pPr>
              <w:spacing w:line="360" w:lineRule="auto"/>
              <w:rPr>
                <w:rFonts w:ascii="Times New Roman" w:hAnsi="Times New Roman" w:cs="Times New Roman"/>
                <w:sz w:val="16"/>
                <w:szCs w:val="16"/>
              </w:rPr>
            </w:pPr>
            <w:r>
              <w:rPr>
                <w:rFonts w:ascii="Times New Roman" w:hAnsi="Times New Roman" w:cs="Times New Roman"/>
                <w:sz w:val="16"/>
                <w:szCs w:val="16"/>
              </w:rPr>
              <w:t>3-Year Lag Dummy</w:t>
            </w:r>
            <w:r w:rsidR="00A04396">
              <w:rPr>
                <w:rFonts w:ascii="Times New Roman" w:hAnsi="Times New Roman" w:cs="Times New Roman"/>
                <w:sz w:val="16"/>
                <w:szCs w:val="16"/>
              </w:rPr>
              <w:t xml:space="preserve"> </w:t>
            </w:r>
          </w:p>
        </w:tc>
        <w:tc>
          <w:tcPr>
            <w:tcW w:w="1242" w:type="dxa"/>
            <w:vAlign w:val="center"/>
          </w:tcPr>
          <w:p w:rsidR="00F0739C" w:rsidRDefault="00F0739C" w:rsidP="0003486E">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03486E">
              <w:rPr>
                <w:rFonts w:ascii="Times New Roman" w:hAnsi="Times New Roman" w:cs="Times New Roman"/>
                <w:smallCaps/>
                <w:sz w:val="16"/>
                <w:szCs w:val="16"/>
              </w:rPr>
              <w:t>.033</w:t>
            </w:r>
          </w:p>
          <w:p w:rsidR="00F0739C" w:rsidRPr="006542D6" w:rsidRDefault="00F0739C" w:rsidP="0003486E">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03486E">
              <w:rPr>
                <w:rFonts w:ascii="Times New Roman" w:hAnsi="Times New Roman" w:cs="Times New Roman"/>
                <w:smallCaps/>
                <w:sz w:val="16"/>
                <w:szCs w:val="16"/>
              </w:rPr>
              <w:t>.054</w:t>
            </w:r>
            <w:r>
              <w:rPr>
                <w:rFonts w:ascii="Times New Roman" w:hAnsi="Times New Roman" w:cs="Times New Roman"/>
                <w:smallCaps/>
                <w:sz w:val="16"/>
                <w:szCs w:val="16"/>
              </w:rPr>
              <w:t>)</w:t>
            </w:r>
          </w:p>
        </w:tc>
        <w:tc>
          <w:tcPr>
            <w:tcW w:w="1242" w:type="dxa"/>
            <w:vAlign w:val="center"/>
          </w:tcPr>
          <w:p w:rsidR="00F0739C" w:rsidRPr="006542D6" w:rsidRDefault="00F0739C" w:rsidP="00791249">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0.038</w:t>
            </w:r>
            <w:r w:rsidRPr="00791249">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791249">
              <w:rPr>
                <w:rFonts w:ascii="Times New Roman" w:hAnsi="Times New Roman" w:cs="Times New Roman"/>
                <w:smallCaps/>
                <w:sz w:val="16"/>
                <w:szCs w:val="16"/>
              </w:rPr>
              <w:t>.027)</w:t>
            </w:r>
          </w:p>
        </w:tc>
        <w:tc>
          <w:tcPr>
            <w:tcW w:w="1242" w:type="dxa"/>
            <w:vAlign w:val="center"/>
          </w:tcPr>
          <w:p w:rsidR="00F0739C" w:rsidRDefault="00F0739C" w:rsidP="007A5C99">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 xml:space="preserve">0.042 </w:t>
            </w:r>
          </w:p>
          <w:p w:rsidR="00F0739C" w:rsidRPr="006542D6" w:rsidRDefault="00F0739C" w:rsidP="007A5C99">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(0.027</w:t>
            </w:r>
            <w:r w:rsidRPr="007A5C99">
              <w:rPr>
                <w:rFonts w:ascii="Times New Roman" w:hAnsi="Times New Roman" w:cs="Times New Roman"/>
                <w:smallCaps/>
                <w:sz w:val="16"/>
                <w:szCs w:val="16"/>
              </w:rPr>
              <w:t>)</w:t>
            </w:r>
          </w:p>
        </w:tc>
        <w:tc>
          <w:tcPr>
            <w:tcW w:w="1242" w:type="dxa"/>
            <w:vAlign w:val="center"/>
          </w:tcPr>
          <w:p w:rsidR="00F0739C"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0.007</w:t>
            </w:r>
          </w:p>
          <w:p w:rsidR="00F0739C" w:rsidRPr="006542D6"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(0.005)</w:t>
            </w:r>
          </w:p>
        </w:tc>
        <w:tc>
          <w:tcPr>
            <w:tcW w:w="1242" w:type="dxa"/>
            <w:vAlign w:val="center"/>
          </w:tcPr>
          <w:p w:rsidR="00F0739C"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0.004</w:t>
            </w:r>
          </w:p>
          <w:p w:rsidR="00F0739C" w:rsidRPr="006542D6"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(0.011)</w:t>
            </w:r>
          </w:p>
        </w:tc>
      </w:tr>
      <w:tr w:rsidR="00F0739C" w:rsidRPr="006542D6" w:rsidTr="00F0739C">
        <w:tc>
          <w:tcPr>
            <w:tcW w:w="1800" w:type="dxa"/>
            <w:tcBorders>
              <w:bottom w:val="single" w:sz="12" w:space="0" w:color="auto"/>
            </w:tcBorders>
            <w:vAlign w:val="center"/>
          </w:tcPr>
          <w:p w:rsidR="00F0739C" w:rsidRPr="006542D6" w:rsidRDefault="00F0739C" w:rsidP="00F0739C">
            <w:pPr>
              <w:spacing w:line="360" w:lineRule="auto"/>
              <w:rPr>
                <w:rFonts w:ascii="Times New Roman" w:hAnsi="Times New Roman" w:cs="Times New Roman"/>
                <w:sz w:val="16"/>
                <w:szCs w:val="16"/>
              </w:rPr>
            </w:pPr>
            <w:r>
              <w:rPr>
                <w:rFonts w:ascii="Times New Roman" w:hAnsi="Times New Roman" w:cs="Times New Roman"/>
                <w:sz w:val="16"/>
                <w:szCs w:val="16"/>
              </w:rPr>
              <w:t>4-Year Lag Dummy</w:t>
            </w:r>
          </w:p>
        </w:tc>
        <w:tc>
          <w:tcPr>
            <w:tcW w:w="1242" w:type="dxa"/>
            <w:tcBorders>
              <w:bottom w:val="single" w:sz="12" w:space="0" w:color="auto"/>
            </w:tcBorders>
            <w:vAlign w:val="center"/>
          </w:tcPr>
          <w:p w:rsidR="00F0739C"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-0.041</w:t>
            </w:r>
          </w:p>
          <w:p w:rsidR="00F0739C" w:rsidRPr="006542D6"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(0.049)</w:t>
            </w:r>
          </w:p>
        </w:tc>
        <w:tc>
          <w:tcPr>
            <w:tcW w:w="1242" w:type="dxa"/>
            <w:tcBorders>
              <w:bottom w:val="single" w:sz="12" w:space="0" w:color="auto"/>
            </w:tcBorders>
            <w:vAlign w:val="center"/>
          </w:tcPr>
          <w:p w:rsidR="00F0739C"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0.022</w:t>
            </w:r>
          </w:p>
          <w:p w:rsidR="00F0739C" w:rsidRPr="006542D6"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(0.022</w:t>
            </w:r>
            <w:r w:rsidRPr="004570E8">
              <w:rPr>
                <w:rFonts w:ascii="Times New Roman" w:hAnsi="Times New Roman" w:cs="Times New Roman"/>
                <w:smallCaps/>
                <w:sz w:val="16"/>
                <w:szCs w:val="16"/>
              </w:rPr>
              <w:t>)</w:t>
            </w:r>
          </w:p>
        </w:tc>
        <w:tc>
          <w:tcPr>
            <w:tcW w:w="1242" w:type="dxa"/>
            <w:tcBorders>
              <w:bottom w:val="single" w:sz="12" w:space="0" w:color="auto"/>
            </w:tcBorders>
            <w:vAlign w:val="center"/>
          </w:tcPr>
          <w:p w:rsidR="00F0739C" w:rsidRPr="006542D6" w:rsidRDefault="00F0739C" w:rsidP="00534A6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-0.002      (0.020</w:t>
            </w:r>
            <w:r w:rsidRPr="00534A6C">
              <w:rPr>
                <w:rFonts w:ascii="Times New Roman" w:hAnsi="Times New Roman" w:cs="Times New Roman"/>
                <w:smallCaps/>
                <w:sz w:val="16"/>
                <w:szCs w:val="16"/>
              </w:rPr>
              <w:t>)</w:t>
            </w:r>
          </w:p>
        </w:tc>
        <w:tc>
          <w:tcPr>
            <w:tcW w:w="1242" w:type="dxa"/>
            <w:tcBorders>
              <w:bottom w:val="single" w:sz="12" w:space="0" w:color="auto"/>
            </w:tcBorders>
            <w:vAlign w:val="center"/>
          </w:tcPr>
          <w:p w:rsidR="00F0739C" w:rsidRDefault="00F0739C" w:rsidP="008C7E81">
            <w:pPr>
              <w:spacing w:line="360" w:lineRule="auto"/>
              <w:jc w:val="center"/>
              <w:rPr>
                <w:rFonts w:ascii="Times New Roman" w:hAnsi="Times New Roman" w:cs="Times New Roman"/>
                <w:smallCaps/>
                <w:sz w:val="16"/>
                <w:szCs w:val="16"/>
              </w:rPr>
            </w:pPr>
            <w:r w:rsidRPr="00D71ED9">
              <w:rPr>
                <w:rFonts w:ascii="Times New Roman" w:hAnsi="Times New Roman" w:cs="Times New Roman"/>
                <w:smallCaps/>
                <w:sz w:val="16"/>
                <w:szCs w:val="16"/>
              </w:rPr>
              <w:t>-</w:t>
            </w:r>
            <w:r>
              <w:rPr>
                <w:rFonts w:ascii="Times New Roman" w:hAnsi="Times New Roman" w:cs="Times New Roman"/>
                <w:smallCaps/>
                <w:sz w:val="16"/>
                <w:szCs w:val="16"/>
              </w:rPr>
              <w:t>0.002</w:t>
            </w:r>
          </w:p>
          <w:p w:rsidR="00F0739C" w:rsidRPr="006542D6" w:rsidRDefault="00F0739C" w:rsidP="008C7E81">
            <w:pPr>
              <w:spacing w:line="360" w:lineRule="auto"/>
              <w:jc w:val="center"/>
              <w:rPr>
                <w:rFonts w:ascii="Times New Roman" w:hAnsi="Times New Roman" w:cs="Times New Roman"/>
                <w:smallCaps/>
                <w:sz w:val="16"/>
                <w:szCs w:val="16"/>
              </w:rPr>
            </w:pPr>
            <w:r w:rsidRPr="00D71ED9">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D71ED9">
              <w:rPr>
                <w:rFonts w:ascii="Times New Roman" w:hAnsi="Times New Roman" w:cs="Times New Roman"/>
                <w:smallCaps/>
                <w:sz w:val="16"/>
                <w:szCs w:val="16"/>
              </w:rPr>
              <w:t>.003</w:t>
            </w:r>
            <w:r>
              <w:rPr>
                <w:rFonts w:ascii="Times New Roman" w:hAnsi="Times New Roman" w:cs="Times New Roman"/>
                <w:smallCaps/>
                <w:sz w:val="16"/>
                <w:szCs w:val="16"/>
              </w:rPr>
              <w:t>)</w:t>
            </w:r>
          </w:p>
        </w:tc>
        <w:tc>
          <w:tcPr>
            <w:tcW w:w="1242" w:type="dxa"/>
            <w:tcBorders>
              <w:bottom w:val="single" w:sz="12" w:space="0" w:color="auto"/>
            </w:tcBorders>
            <w:vAlign w:val="center"/>
          </w:tcPr>
          <w:p w:rsidR="00F0739C" w:rsidRDefault="00F0739C" w:rsidP="00F0739C">
            <w:pPr>
              <w:spacing w:line="360" w:lineRule="auto"/>
              <w:jc w:val="center"/>
              <w:rPr>
                <w:rFonts w:ascii="Times New Roman" w:hAnsi="Times New Roman" w:cs="Times New Roman"/>
                <w:smallCaps/>
                <w:sz w:val="16"/>
                <w:szCs w:val="16"/>
              </w:rPr>
            </w:pPr>
            <w:r w:rsidRPr="00800EDB">
              <w:rPr>
                <w:rFonts w:ascii="Times New Roman" w:hAnsi="Times New Roman" w:cs="Times New Roman"/>
                <w:smallCaps/>
                <w:sz w:val="16"/>
                <w:szCs w:val="16"/>
              </w:rPr>
              <w:t>-</w:t>
            </w:r>
            <w:r>
              <w:rPr>
                <w:rFonts w:ascii="Times New Roman" w:hAnsi="Times New Roman" w:cs="Times New Roman"/>
                <w:smallCaps/>
                <w:sz w:val="16"/>
                <w:szCs w:val="16"/>
              </w:rPr>
              <w:t>0.002</w:t>
            </w:r>
          </w:p>
          <w:p w:rsidR="00F0739C" w:rsidRPr="006542D6" w:rsidRDefault="00F0739C" w:rsidP="00F0739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800EDB">
              <w:rPr>
                <w:rFonts w:ascii="Times New Roman" w:hAnsi="Times New Roman" w:cs="Times New Roman"/>
                <w:smallCaps/>
                <w:sz w:val="16"/>
                <w:szCs w:val="16"/>
              </w:rPr>
              <w:t>.006</w:t>
            </w:r>
            <w:r>
              <w:rPr>
                <w:rFonts w:ascii="Times New Roman" w:hAnsi="Times New Roman" w:cs="Times New Roman"/>
                <w:smallCaps/>
                <w:sz w:val="16"/>
                <w:szCs w:val="16"/>
              </w:rPr>
              <w:t>)</w:t>
            </w:r>
          </w:p>
        </w:tc>
      </w:tr>
      <w:tr w:rsidR="00F0739C" w:rsidRPr="006542D6" w:rsidTr="00F0739C">
        <w:tc>
          <w:tcPr>
            <w:tcW w:w="8010" w:type="dxa"/>
            <w:gridSpan w:val="6"/>
            <w:tcBorders>
              <w:top w:val="single" w:sz="12" w:space="0" w:color="auto"/>
            </w:tcBorders>
            <w:vAlign w:val="center"/>
          </w:tcPr>
          <w:p w:rsidR="00F0739C" w:rsidRDefault="00F0739C" w:rsidP="00F0739C">
            <w:pPr>
              <w:jc w:val="both"/>
              <w:rPr>
                <w:rFonts w:ascii="Times New Roman" w:hAnsi="Times New Roman" w:cs="Times New Roman"/>
                <w:sz w:val="16"/>
                <w:szCs w:val="16"/>
              </w:rPr>
            </w:pPr>
            <w:r w:rsidRPr="007B49C5">
              <w:rPr>
                <w:rFonts w:ascii="Times New Roman" w:hAnsi="Times New Roman" w:cs="Times New Roman"/>
                <w:i/>
                <w:sz w:val="16"/>
                <w:szCs w:val="16"/>
              </w:rPr>
              <w:t>Notes</w:t>
            </w:r>
            <w:r>
              <w:rPr>
                <w:rFonts w:ascii="Times New Roman" w:hAnsi="Times New Roman" w:cs="Times New Roman"/>
                <w:sz w:val="16"/>
                <w:szCs w:val="16"/>
              </w:rPr>
              <w:t>: r</w:t>
            </w:r>
            <w:r w:rsidRPr="006542D6">
              <w:rPr>
                <w:rFonts w:ascii="Times New Roman" w:hAnsi="Times New Roman" w:cs="Times New Roman"/>
                <w:sz w:val="16"/>
                <w:szCs w:val="16"/>
              </w:rPr>
              <w:t xml:space="preserve">obust standard errors corrected for within-state correlation in the error term are reported in parentheses.  </w:t>
            </w:r>
            <w:r>
              <w:rPr>
                <w:rFonts w:ascii="Times New Roman" w:hAnsi="Times New Roman" w:cs="Times New Roman"/>
                <w:sz w:val="16"/>
                <w:szCs w:val="16"/>
              </w:rPr>
              <w:t>Each specification controls for state fixed effects, year fixed effects</w:t>
            </w:r>
            <w:r w:rsidR="0033346D">
              <w:rPr>
                <w:rFonts w:ascii="Times New Roman" w:hAnsi="Times New Roman" w:cs="Times New Roman"/>
                <w:sz w:val="16"/>
                <w:szCs w:val="16"/>
              </w:rPr>
              <w:t>, various covariates</w:t>
            </w:r>
            <w:r>
              <w:rPr>
                <w:rFonts w:ascii="Times New Roman" w:hAnsi="Times New Roman" w:cs="Times New Roman"/>
                <w:sz w:val="16"/>
                <w:szCs w:val="16"/>
              </w:rPr>
              <w:t xml:space="preserve"> and a set of state specific linear time trends.  </w:t>
            </w:r>
            <w:r w:rsidR="00486FBF">
              <w:rPr>
                <w:rFonts w:ascii="Times New Roman" w:hAnsi="Times New Roman" w:cs="Times New Roman"/>
                <w:sz w:val="16"/>
                <w:szCs w:val="16"/>
              </w:rPr>
              <w:t>Specifications are weighted per their counterparts in Tables 4-7 of the text</w:t>
            </w:r>
            <w:r w:rsidR="00A04396">
              <w:rPr>
                <w:rFonts w:ascii="Times New Roman" w:hAnsi="Times New Roman" w:cs="Times New Roman"/>
                <w:sz w:val="16"/>
                <w:szCs w:val="16"/>
              </w:rPr>
              <w:t xml:space="preserve"> and otherwise track the specifications in such tables</w:t>
            </w:r>
            <w:r w:rsidR="00486FBF">
              <w:rPr>
                <w:rFonts w:ascii="Times New Roman" w:hAnsi="Times New Roman" w:cs="Times New Roman"/>
                <w:sz w:val="16"/>
                <w:szCs w:val="16"/>
              </w:rPr>
              <w:t>.</w:t>
            </w:r>
            <w:r w:rsidR="00A04396">
              <w:rPr>
                <w:rFonts w:ascii="Times New Roman" w:hAnsi="Times New Roman" w:cs="Times New Roman"/>
                <w:sz w:val="16"/>
                <w:szCs w:val="16"/>
              </w:rPr>
              <w:t xml:space="preserve">  Dependent variables in Columns 1 – 3 </w:t>
            </w:r>
            <w:r w:rsidR="00363827">
              <w:rPr>
                <w:rFonts w:ascii="Times New Roman" w:hAnsi="Times New Roman" w:cs="Times New Roman"/>
                <w:sz w:val="16"/>
                <w:szCs w:val="16"/>
              </w:rPr>
              <w:t xml:space="preserve">(representing state-year means of the respective measures) </w:t>
            </w:r>
            <w:r w:rsidR="00A04396">
              <w:rPr>
                <w:rFonts w:ascii="Times New Roman" w:hAnsi="Times New Roman" w:cs="Times New Roman"/>
                <w:sz w:val="16"/>
                <w:szCs w:val="16"/>
              </w:rPr>
              <w:t>are logged.  Dependent variables in Columns 4 and 5 represent the individual incidence of the respective measure</w:t>
            </w:r>
            <w:r w:rsidR="00363827">
              <w:rPr>
                <w:rFonts w:ascii="Times New Roman" w:hAnsi="Times New Roman" w:cs="Times New Roman"/>
                <w:sz w:val="16"/>
                <w:szCs w:val="16"/>
              </w:rPr>
              <w:t>.</w:t>
            </w:r>
          </w:p>
          <w:p w:rsidR="00F0739C" w:rsidRDefault="00F0739C" w:rsidP="00F0739C">
            <w:pPr>
              <w:pStyle w:val="TableNotes"/>
              <w:spacing w:before="0" w:line="240" w:lineRule="auto"/>
            </w:pPr>
            <w:r>
              <w:t xml:space="preserve">*** Significant at the 1 percent level. </w:t>
            </w:r>
          </w:p>
          <w:p w:rsidR="00F0739C" w:rsidRDefault="00F0739C" w:rsidP="00F0739C">
            <w:pPr>
              <w:pStyle w:val="TableNotes"/>
              <w:spacing w:before="0" w:line="240" w:lineRule="auto"/>
            </w:pPr>
            <w:r>
              <w:t>** Significant at the 5 percent level.</w:t>
            </w:r>
          </w:p>
          <w:p w:rsidR="00F0739C" w:rsidRDefault="00F0739C" w:rsidP="00F0739C">
            <w:pPr>
              <w:rPr>
                <w:rFonts w:ascii="Times New Roman" w:hAnsi="Times New Roman" w:cs="Times New Roman"/>
                <w:sz w:val="24"/>
                <w:szCs w:val="24"/>
              </w:rPr>
            </w:pPr>
            <w:r w:rsidRPr="007B49C5">
              <w:rPr>
                <w:rFonts w:ascii="Times New Roman" w:hAnsi="Times New Roman" w:cs="Times New Roman"/>
                <w:sz w:val="16"/>
                <w:szCs w:val="16"/>
              </w:rPr>
              <w:t>* Significant at the 10 percent level.</w:t>
            </w:r>
          </w:p>
          <w:p w:rsidR="00F0739C" w:rsidRDefault="00F0739C" w:rsidP="00F0739C">
            <w:pPr>
              <w:spacing w:line="360" w:lineRule="auto"/>
              <w:rPr>
                <w:rFonts w:ascii="Times New Roman" w:hAnsi="Times New Roman" w:cs="Times New Roman"/>
                <w:smallCaps/>
                <w:sz w:val="16"/>
                <w:szCs w:val="16"/>
              </w:rPr>
            </w:pPr>
          </w:p>
          <w:p w:rsidR="0025325B" w:rsidRDefault="0025325B" w:rsidP="00F0739C">
            <w:pPr>
              <w:spacing w:line="360" w:lineRule="auto"/>
              <w:rPr>
                <w:rFonts w:ascii="Times New Roman" w:hAnsi="Times New Roman" w:cs="Times New Roman"/>
                <w:smallCaps/>
                <w:sz w:val="16"/>
                <w:szCs w:val="16"/>
              </w:rPr>
            </w:pPr>
          </w:p>
          <w:p w:rsidR="0025325B" w:rsidRDefault="0025325B" w:rsidP="00F0739C">
            <w:pPr>
              <w:spacing w:line="360" w:lineRule="auto"/>
              <w:rPr>
                <w:rFonts w:ascii="Times New Roman" w:hAnsi="Times New Roman" w:cs="Times New Roman"/>
                <w:smallCaps/>
                <w:sz w:val="16"/>
                <w:szCs w:val="16"/>
              </w:rPr>
            </w:pPr>
          </w:p>
          <w:p w:rsidR="0025325B" w:rsidRDefault="0025325B" w:rsidP="00F0739C">
            <w:pPr>
              <w:spacing w:line="360" w:lineRule="auto"/>
              <w:rPr>
                <w:rFonts w:ascii="Times New Roman" w:hAnsi="Times New Roman" w:cs="Times New Roman"/>
                <w:smallCaps/>
                <w:sz w:val="16"/>
                <w:szCs w:val="16"/>
              </w:rPr>
            </w:pPr>
          </w:p>
          <w:p w:rsidR="0025325B" w:rsidRPr="00800EDB" w:rsidRDefault="0025325B" w:rsidP="00F0739C">
            <w:pPr>
              <w:spacing w:line="360" w:lineRule="auto"/>
              <w:rPr>
                <w:rFonts w:ascii="Times New Roman" w:hAnsi="Times New Roman" w:cs="Times New Roman"/>
                <w:smallCaps/>
                <w:sz w:val="16"/>
                <w:szCs w:val="16"/>
              </w:rPr>
            </w:pPr>
          </w:p>
        </w:tc>
      </w:tr>
    </w:tbl>
    <w:p w:rsidR="00D1339D" w:rsidRDefault="00D1339D" w:rsidP="006E159E">
      <w:pPr>
        <w:rPr>
          <w:rFonts w:ascii="Times New Roman" w:hAnsi="Times New Roman" w:cs="Times New Roman"/>
          <w:sz w:val="24"/>
          <w:szCs w:val="24"/>
        </w:rPr>
      </w:pPr>
    </w:p>
    <w:p w:rsidR="00CE6AA4" w:rsidRDefault="00CE6AA4" w:rsidP="006E159E">
      <w:pPr>
        <w:rPr>
          <w:rFonts w:ascii="Times New Roman" w:hAnsi="Times New Roman" w:cs="Times New Roman"/>
          <w:sz w:val="24"/>
          <w:szCs w:val="24"/>
        </w:rPr>
      </w:pPr>
    </w:p>
    <w:p w:rsidR="00681AB5" w:rsidRDefault="00681AB5" w:rsidP="00681AB5">
      <w:pPr>
        <w:jc w:val="center"/>
        <w:rPr>
          <w:rFonts w:ascii="Times New Roman" w:hAnsi="Times New Roman" w:cs="Times New Roman"/>
          <w:sz w:val="16"/>
          <w:szCs w:val="16"/>
        </w:rPr>
      </w:pPr>
      <w:r>
        <w:rPr>
          <w:rFonts w:ascii="Times New Roman" w:hAnsi="Times New Roman" w:cs="Times New Roman"/>
          <w:sz w:val="16"/>
          <w:szCs w:val="16"/>
        </w:rPr>
        <w:t>Table C</w:t>
      </w:r>
      <w:r w:rsidR="00C00F78">
        <w:rPr>
          <w:rFonts w:ascii="Times New Roman" w:hAnsi="Times New Roman" w:cs="Times New Roman"/>
          <w:sz w:val="16"/>
          <w:szCs w:val="16"/>
        </w:rPr>
        <w:t xml:space="preserve">2.  </w:t>
      </w:r>
      <w:r w:rsidRPr="00D5221C">
        <w:rPr>
          <w:rFonts w:ascii="Times New Roman" w:hAnsi="Times New Roman" w:cs="Times New Roman"/>
          <w:sz w:val="16"/>
          <w:szCs w:val="16"/>
        </w:rPr>
        <w:t xml:space="preserve">Relationship between </w:t>
      </w:r>
      <w:r w:rsidR="00BA63F1">
        <w:rPr>
          <w:rFonts w:ascii="Times New Roman" w:hAnsi="Times New Roman" w:cs="Times New Roman"/>
          <w:sz w:val="16"/>
          <w:szCs w:val="16"/>
        </w:rPr>
        <w:t xml:space="preserve">Damage Caps </w:t>
      </w:r>
      <w:r w:rsidRPr="00D5221C">
        <w:rPr>
          <w:rFonts w:ascii="Times New Roman" w:hAnsi="Times New Roman" w:cs="Times New Roman"/>
          <w:sz w:val="16"/>
          <w:szCs w:val="16"/>
        </w:rPr>
        <w:t xml:space="preserve">and </w:t>
      </w:r>
      <w:r>
        <w:rPr>
          <w:rFonts w:ascii="Times New Roman" w:hAnsi="Times New Roman" w:cs="Times New Roman"/>
          <w:sz w:val="16"/>
          <w:szCs w:val="16"/>
        </w:rPr>
        <w:t>Cancer Screening Rates: Dynamic</w:t>
      </w:r>
    </w:p>
    <w:p w:rsidR="00681AB5" w:rsidRDefault="00681AB5" w:rsidP="00681AB5">
      <w:pPr>
        <w:jc w:val="center"/>
        <w:rPr>
          <w:rFonts w:ascii="Times New Roman" w:hAnsi="Times New Roman" w:cs="Times New Roman"/>
          <w:sz w:val="24"/>
          <w:szCs w:val="24"/>
        </w:rPr>
      </w:pPr>
      <w:r>
        <w:rPr>
          <w:rFonts w:ascii="Times New Roman" w:hAnsi="Times New Roman" w:cs="Times New Roman"/>
          <w:sz w:val="16"/>
          <w:szCs w:val="16"/>
        </w:rPr>
        <w:t>Difference-in-Difference Regression Results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185"/>
        <w:gridCol w:w="1185"/>
        <w:gridCol w:w="1185"/>
        <w:gridCol w:w="1185"/>
        <w:gridCol w:w="1185"/>
        <w:gridCol w:w="1185"/>
      </w:tblGrid>
      <w:tr w:rsidR="005E4E2D" w:rsidRPr="006542D6" w:rsidTr="005E4E2D">
        <w:tc>
          <w:tcPr>
            <w:tcW w:w="1800" w:type="dxa"/>
            <w:tcBorders>
              <w:top w:val="thinThickLargeGap" w:sz="24" w:space="0" w:color="auto"/>
              <w:bottom w:val="single" w:sz="4" w:space="0" w:color="auto"/>
            </w:tcBorders>
          </w:tcPr>
          <w:p w:rsidR="005E4E2D" w:rsidRPr="006542D6" w:rsidRDefault="005E4E2D" w:rsidP="00473A5D">
            <w:pPr>
              <w:jc w:val="center"/>
              <w:rPr>
                <w:rFonts w:ascii="Times New Roman" w:hAnsi="Times New Roman" w:cs="Times New Roman"/>
                <w:smallCaps/>
                <w:sz w:val="16"/>
                <w:szCs w:val="16"/>
              </w:rPr>
            </w:pPr>
          </w:p>
        </w:tc>
        <w:tc>
          <w:tcPr>
            <w:tcW w:w="1185" w:type="dxa"/>
            <w:tcBorders>
              <w:top w:val="thinThickLargeGap" w:sz="24" w:space="0" w:color="auto"/>
              <w:bottom w:val="single" w:sz="4" w:space="0" w:color="auto"/>
            </w:tcBorders>
            <w:vAlign w:val="center"/>
          </w:tcPr>
          <w:p w:rsidR="005E4E2D" w:rsidRPr="006542D6" w:rsidRDefault="005E4E2D" w:rsidP="00473A5D">
            <w:pPr>
              <w:jc w:val="center"/>
              <w:rPr>
                <w:rFonts w:ascii="Times New Roman" w:hAnsi="Times New Roman" w:cs="Times New Roman"/>
                <w:smallCaps/>
                <w:sz w:val="16"/>
                <w:szCs w:val="16"/>
              </w:rPr>
            </w:pPr>
            <w:r w:rsidRPr="006542D6">
              <w:rPr>
                <w:rFonts w:ascii="Times New Roman" w:hAnsi="Times New Roman" w:cs="Times New Roman"/>
                <w:smallCaps/>
                <w:sz w:val="16"/>
                <w:szCs w:val="16"/>
              </w:rPr>
              <w:t>(1)</w:t>
            </w:r>
          </w:p>
        </w:tc>
        <w:tc>
          <w:tcPr>
            <w:tcW w:w="1185" w:type="dxa"/>
            <w:tcBorders>
              <w:top w:val="thinThickLargeGap" w:sz="24" w:space="0" w:color="auto"/>
              <w:bottom w:val="single" w:sz="4" w:space="0" w:color="auto"/>
            </w:tcBorders>
            <w:vAlign w:val="center"/>
          </w:tcPr>
          <w:p w:rsidR="005E4E2D" w:rsidRPr="006542D6" w:rsidRDefault="005E4E2D" w:rsidP="00473A5D">
            <w:pPr>
              <w:jc w:val="center"/>
              <w:rPr>
                <w:rFonts w:ascii="Times New Roman" w:hAnsi="Times New Roman" w:cs="Times New Roman"/>
                <w:smallCaps/>
                <w:sz w:val="16"/>
                <w:szCs w:val="16"/>
              </w:rPr>
            </w:pPr>
            <w:r w:rsidRPr="006542D6">
              <w:rPr>
                <w:rFonts w:ascii="Times New Roman" w:hAnsi="Times New Roman" w:cs="Times New Roman"/>
                <w:smallCaps/>
                <w:sz w:val="16"/>
                <w:szCs w:val="16"/>
              </w:rPr>
              <w:t>(2)</w:t>
            </w:r>
          </w:p>
        </w:tc>
        <w:tc>
          <w:tcPr>
            <w:tcW w:w="1185" w:type="dxa"/>
            <w:tcBorders>
              <w:top w:val="thinThickLargeGap" w:sz="24" w:space="0" w:color="auto"/>
              <w:bottom w:val="single" w:sz="4" w:space="0" w:color="auto"/>
            </w:tcBorders>
            <w:vAlign w:val="center"/>
          </w:tcPr>
          <w:p w:rsidR="005E4E2D" w:rsidRPr="006542D6" w:rsidRDefault="005E4E2D" w:rsidP="00473A5D">
            <w:pPr>
              <w:jc w:val="center"/>
              <w:rPr>
                <w:rFonts w:ascii="Times New Roman" w:hAnsi="Times New Roman" w:cs="Times New Roman"/>
                <w:smallCaps/>
                <w:sz w:val="16"/>
                <w:szCs w:val="16"/>
              </w:rPr>
            </w:pPr>
            <w:r w:rsidRPr="006542D6">
              <w:rPr>
                <w:rFonts w:ascii="Times New Roman" w:hAnsi="Times New Roman" w:cs="Times New Roman"/>
                <w:smallCaps/>
                <w:sz w:val="16"/>
                <w:szCs w:val="16"/>
              </w:rPr>
              <w:t>(3)</w:t>
            </w:r>
          </w:p>
        </w:tc>
        <w:tc>
          <w:tcPr>
            <w:tcW w:w="1185" w:type="dxa"/>
            <w:tcBorders>
              <w:top w:val="thinThickLargeGap" w:sz="24" w:space="0" w:color="auto"/>
              <w:bottom w:val="single" w:sz="4" w:space="0" w:color="auto"/>
            </w:tcBorders>
            <w:vAlign w:val="center"/>
          </w:tcPr>
          <w:p w:rsidR="005E4E2D" w:rsidRPr="006542D6" w:rsidRDefault="005E4E2D" w:rsidP="00473A5D">
            <w:pPr>
              <w:jc w:val="center"/>
              <w:rPr>
                <w:rFonts w:ascii="Times New Roman" w:hAnsi="Times New Roman" w:cs="Times New Roman"/>
                <w:smallCaps/>
                <w:sz w:val="16"/>
                <w:szCs w:val="16"/>
              </w:rPr>
            </w:pPr>
            <w:r w:rsidRPr="006542D6">
              <w:rPr>
                <w:rFonts w:ascii="Times New Roman" w:hAnsi="Times New Roman" w:cs="Times New Roman"/>
                <w:smallCaps/>
                <w:sz w:val="16"/>
                <w:szCs w:val="16"/>
              </w:rPr>
              <w:t>(4)</w:t>
            </w:r>
          </w:p>
        </w:tc>
        <w:tc>
          <w:tcPr>
            <w:tcW w:w="1185" w:type="dxa"/>
            <w:tcBorders>
              <w:top w:val="thinThickLargeGap" w:sz="24" w:space="0" w:color="auto"/>
              <w:bottom w:val="single" w:sz="4" w:space="0" w:color="auto"/>
            </w:tcBorders>
            <w:vAlign w:val="center"/>
          </w:tcPr>
          <w:p w:rsidR="005E4E2D" w:rsidRPr="006542D6" w:rsidRDefault="005E4E2D" w:rsidP="00473A5D">
            <w:pPr>
              <w:jc w:val="center"/>
              <w:rPr>
                <w:rFonts w:ascii="Times New Roman" w:hAnsi="Times New Roman" w:cs="Times New Roman"/>
                <w:smallCaps/>
                <w:sz w:val="16"/>
                <w:szCs w:val="16"/>
              </w:rPr>
            </w:pPr>
            <w:r>
              <w:rPr>
                <w:rFonts w:ascii="Times New Roman" w:hAnsi="Times New Roman" w:cs="Times New Roman"/>
                <w:smallCaps/>
                <w:sz w:val="16"/>
                <w:szCs w:val="16"/>
              </w:rPr>
              <w:t>(5)</w:t>
            </w:r>
          </w:p>
        </w:tc>
        <w:tc>
          <w:tcPr>
            <w:tcW w:w="1185" w:type="dxa"/>
            <w:tcBorders>
              <w:top w:val="thinThickLargeGap" w:sz="24" w:space="0" w:color="auto"/>
              <w:bottom w:val="single" w:sz="4" w:space="0" w:color="auto"/>
            </w:tcBorders>
          </w:tcPr>
          <w:p w:rsidR="005E4E2D" w:rsidRDefault="005E4E2D" w:rsidP="00473A5D">
            <w:pPr>
              <w:jc w:val="center"/>
              <w:rPr>
                <w:rFonts w:ascii="Times New Roman" w:hAnsi="Times New Roman" w:cs="Times New Roman"/>
                <w:smallCaps/>
                <w:sz w:val="16"/>
                <w:szCs w:val="16"/>
              </w:rPr>
            </w:pPr>
            <w:r>
              <w:rPr>
                <w:rFonts w:ascii="Times New Roman" w:hAnsi="Times New Roman" w:cs="Times New Roman"/>
                <w:smallCaps/>
                <w:sz w:val="16"/>
                <w:szCs w:val="16"/>
              </w:rPr>
              <w:t>(6)</w:t>
            </w:r>
          </w:p>
        </w:tc>
      </w:tr>
      <w:tr w:rsidR="005E4E2D" w:rsidRPr="006542D6" w:rsidTr="00473A5D">
        <w:tc>
          <w:tcPr>
            <w:tcW w:w="1800" w:type="dxa"/>
            <w:vAlign w:val="center"/>
          </w:tcPr>
          <w:p w:rsidR="005E4E2D" w:rsidRPr="006542D6" w:rsidRDefault="005E4E2D" w:rsidP="00473A5D">
            <w:pPr>
              <w:spacing w:line="360" w:lineRule="auto"/>
              <w:rPr>
                <w:rFonts w:ascii="Times New Roman" w:hAnsi="Times New Roman" w:cs="Times New Roman"/>
                <w:sz w:val="16"/>
                <w:szCs w:val="16"/>
              </w:rPr>
            </w:pPr>
          </w:p>
        </w:tc>
        <w:tc>
          <w:tcPr>
            <w:tcW w:w="1185" w:type="dxa"/>
            <w:vAlign w:val="center"/>
          </w:tcPr>
          <w:p w:rsidR="005E4E2D" w:rsidRPr="00EE4EB5" w:rsidRDefault="005E4E2D" w:rsidP="00473A5D">
            <w:pPr>
              <w:jc w:val="center"/>
              <w:rPr>
                <w:rFonts w:ascii="Times New Roman" w:hAnsi="Times New Roman" w:cs="Times New Roman"/>
                <w:smallCaps/>
                <w:sz w:val="16"/>
                <w:szCs w:val="16"/>
              </w:rPr>
            </w:pPr>
            <w:proofErr w:type="spellStart"/>
            <w:r>
              <w:rPr>
                <w:rFonts w:ascii="Times New Roman" w:hAnsi="Times New Roman" w:cs="Times New Roman"/>
                <w:smallCaps/>
                <w:sz w:val="16"/>
                <w:szCs w:val="16"/>
              </w:rPr>
              <w:t>Mammo</w:t>
            </w:r>
            <w:proofErr w:type="spellEnd"/>
            <w:r>
              <w:rPr>
                <w:rFonts w:ascii="Times New Roman" w:hAnsi="Times New Roman" w:cs="Times New Roman"/>
                <w:smallCaps/>
                <w:sz w:val="16"/>
                <w:szCs w:val="16"/>
              </w:rPr>
              <w:t>-gram</w:t>
            </w:r>
          </w:p>
        </w:tc>
        <w:tc>
          <w:tcPr>
            <w:tcW w:w="1185" w:type="dxa"/>
            <w:vAlign w:val="center"/>
          </w:tcPr>
          <w:p w:rsidR="005E4E2D" w:rsidRPr="00EE4EB5" w:rsidRDefault="005E4E2D" w:rsidP="00473A5D">
            <w:pPr>
              <w:jc w:val="center"/>
              <w:rPr>
                <w:rFonts w:ascii="Times New Roman" w:hAnsi="Times New Roman" w:cs="Times New Roman"/>
                <w:smallCaps/>
                <w:sz w:val="16"/>
                <w:szCs w:val="16"/>
              </w:rPr>
            </w:pPr>
            <w:r>
              <w:rPr>
                <w:rFonts w:ascii="Times New Roman" w:hAnsi="Times New Roman" w:cs="Times New Roman"/>
                <w:smallCaps/>
                <w:sz w:val="16"/>
                <w:szCs w:val="16"/>
              </w:rPr>
              <w:t>Physical Breast Exam</w:t>
            </w:r>
          </w:p>
        </w:tc>
        <w:tc>
          <w:tcPr>
            <w:tcW w:w="1185" w:type="dxa"/>
            <w:vAlign w:val="center"/>
          </w:tcPr>
          <w:p w:rsidR="005E4E2D" w:rsidRPr="00EE4EB5" w:rsidRDefault="005E4E2D" w:rsidP="00473A5D">
            <w:pPr>
              <w:jc w:val="center"/>
              <w:rPr>
                <w:rFonts w:ascii="Times New Roman" w:hAnsi="Times New Roman" w:cs="Times New Roman"/>
                <w:smallCaps/>
                <w:sz w:val="16"/>
                <w:szCs w:val="16"/>
              </w:rPr>
            </w:pPr>
            <w:proofErr w:type="spellStart"/>
            <w:r>
              <w:rPr>
                <w:rFonts w:ascii="Times New Roman" w:hAnsi="Times New Roman" w:cs="Times New Roman"/>
                <w:smallCaps/>
                <w:sz w:val="16"/>
                <w:szCs w:val="16"/>
              </w:rPr>
              <w:t>Procto-scopic</w:t>
            </w:r>
            <w:proofErr w:type="spellEnd"/>
            <w:r>
              <w:rPr>
                <w:rFonts w:ascii="Times New Roman" w:hAnsi="Times New Roman" w:cs="Times New Roman"/>
                <w:smallCaps/>
                <w:sz w:val="16"/>
                <w:szCs w:val="16"/>
              </w:rPr>
              <w:t xml:space="preserve"> Exam</w:t>
            </w:r>
          </w:p>
        </w:tc>
        <w:tc>
          <w:tcPr>
            <w:tcW w:w="1185" w:type="dxa"/>
            <w:vAlign w:val="center"/>
          </w:tcPr>
          <w:p w:rsidR="005E4E2D" w:rsidRPr="00EE4EB5" w:rsidRDefault="005E4E2D" w:rsidP="00473A5D">
            <w:pPr>
              <w:jc w:val="center"/>
              <w:rPr>
                <w:rFonts w:ascii="Times New Roman" w:hAnsi="Times New Roman" w:cs="Times New Roman"/>
                <w:smallCaps/>
                <w:sz w:val="16"/>
                <w:szCs w:val="16"/>
              </w:rPr>
            </w:pPr>
            <w:r>
              <w:rPr>
                <w:rFonts w:ascii="Times New Roman" w:hAnsi="Times New Roman" w:cs="Times New Roman"/>
                <w:smallCaps/>
                <w:sz w:val="16"/>
                <w:szCs w:val="16"/>
              </w:rPr>
              <w:t>PSA Testing</w:t>
            </w:r>
          </w:p>
        </w:tc>
        <w:tc>
          <w:tcPr>
            <w:tcW w:w="1185" w:type="dxa"/>
            <w:vAlign w:val="center"/>
          </w:tcPr>
          <w:p w:rsidR="005E4E2D" w:rsidRPr="00EE4EB5" w:rsidRDefault="005E4E2D" w:rsidP="00473A5D">
            <w:pPr>
              <w:jc w:val="center"/>
              <w:rPr>
                <w:rFonts w:ascii="Times New Roman" w:hAnsi="Times New Roman" w:cs="Times New Roman"/>
                <w:smallCaps/>
                <w:sz w:val="16"/>
                <w:szCs w:val="16"/>
              </w:rPr>
            </w:pPr>
            <w:r>
              <w:rPr>
                <w:rFonts w:ascii="Times New Roman" w:hAnsi="Times New Roman" w:cs="Times New Roman"/>
                <w:smallCaps/>
                <w:sz w:val="16"/>
                <w:szCs w:val="16"/>
              </w:rPr>
              <w:t>Digital Rectal Exam</w:t>
            </w:r>
          </w:p>
        </w:tc>
        <w:tc>
          <w:tcPr>
            <w:tcW w:w="1185" w:type="dxa"/>
            <w:vAlign w:val="center"/>
          </w:tcPr>
          <w:p w:rsidR="005E4E2D" w:rsidRPr="00EE4EB5" w:rsidRDefault="005E4E2D" w:rsidP="00473A5D">
            <w:pPr>
              <w:jc w:val="center"/>
              <w:rPr>
                <w:rFonts w:ascii="Times New Roman" w:hAnsi="Times New Roman" w:cs="Times New Roman"/>
                <w:smallCaps/>
                <w:sz w:val="16"/>
                <w:szCs w:val="16"/>
              </w:rPr>
            </w:pPr>
            <w:r>
              <w:rPr>
                <w:rFonts w:ascii="Times New Roman" w:hAnsi="Times New Roman" w:cs="Times New Roman"/>
                <w:smallCaps/>
                <w:sz w:val="16"/>
                <w:szCs w:val="16"/>
              </w:rPr>
              <w:t>Pap Smear</w:t>
            </w:r>
          </w:p>
        </w:tc>
      </w:tr>
      <w:tr w:rsidR="005E4E2D" w:rsidRPr="006542D6" w:rsidTr="005E4E2D">
        <w:tc>
          <w:tcPr>
            <w:tcW w:w="1800" w:type="dxa"/>
            <w:vAlign w:val="center"/>
          </w:tcPr>
          <w:p w:rsidR="005E4E2D" w:rsidRPr="00CE6AA4" w:rsidRDefault="005E4E2D" w:rsidP="00473A5D">
            <w:pPr>
              <w:spacing w:line="360" w:lineRule="auto"/>
              <w:rPr>
                <w:rFonts w:ascii="Times New Roman" w:hAnsi="Times New Roman" w:cs="Times New Roman"/>
                <w:sz w:val="16"/>
                <w:szCs w:val="16"/>
                <w:u w:val="single"/>
              </w:rPr>
            </w:pPr>
            <w:r w:rsidRPr="00CE6AA4">
              <w:rPr>
                <w:rFonts w:ascii="Times New Roman" w:hAnsi="Times New Roman" w:cs="Times New Roman"/>
                <w:sz w:val="16"/>
                <w:szCs w:val="16"/>
                <w:u w:val="single"/>
              </w:rPr>
              <w:t>Non-Economic Damage Cap</w:t>
            </w:r>
          </w:p>
        </w:tc>
        <w:tc>
          <w:tcPr>
            <w:tcW w:w="1185" w:type="dxa"/>
            <w:vAlign w:val="center"/>
          </w:tcPr>
          <w:p w:rsidR="005E4E2D" w:rsidRPr="006542D6" w:rsidRDefault="005E4E2D" w:rsidP="00473A5D">
            <w:pPr>
              <w:spacing w:line="360" w:lineRule="auto"/>
              <w:jc w:val="center"/>
              <w:rPr>
                <w:rFonts w:ascii="Times New Roman" w:hAnsi="Times New Roman" w:cs="Times New Roman"/>
                <w:smallCaps/>
                <w:sz w:val="16"/>
                <w:szCs w:val="16"/>
              </w:rPr>
            </w:pPr>
          </w:p>
        </w:tc>
        <w:tc>
          <w:tcPr>
            <w:tcW w:w="1185" w:type="dxa"/>
            <w:vAlign w:val="center"/>
          </w:tcPr>
          <w:p w:rsidR="005E4E2D" w:rsidRPr="006542D6" w:rsidRDefault="005E4E2D" w:rsidP="00473A5D">
            <w:pPr>
              <w:spacing w:line="360" w:lineRule="auto"/>
              <w:rPr>
                <w:rFonts w:ascii="Times New Roman" w:hAnsi="Times New Roman" w:cs="Times New Roman"/>
                <w:smallCaps/>
                <w:sz w:val="16"/>
                <w:szCs w:val="16"/>
              </w:rPr>
            </w:pPr>
          </w:p>
        </w:tc>
        <w:tc>
          <w:tcPr>
            <w:tcW w:w="1185" w:type="dxa"/>
            <w:vAlign w:val="center"/>
          </w:tcPr>
          <w:p w:rsidR="005E4E2D" w:rsidRPr="006542D6" w:rsidRDefault="005E4E2D" w:rsidP="00473A5D">
            <w:pPr>
              <w:spacing w:line="360" w:lineRule="auto"/>
              <w:jc w:val="center"/>
              <w:rPr>
                <w:rFonts w:ascii="Times New Roman" w:hAnsi="Times New Roman" w:cs="Times New Roman"/>
                <w:smallCaps/>
                <w:sz w:val="16"/>
                <w:szCs w:val="16"/>
              </w:rPr>
            </w:pPr>
          </w:p>
        </w:tc>
        <w:tc>
          <w:tcPr>
            <w:tcW w:w="1185" w:type="dxa"/>
            <w:vAlign w:val="center"/>
          </w:tcPr>
          <w:p w:rsidR="005E4E2D" w:rsidRPr="006542D6" w:rsidRDefault="005E4E2D" w:rsidP="00473A5D">
            <w:pPr>
              <w:spacing w:line="360" w:lineRule="auto"/>
              <w:jc w:val="center"/>
              <w:rPr>
                <w:rFonts w:ascii="Times New Roman" w:hAnsi="Times New Roman" w:cs="Times New Roman"/>
                <w:smallCaps/>
                <w:sz w:val="16"/>
                <w:szCs w:val="16"/>
              </w:rPr>
            </w:pPr>
          </w:p>
        </w:tc>
        <w:tc>
          <w:tcPr>
            <w:tcW w:w="1185" w:type="dxa"/>
            <w:vAlign w:val="center"/>
          </w:tcPr>
          <w:p w:rsidR="005E4E2D" w:rsidRPr="006542D6" w:rsidRDefault="005E4E2D" w:rsidP="00473A5D">
            <w:pPr>
              <w:spacing w:line="360" w:lineRule="auto"/>
              <w:jc w:val="center"/>
              <w:rPr>
                <w:rFonts w:ascii="Times New Roman" w:hAnsi="Times New Roman" w:cs="Times New Roman"/>
                <w:smallCaps/>
                <w:sz w:val="16"/>
                <w:szCs w:val="16"/>
              </w:rPr>
            </w:pPr>
          </w:p>
        </w:tc>
        <w:tc>
          <w:tcPr>
            <w:tcW w:w="1185" w:type="dxa"/>
          </w:tcPr>
          <w:p w:rsidR="005E4E2D" w:rsidRPr="006542D6" w:rsidRDefault="005E4E2D" w:rsidP="00473A5D">
            <w:pPr>
              <w:spacing w:line="360" w:lineRule="auto"/>
              <w:jc w:val="center"/>
              <w:rPr>
                <w:rFonts w:ascii="Times New Roman" w:hAnsi="Times New Roman" w:cs="Times New Roman"/>
                <w:smallCaps/>
                <w:sz w:val="16"/>
                <w:szCs w:val="16"/>
              </w:rPr>
            </w:pPr>
          </w:p>
        </w:tc>
      </w:tr>
      <w:tr w:rsidR="005E4E2D" w:rsidRPr="006542D6" w:rsidTr="005E4E2D">
        <w:tc>
          <w:tcPr>
            <w:tcW w:w="1800" w:type="dxa"/>
            <w:vAlign w:val="center"/>
          </w:tcPr>
          <w:p w:rsidR="005E4E2D" w:rsidRPr="006542D6" w:rsidRDefault="005E4E2D" w:rsidP="00473A5D">
            <w:pPr>
              <w:spacing w:line="360" w:lineRule="auto"/>
              <w:rPr>
                <w:rFonts w:ascii="Times New Roman" w:hAnsi="Times New Roman" w:cs="Times New Roman"/>
                <w:sz w:val="16"/>
                <w:szCs w:val="16"/>
              </w:rPr>
            </w:pPr>
            <w:r>
              <w:rPr>
                <w:rFonts w:ascii="Times New Roman" w:hAnsi="Times New Roman" w:cs="Times New Roman"/>
                <w:sz w:val="16"/>
                <w:szCs w:val="16"/>
              </w:rPr>
              <w:t>4-Year Lead Dummy</w:t>
            </w:r>
          </w:p>
        </w:tc>
        <w:tc>
          <w:tcPr>
            <w:tcW w:w="1185" w:type="dxa"/>
            <w:vAlign w:val="center"/>
          </w:tcPr>
          <w:p w:rsidR="005E4E2D" w:rsidRPr="006542D6" w:rsidRDefault="000373EC" w:rsidP="00001D63">
            <w:pPr>
              <w:spacing w:line="360" w:lineRule="auto"/>
              <w:jc w:val="center"/>
              <w:rPr>
                <w:rFonts w:ascii="Times New Roman" w:hAnsi="Times New Roman" w:cs="Times New Roman"/>
                <w:smallCaps/>
                <w:sz w:val="16"/>
                <w:szCs w:val="16"/>
              </w:rPr>
            </w:pPr>
            <w:r w:rsidRPr="000373EC">
              <w:rPr>
                <w:rFonts w:ascii="Times New Roman" w:hAnsi="Times New Roman" w:cs="Times New Roman"/>
                <w:smallCaps/>
                <w:sz w:val="16"/>
                <w:szCs w:val="16"/>
              </w:rPr>
              <w:t>-</w:t>
            </w:r>
            <w:r w:rsidR="00001D63">
              <w:rPr>
                <w:rFonts w:ascii="Times New Roman" w:hAnsi="Times New Roman" w:cs="Times New Roman"/>
                <w:smallCaps/>
                <w:sz w:val="16"/>
                <w:szCs w:val="16"/>
              </w:rPr>
              <w:t>0</w:t>
            </w:r>
            <w:r w:rsidRPr="000373EC">
              <w:rPr>
                <w:rFonts w:ascii="Times New Roman" w:hAnsi="Times New Roman" w:cs="Times New Roman"/>
                <w:smallCaps/>
                <w:sz w:val="16"/>
                <w:szCs w:val="16"/>
              </w:rPr>
              <w:t>.00</w:t>
            </w:r>
            <w:r w:rsidR="00001D63">
              <w:rPr>
                <w:rFonts w:ascii="Times New Roman" w:hAnsi="Times New Roman" w:cs="Times New Roman"/>
                <w:smallCaps/>
                <w:sz w:val="16"/>
                <w:szCs w:val="16"/>
              </w:rPr>
              <w:t>9</w:t>
            </w:r>
            <w:r w:rsidRPr="000373EC">
              <w:rPr>
                <w:rFonts w:ascii="Times New Roman" w:hAnsi="Times New Roman" w:cs="Times New Roman"/>
                <w:smallCaps/>
                <w:sz w:val="16"/>
                <w:szCs w:val="16"/>
              </w:rPr>
              <w:t xml:space="preserve">      (</w:t>
            </w:r>
            <w:r w:rsidR="00001D63">
              <w:rPr>
                <w:rFonts w:ascii="Times New Roman" w:hAnsi="Times New Roman" w:cs="Times New Roman"/>
                <w:smallCaps/>
                <w:sz w:val="16"/>
                <w:szCs w:val="16"/>
              </w:rPr>
              <w:t>0</w:t>
            </w:r>
            <w:r w:rsidRPr="000373EC">
              <w:rPr>
                <w:rFonts w:ascii="Times New Roman" w:hAnsi="Times New Roman" w:cs="Times New Roman"/>
                <w:smallCaps/>
                <w:sz w:val="16"/>
                <w:szCs w:val="16"/>
              </w:rPr>
              <w:t>.00</w:t>
            </w:r>
            <w:r w:rsidR="00001D63">
              <w:rPr>
                <w:rFonts w:ascii="Times New Roman" w:hAnsi="Times New Roman" w:cs="Times New Roman"/>
                <w:smallCaps/>
                <w:sz w:val="16"/>
                <w:szCs w:val="16"/>
              </w:rPr>
              <w:t>6</w:t>
            </w:r>
            <w:r w:rsidRPr="000373EC">
              <w:rPr>
                <w:rFonts w:ascii="Times New Roman" w:hAnsi="Times New Roman" w:cs="Times New Roman"/>
                <w:smallCaps/>
                <w:sz w:val="16"/>
                <w:szCs w:val="16"/>
              </w:rPr>
              <w:t>)</w:t>
            </w:r>
          </w:p>
        </w:tc>
        <w:tc>
          <w:tcPr>
            <w:tcW w:w="1185" w:type="dxa"/>
            <w:vAlign w:val="center"/>
          </w:tcPr>
          <w:p w:rsidR="005E4E2D" w:rsidRPr="006542D6" w:rsidRDefault="0095157B" w:rsidP="0095157B">
            <w:pPr>
              <w:spacing w:line="360" w:lineRule="auto"/>
              <w:jc w:val="center"/>
              <w:rPr>
                <w:rFonts w:ascii="Times New Roman" w:hAnsi="Times New Roman" w:cs="Times New Roman"/>
                <w:smallCaps/>
                <w:sz w:val="16"/>
                <w:szCs w:val="16"/>
              </w:rPr>
            </w:pPr>
            <w:r w:rsidRPr="0095157B">
              <w:rPr>
                <w:rFonts w:ascii="Times New Roman" w:hAnsi="Times New Roman" w:cs="Times New Roman"/>
                <w:smallCaps/>
                <w:sz w:val="16"/>
                <w:szCs w:val="16"/>
              </w:rPr>
              <w:t>-</w:t>
            </w:r>
            <w:r>
              <w:rPr>
                <w:rFonts w:ascii="Times New Roman" w:hAnsi="Times New Roman" w:cs="Times New Roman"/>
                <w:smallCaps/>
                <w:sz w:val="16"/>
                <w:szCs w:val="16"/>
              </w:rPr>
              <w:t>0</w:t>
            </w:r>
            <w:r w:rsidRPr="0095157B">
              <w:rPr>
                <w:rFonts w:ascii="Times New Roman" w:hAnsi="Times New Roman" w:cs="Times New Roman"/>
                <w:smallCaps/>
                <w:sz w:val="16"/>
                <w:szCs w:val="16"/>
              </w:rPr>
              <w:t>.006       (</w:t>
            </w:r>
            <w:r>
              <w:rPr>
                <w:rFonts w:ascii="Times New Roman" w:hAnsi="Times New Roman" w:cs="Times New Roman"/>
                <w:smallCaps/>
                <w:sz w:val="16"/>
                <w:szCs w:val="16"/>
              </w:rPr>
              <w:t>0</w:t>
            </w:r>
            <w:r w:rsidRPr="0095157B">
              <w:rPr>
                <w:rFonts w:ascii="Times New Roman" w:hAnsi="Times New Roman" w:cs="Times New Roman"/>
                <w:smallCaps/>
                <w:sz w:val="16"/>
                <w:szCs w:val="16"/>
              </w:rPr>
              <w:t>.006)</w:t>
            </w:r>
          </w:p>
        </w:tc>
        <w:tc>
          <w:tcPr>
            <w:tcW w:w="1185" w:type="dxa"/>
            <w:vAlign w:val="center"/>
          </w:tcPr>
          <w:p w:rsidR="005E4E2D" w:rsidRPr="006542D6" w:rsidRDefault="000E77F1" w:rsidP="000E77F1">
            <w:pPr>
              <w:spacing w:line="360" w:lineRule="auto"/>
              <w:jc w:val="center"/>
              <w:rPr>
                <w:rFonts w:ascii="Times New Roman" w:hAnsi="Times New Roman" w:cs="Times New Roman"/>
                <w:smallCaps/>
                <w:sz w:val="16"/>
                <w:szCs w:val="16"/>
              </w:rPr>
            </w:pPr>
            <w:r w:rsidRPr="000E77F1">
              <w:rPr>
                <w:rFonts w:ascii="Times New Roman" w:hAnsi="Times New Roman" w:cs="Times New Roman"/>
                <w:smallCaps/>
                <w:sz w:val="16"/>
                <w:szCs w:val="16"/>
              </w:rPr>
              <w:t>-</w:t>
            </w:r>
            <w:r>
              <w:rPr>
                <w:rFonts w:ascii="Times New Roman" w:hAnsi="Times New Roman" w:cs="Times New Roman"/>
                <w:smallCaps/>
                <w:sz w:val="16"/>
                <w:szCs w:val="16"/>
              </w:rPr>
              <w:t>0</w:t>
            </w:r>
            <w:r w:rsidRPr="000E77F1">
              <w:rPr>
                <w:rFonts w:ascii="Times New Roman" w:hAnsi="Times New Roman" w:cs="Times New Roman"/>
                <w:smallCaps/>
                <w:sz w:val="16"/>
                <w:szCs w:val="16"/>
              </w:rPr>
              <w:t>.019**</w:t>
            </w:r>
            <w:r w:rsidR="0016490E">
              <w:rPr>
                <w:rFonts w:ascii="Times New Roman" w:hAnsi="Times New Roman" w:cs="Times New Roman"/>
                <w:smallCaps/>
                <w:sz w:val="16"/>
                <w:szCs w:val="16"/>
              </w:rPr>
              <w:t>*</w:t>
            </w:r>
            <w:r w:rsidRPr="000E77F1">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0E77F1">
              <w:rPr>
                <w:rFonts w:ascii="Times New Roman" w:hAnsi="Times New Roman" w:cs="Times New Roman"/>
                <w:smallCaps/>
                <w:sz w:val="16"/>
                <w:szCs w:val="16"/>
              </w:rPr>
              <w:t>.00</w:t>
            </w:r>
            <w:r>
              <w:rPr>
                <w:rFonts w:ascii="Times New Roman" w:hAnsi="Times New Roman" w:cs="Times New Roman"/>
                <w:smallCaps/>
                <w:sz w:val="16"/>
                <w:szCs w:val="16"/>
              </w:rPr>
              <w:t>7</w:t>
            </w:r>
            <w:r w:rsidRPr="000E77F1">
              <w:rPr>
                <w:rFonts w:ascii="Times New Roman" w:hAnsi="Times New Roman" w:cs="Times New Roman"/>
                <w:smallCaps/>
                <w:sz w:val="16"/>
                <w:szCs w:val="16"/>
              </w:rPr>
              <w:t>)</w:t>
            </w:r>
          </w:p>
        </w:tc>
        <w:tc>
          <w:tcPr>
            <w:tcW w:w="1185" w:type="dxa"/>
            <w:vAlign w:val="center"/>
          </w:tcPr>
          <w:p w:rsidR="005E4E2D" w:rsidRPr="006542D6" w:rsidRDefault="00A96553" w:rsidP="00A96553">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A96553">
              <w:rPr>
                <w:rFonts w:ascii="Times New Roman" w:hAnsi="Times New Roman" w:cs="Times New Roman"/>
                <w:smallCaps/>
                <w:sz w:val="16"/>
                <w:szCs w:val="16"/>
              </w:rPr>
              <w:t>.01</w:t>
            </w:r>
            <w:r>
              <w:rPr>
                <w:rFonts w:ascii="Times New Roman" w:hAnsi="Times New Roman" w:cs="Times New Roman"/>
                <w:smallCaps/>
                <w:sz w:val="16"/>
                <w:szCs w:val="16"/>
              </w:rPr>
              <w:t>3</w:t>
            </w:r>
            <w:r w:rsidRPr="00A96553">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A96553">
              <w:rPr>
                <w:rFonts w:ascii="Times New Roman" w:hAnsi="Times New Roman" w:cs="Times New Roman"/>
                <w:smallCaps/>
                <w:sz w:val="16"/>
                <w:szCs w:val="16"/>
              </w:rPr>
              <w:t>.01</w:t>
            </w:r>
            <w:r>
              <w:rPr>
                <w:rFonts w:ascii="Times New Roman" w:hAnsi="Times New Roman" w:cs="Times New Roman"/>
                <w:smallCaps/>
                <w:sz w:val="16"/>
                <w:szCs w:val="16"/>
              </w:rPr>
              <w:t>5</w:t>
            </w:r>
            <w:r w:rsidRPr="00A96553">
              <w:rPr>
                <w:rFonts w:ascii="Times New Roman" w:hAnsi="Times New Roman" w:cs="Times New Roman"/>
                <w:smallCaps/>
                <w:sz w:val="16"/>
                <w:szCs w:val="16"/>
              </w:rPr>
              <w:t>)</w:t>
            </w:r>
          </w:p>
        </w:tc>
        <w:tc>
          <w:tcPr>
            <w:tcW w:w="1185" w:type="dxa"/>
            <w:vAlign w:val="center"/>
          </w:tcPr>
          <w:p w:rsidR="005E4E2D" w:rsidRPr="006542D6" w:rsidRDefault="00CD744B" w:rsidP="00CD744B">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00745116" w:rsidRPr="00745116">
              <w:rPr>
                <w:rFonts w:ascii="Times New Roman" w:hAnsi="Times New Roman" w:cs="Times New Roman"/>
                <w:smallCaps/>
                <w:sz w:val="16"/>
                <w:szCs w:val="16"/>
              </w:rPr>
              <w:t>.00</w:t>
            </w:r>
            <w:r>
              <w:rPr>
                <w:rFonts w:ascii="Times New Roman" w:hAnsi="Times New Roman" w:cs="Times New Roman"/>
                <w:smallCaps/>
                <w:sz w:val="16"/>
                <w:szCs w:val="16"/>
              </w:rPr>
              <w:t>7</w:t>
            </w:r>
            <w:r w:rsidR="00745116" w:rsidRPr="00745116">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00745116" w:rsidRPr="00745116">
              <w:rPr>
                <w:rFonts w:ascii="Times New Roman" w:hAnsi="Times New Roman" w:cs="Times New Roman"/>
                <w:smallCaps/>
                <w:sz w:val="16"/>
                <w:szCs w:val="16"/>
              </w:rPr>
              <w:t>.017)</w:t>
            </w:r>
          </w:p>
        </w:tc>
        <w:tc>
          <w:tcPr>
            <w:tcW w:w="1185" w:type="dxa"/>
          </w:tcPr>
          <w:p w:rsidR="005E4E2D" w:rsidRPr="006542D6" w:rsidRDefault="009C5962" w:rsidP="00486FBF">
            <w:pPr>
              <w:spacing w:line="360" w:lineRule="auto"/>
              <w:jc w:val="center"/>
              <w:rPr>
                <w:rFonts w:ascii="Times New Roman" w:hAnsi="Times New Roman" w:cs="Times New Roman"/>
                <w:smallCaps/>
                <w:sz w:val="16"/>
                <w:szCs w:val="16"/>
              </w:rPr>
            </w:pPr>
            <w:r w:rsidRPr="009C5962">
              <w:rPr>
                <w:rFonts w:ascii="Times New Roman" w:hAnsi="Times New Roman" w:cs="Times New Roman"/>
                <w:smallCaps/>
                <w:sz w:val="16"/>
                <w:szCs w:val="16"/>
              </w:rPr>
              <w:t>-</w:t>
            </w:r>
            <w:r w:rsidR="00486FBF">
              <w:rPr>
                <w:rFonts w:ascii="Times New Roman" w:hAnsi="Times New Roman" w:cs="Times New Roman"/>
                <w:smallCaps/>
                <w:sz w:val="16"/>
                <w:szCs w:val="16"/>
              </w:rPr>
              <w:t>0</w:t>
            </w:r>
            <w:r w:rsidRPr="009C5962">
              <w:rPr>
                <w:rFonts w:ascii="Times New Roman" w:hAnsi="Times New Roman" w:cs="Times New Roman"/>
                <w:smallCaps/>
                <w:sz w:val="16"/>
                <w:szCs w:val="16"/>
              </w:rPr>
              <w:t>.003      (</w:t>
            </w:r>
            <w:r w:rsidR="00486FBF">
              <w:rPr>
                <w:rFonts w:ascii="Times New Roman" w:hAnsi="Times New Roman" w:cs="Times New Roman"/>
                <w:smallCaps/>
                <w:sz w:val="16"/>
                <w:szCs w:val="16"/>
              </w:rPr>
              <w:t>0</w:t>
            </w:r>
            <w:r w:rsidRPr="009C5962">
              <w:rPr>
                <w:rFonts w:ascii="Times New Roman" w:hAnsi="Times New Roman" w:cs="Times New Roman"/>
                <w:smallCaps/>
                <w:sz w:val="16"/>
                <w:szCs w:val="16"/>
              </w:rPr>
              <w:t>.006)</w:t>
            </w:r>
          </w:p>
        </w:tc>
      </w:tr>
      <w:tr w:rsidR="005E4E2D" w:rsidRPr="006542D6" w:rsidTr="005E4E2D">
        <w:tc>
          <w:tcPr>
            <w:tcW w:w="1800" w:type="dxa"/>
            <w:vAlign w:val="center"/>
          </w:tcPr>
          <w:p w:rsidR="005E4E2D" w:rsidRPr="006542D6" w:rsidRDefault="005E4E2D" w:rsidP="00473A5D">
            <w:pPr>
              <w:spacing w:line="360" w:lineRule="auto"/>
              <w:rPr>
                <w:rFonts w:ascii="Times New Roman" w:hAnsi="Times New Roman" w:cs="Times New Roman"/>
                <w:sz w:val="16"/>
                <w:szCs w:val="16"/>
              </w:rPr>
            </w:pPr>
            <w:r>
              <w:rPr>
                <w:rFonts w:ascii="Times New Roman" w:hAnsi="Times New Roman" w:cs="Times New Roman"/>
                <w:sz w:val="16"/>
                <w:szCs w:val="16"/>
              </w:rPr>
              <w:t>3-Year Lead Dummy</w:t>
            </w:r>
          </w:p>
        </w:tc>
        <w:tc>
          <w:tcPr>
            <w:tcW w:w="1185" w:type="dxa"/>
            <w:vAlign w:val="center"/>
          </w:tcPr>
          <w:p w:rsidR="005E4E2D" w:rsidRPr="006542D6" w:rsidRDefault="00001D63" w:rsidP="00001D63">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000373EC" w:rsidRPr="000373EC">
              <w:rPr>
                <w:rFonts w:ascii="Times New Roman" w:hAnsi="Times New Roman" w:cs="Times New Roman"/>
                <w:smallCaps/>
                <w:sz w:val="16"/>
                <w:szCs w:val="16"/>
              </w:rPr>
              <w:t>.00</w:t>
            </w:r>
            <w:r>
              <w:rPr>
                <w:rFonts w:ascii="Times New Roman" w:hAnsi="Times New Roman" w:cs="Times New Roman"/>
                <w:smallCaps/>
                <w:sz w:val="16"/>
                <w:szCs w:val="16"/>
              </w:rPr>
              <w:t>7</w:t>
            </w:r>
            <w:r w:rsidR="000373EC" w:rsidRPr="000373EC">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000373EC" w:rsidRPr="000373EC">
              <w:rPr>
                <w:rFonts w:ascii="Times New Roman" w:hAnsi="Times New Roman" w:cs="Times New Roman"/>
                <w:smallCaps/>
                <w:sz w:val="16"/>
                <w:szCs w:val="16"/>
              </w:rPr>
              <w:t>.00</w:t>
            </w:r>
            <w:r>
              <w:rPr>
                <w:rFonts w:ascii="Times New Roman" w:hAnsi="Times New Roman" w:cs="Times New Roman"/>
                <w:smallCaps/>
                <w:sz w:val="16"/>
                <w:szCs w:val="16"/>
              </w:rPr>
              <w:t>4</w:t>
            </w:r>
            <w:r w:rsidR="000373EC" w:rsidRPr="000373EC">
              <w:rPr>
                <w:rFonts w:ascii="Times New Roman" w:hAnsi="Times New Roman" w:cs="Times New Roman"/>
                <w:smallCaps/>
                <w:sz w:val="16"/>
                <w:szCs w:val="16"/>
              </w:rPr>
              <w:t>)</w:t>
            </w:r>
          </w:p>
        </w:tc>
        <w:tc>
          <w:tcPr>
            <w:tcW w:w="1185" w:type="dxa"/>
            <w:vAlign w:val="center"/>
          </w:tcPr>
          <w:p w:rsidR="005E4E2D" w:rsidRPr="006542D6" w:rsidRDefault="0095157B" w:rsidP="0095157B">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95157B">
              <w:rPr>
                <w:rFonts w:ascii="Times New Roman" w:hAnsi="Times New Roman" w:cs="Times New Roman"/>
                <w:smallCaps/>
                <w:sz w:val="16"/>
                <w:szCs w:val="16"/>
              </w:rPr>
              <w:t>.010      (</w:t>
            </w:r>
            <w:r>
              <w:rPr>
                <w:rFonts w:ascii="Times New Roman" w:hAnsi="Times New Roman" w:cs="Times New Roman"/>
                <w:smallCaps/>
                <w:sz w:val="16"/>
                <w:szCs w:val="16"/>
              </w:rPr>
              <w:t>0</w:t>
            </w:r>
            <w:r w:rsidRPr="0095157B">
              <w:rPr>
                <w:rFonts w:ascii="Times New Roman" w:hAnsi="Times New Roman" w:cs="Times New Roman"/>
                <w:smallCaps/>
                <w:sz w:val="16"/>
                <w:szCs w:val="16"/>
              </w:rPr>
              <w:t>.008)</w:t>
            </w:r>
          </w:p>
        </w:tc>
        <w:tc>
          <w:tcPr>
            <w:tcW w:w="1185" w:type="dxa"/>
            <w:vAlign w:val="center"/>
          </w:tcPr>
          <w:p w:rsidR="005E4E2D" w:rsidRPr="006542D6" w:rsidRDefault="000E77F1" w:rsidP="000E77F1">
            <w:pPr>
              <w:spacing w:line="360" w:lineRule="auto"/>
              <w:jc w:val="center"/>
              <w:rPr>
                <w:rFonts w:ascii="Times New Roman" w:hAnsi="Times New Roman" w:cs="Times New Roman"/>
                <w:smallCaps/>
                <w:sz w:val="16"/>
                <w:szCs w:val="16"/>
              </w:rPr>
            </w:pPr>
            <w:r w:rsidRPr="000E77F1">
              <w:rPr>
                <w:rFonts w:ascii="Times New Roman" w:hAnsi="Times New Roman" w:cs="Times New Roman"/>
                <w:smallCaps/>
                <w:sz w:val="16"/>
                <w:szCs w:val="16"/>
              </w:rPr>
              <w:t>-</w:t>
            </w:r>
            <w:r>
              <w:rPr>
                <w:rFonts w:ascii="Times New Roman" w:hAnsi="Times New Roman" w:cs="Times New Roman"/>
                <w:smallCaps/>
                <w:sz w:val="16"/>
                <w:szCs w:val="16"/>
              </w:rPr>
              <w:t>0</w:t>
            </w:r>
            <w:r w:rsidRPr="000E77F1">
              <w:rPr>
                <w:rFonts w:ascii="Times New Roman" w:hAnsi="Times New Roman" w:cs="Times New Roman"/>
                <w:smallCaps/>
                <w:sz w:val="16"/>
                <w:szCs w:val="16"/>
              </w:rPr>
              <w:t>.004      (</w:t>
            </w:r>
            <w:r>
              <w:rPr>
                <w:rFonts w:ascii="Times New Roman" w:hAnsi="Times New Roman" w:cs="Times New Roman"/>
                <w:smallCaps/>
                <w:sz w:val="16"/>
                <w:szCs w:val="16"/>
              </w:rPr>
              <w:t>0</w:t>
            </w:r>
            <w:r w:rsidRPr="000E77F1">
              <w:rPr>
                <w:rFonts w:ascii="Times New Roman" w:hAnsi="Times New Roman" w:cs="Times New Roman"/>
                <w:smallCaps/>
                <w:sz w:val="16"/>
                <w:szCs w:val="16"/>
              </w:rPr>
              <w:t>.00</w:t>
            </w:r>
            <w:r>
              <w:rPr>
                <w:rFonts w:ascii="Times New Roman" w:hAnsi="Times New Roman" w:cs="Times New Roman"/>
                <w:smallCaps/>
                <w:sz w:val="16"/>
                <w:szCs w:val="16"/>
              </w:rPr>
              <w:t>7</w:t>
            </w:r>
            <w:r w:rsidRPr="000E77F1">
              <w:rPr>
                <w:rFonts w:ascii="Times New Roman" w:hAnsi="Times New Roman" w:cs="Times New Roman"/>
                <w:smallCaps/>
                <w:sz w:val="16"/>
                <w:szCs w:val="16"/>
              </w:rPr>
              <w:t>)</w:t>
            </w:r>
          </w:p>
        </w:tc>
        <w:tc>
          <w:tcPr>
            <w:tcW w:w="1185" w:type="dxa"/>
            <w:vAlign w:val="center"/>
          </w:tcPr>
          <w:p w:rsidR="005E4E2D" w:rsidRPr="00D71ED9" w:rsidRDefault="00A96553" w:rsidP="00A96553">
            <w:pPr>
              <w:spacing w:line="360" w:lineRule="auto"/>
              <w:jc w:val="center"/>
              <w:rPr>
                <w:rFonts w:ascii="Times New Roman" w:hAnsi="Times New Roman" w:cs="Times New Roman"/>
                <w:smallCaps/>
                <w:sz w:val="16"/>
                <w:szCs w:val="16"/>
              </w:rPr>
            </w:pPr>
            <w:r w:rsidRPr="00A96553">
              <w:rPr>
                <w:rFonts w:ascii="Times New Roman" w:hAnsi="Times New Roman" w:cs="Times New Roman"/>
                <w:smallCaps/>
                <w:sz w:val="16"/>
                <w:szCs w:val="16"/>
              </w:rPr>
              <w:t>-</w:t>
            </w:r>
            <w:r>
              <w:rPr>
                <w:rFonts w:ascii="Times New Roman" w:hAnsi="Times New Roman" w:cs="Times New Roman"/>
                <w:smallCaps/>
                <w:sz w:val="16"/>
                <w:szCs w:val="16"/>
              </w:rPr>
              <w:t>0</w:t>
            </w:r>
            <w:r w:rsidRPr="00A96553">
              <w:rPr>
                <w:rFonts w:ascii="Times New Roman" w:hAnsi="Times New Roman" w:cs="Times New Roman"/>
                <w:smallCaps/>
                <w:sz w:val="16"/>
                <w:szCs w:val="16"/>
              </w:rPr>
              <w:t>.02</w:t>
            </w:r>
            <w:r>
              <w:rPr>
                <w:rFonts w:ascii="Times New Roman" w:hAnsi="Times New Roman" w:cs="Times New Roman"/>
                <w:smallCaps/>
                <w:sz w:val="16"/>
                <w:szCs w:val="16"/>
              </w:rPr>
              <w:t>3</w:t>
            </w:r>
            <w:r w:rsidRPr="00A96553">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A96553">
              <w:rPr>
                <w:rFonts w:ascii="Times New Roman" w:hAnsi="Times New Roman" w:cs="Times New Roman"/>
                <w:smallCaps/>
                <w:sz w:val="16"/>
                <w:szCs w:val="16"/>
              </w:rPr>
              <w:t>.016)</w:t>
            </w:r>
          </w:p>
        </w:tc>
        <w:tc>
          <w:tcPr>
            <w:tcW w:w="1185" w:type="dxa"/>
            <w:vAlign w:val="center"/>
          </w:tcPr>
          <w:p w:rsidR="005E4E2D" w:rsidRPr="006542D6" w:rsidRDefault="00745116" w:rsidP="00CD744B">
            <w:pPr>
              <w:spacing w:line="360" w:lineRule="auto"/>
              <w:jc w:val="center"/>
              <w:rPr>
                <w:rFonts w:ascii="Times New Roman" w:hAnsi="Times New Roman" w:cs="Times New Roman"/>
                <w:smallCaps/>
                <w:sz w:val="16"/>
                <w:szCs w:val="16"/>
              </w:rPr>
            </w:pPr>
            <w:r w:rsidRPr="00745116">
              <w:rPr>
                <w:rFonts w:ascii="Times New Roman" w:hAnsi="Times New Roman" w:cs="Times New Roman"/>
                <w:smallCaps/>
                <w:sz w:val="16"/>
                <w:szCs w:val="16"/>
              </w:rPr>
              <w:t>-</w:t>
            </w:r>
            <w:r w:rsidR="00CD744B">
              <w:rPr>
                <w:rFonts w:ascii="Times New Roman" w:hAnsi="Times New Roman" w:cs="Times New Roman"/>
                <w:smallCaps/>
                <w:sz w:val="16"/>
                <w:szCs w:val="16"/>
              </w:rPr>
              <w:t>0.009</w:t>
            </w:r>
            <w:r w:rsidRPr="00745116">
              <w:rPr>
                <w:rFonts w:ascii="Times New Roman" w:hAnsi="Times New Roman" w:cs="Times New Roman"/>
                <w:smallCaps/>
                <w:sz w:val="16"/>
                <w:szCs w:val="16"/>
              </w:rPr>
              <w:t xml:space="preserve">      (</w:t>
            </w:r>
            <w:r w:rsidR="00CD744B">
              <w:rPr>
                <w:rFonts w:ascii="Times New Roman" w:hAnsi="Times New Roman" w:cs="Times New Roman"/>
                <w:smallCaps/>
                <w:sz w:val="16"/>
                <w:szCs w:val="16"/>
              </w:rPr>
              <w:t>0</w:t>
            </w:r>
            <w:r w:rsidRPr="00745116">
              <w:rPr>
                <w:rFonts w:ascii="Times New Roman" w:hAnsi="Times New Roman" w:cs="Times New Roman"/>
                <w:smallCaps/>
                <w:sz w:val="16"/>
                <w:szCs w:val="16"/>
              </w:rPr>
              <w:t>.01</w:t>
            </w:r>
            <w:r w:rsidR="00CD744B">
              <w:rPr>
                <w:rFonts w:ascii="Times New Roman" w:hAnsi="Times New Roman" w:cs="Times New Roman"/>
                <w:smallCaps/>
                <w:sz w:val="16"/>
                <w:szCs w:val="16"/>
              </w:rPr>
              <w:t>5</w:t>
            </w:r>
            <w:r w:rsidRPr="00745116">
              <w:rPr>
                <w:rFonts w:ascii="Times New Roman" w:hAnsi="Times New Roman" w:cs="Times New Roman"/>
                <w:smallCaps/>
                <w:sz w:val="16"/>
                <w:szCs w:val="16"/>
              </w:rPr>
              <w:t>)</w:t>
            </w:r>
          </w:p>
        </w:tc>
        <w:tc>
          <w:tcPr>
            <w:tcW w:w="1185" w:type="dxa"/>
          </w:tcPr>
          <w:p w:rsidR="005E4E2D" w:rsidRPr="006542D6" w:rsidRDefault="00486FBF" w:rsidP="00486FBF">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009C5962" w:rsidRPr="009C5962">
              <w:rPr>
                <w:rFonts w:ascii="Times New Roman" w:hAnsi="Times New Roman" w:cs="Times New Roman"/>
                <w:smallCaps/>
                <w:sz w:val="16"/>
                <w:szCs w:val="16"/>
              </w:rPr>
              <w:t>.01</w:t>
            </w:r>
            <w:r>
              <w:rPr>
                <w:rFonts w:ascii="Times New Roman" w:hAnsi="Times New Roman" w:cs="Times New Roman"/>
                <w:smallCaps/>
                <w:sz w:val="16"/>
                <w:szCs w:val="16"/>
              </w:rPr>
              <w:t>5</w:t>
            </w:r>
            <w:r w:rsidR="009C5962" w:rsidRPr="009C5962">
              <w:rPr>
                <w:rFonts w:ascii="Times New Roman" w:hAnsi="Times New Roman" w:cs="Times New Roman"/>
                <w:smallCaps/>
                <w:sz w:val="16"/>
                <w:szCs w:val="16"/>
              </w:rPr>
              <w:t>*     (</w:t>
            </w:r>
            <w:r>
              <w:rPr>
                <w:rFonts w:ascii="Times New Roman" w:hAnsi="Times New Roman" w:cs="Times New Roman"/>
                <w:smallCaps/>
                <w:sz w:val="16"/>
                <w:szCs w:val="16"/>
              </w:rPr>
              <w:t>0</w:t>
            </w:r>
            <w:r w:rsidR="009C5962" w:rsidRPr="009C5962">
              <w:rPr>
                <w:rFonts w:ascii="Times New Roman" w:hAnsi="Times New Roman" w:cs="Times New Roman"/>
                <w:smallCaps/>
                <w:sz w:val="16"/>
                <w:szCs w:val="16"/>
              </w:rPr>
              <w:t>.00</w:t>
            </w:r>
            <w:r>
              <w:rPr>
                <w:rFonts w:ascii="Times New Roman" w:hAnsi="Times New Roman" w:cs="Times New Roman"/>
                <w:smallCaps/>
                <w:sz w:val="16"/>
                <w:szCs w:val="16"/>
              </w:rPr>
              <w:t>7</w:t>
            </w:r>
            <w:r w:rsidR="009C5962" w:rsidRPr="009C5962">
              <w:rPr>
                <w:rFonts w:ascii="Times New Roman" w:hAnsi="Times New Roman" w:cs="Times New Roman"/>
                <w:smallCaps/>
                <w:sz w:val="16"/>
                <w:szCs w:val="16"/>
              </w:rPr>
              <w:t>)</w:t>
            </w:r>
          </w:p>
        </w:tc>
      </w:tr>
      <w:tr w:rsidR="005E4E2D" w:rsidRPr="006542D6" w:rsidTr="005E4E2D">
        <w:tc>
          <w:tcPr>
            <w:tcW w:w="1800" w:type="dxa"/>
            <w:vAlign w:val="center"/>
          </w:tcPr>
          <w:p w:rsidR="005E4E2D" w:rsidRPr="006542D6" w:rsidRDefault="005E4E2D" w:rsidP="00473A5D">
            <w:pPr>
              <w:spacing w:line="360" w:lineRule="auto"/>
              <w:rPr>
                <w:rFonts w:ascii="Times New Roman" w:hAnsi="Times New Roman" w:cs="Times New Roman"/>
                <w:sz w:val="16"/>
                <w:szCs w:val="16"/>
              </w:rPr>
            </w:pPr>
            <w:r>
              <w:rPr>
                <w:rFonts w:ascii="Times New Roman" w:hAnsi="Times New Roman" w:cs="Times New Roman"/>
                <w:sz w:val="16"/>
                <w:szCs w:val="16"/>
              </w:rPr>
              <w:t>2-Year Lead Dummy</w:t>
            </w:r>
          </w:p>
        </w:tc>
        <w:tc>
          <w:tcPr>
            <w:tcW w:w="1185" w:type="dxa"/>
            <w:vAlign w:val="center"/>
          </w:tcPr>
          <w:p w:rsidR="005E4E2D" w:rsidRPr="006542D6" w:rsidRDefault="00001D63" w:rsidP="00001D63">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000373EC" w:rsidRPr="000373EC">
              <w:rPr>
                <w:rFonts w:ascii="Times New Roman" w:hAnsi="Times New Roman" w:cs="Times New Roman"/>
                <w:smallCaps/>
                <w:sz w:val="16"/>
                <w:szCs w:val="16"/>
              </w:rPr>
              <w:t>.00</w:t>
            </w:r>
            <w:r>
              <w:rPr>
                <w:rFonts w:ascii="Times New Roman" w:hAnsi="Times New Roman" w:cs="Times New Roman"/>
                <w:smallCaps/>
                <w:sz w:val="16"/>
                <w:szCs w:val="16"/>
              </w:rPr>
              <w:t>5</w:t>
            </w:r>
            <w:r w:rsidR="000373EC" w:rsidRPr="000373EC">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000373EC" w:rsidRPr="000373EC">
              <w:rPr>
                <w:rFonts w:ascii="Times New Roman" w:hAnsi="Times New Roman" w:cs="Times New Roman"/>
                <w:smallCaps/>
                <w:sz w:val="16"/>
                <w:szCs w:val="16"/>
              </w:rPr>
              <w:t>.00</w:t>
            </w:r>
            <w:r>
              <w:rPr>
                <w:rFonts w:ascii="Times New Roman" w:hAnsi="Times New Roman" w:cs="Times New Roman"/>
                <w:smallCaps/>
                <w:sz w:val="16"/>
                <w:szCs w:val="16"/>
              </w:rPr>
              <w:t>6</w:t>
            </w:r>
            <w:r w:rsidR="000373EC" w:rsidRPr="000373EC">
              <w:rPr>
                <w:rFonts w:ascii="Times New Roman" w:hAnsi="Times New Roman" w:cs="Times New Roman"/>
                <w:smallCaps/>
                <w:sz w:val="16"/>
                <w:szCs w:val="16"/>
              </w:rPr>
              <w:t>)</w:t>
            </w:r>
          </w:p>
        </w:tc>
        <w:tc>
          <w:tcPr>
            <w:tcW w:w="1185" w:type="dxa"/>
            <w:vAlign w:val="center"/>
          </w:tcPr>
          <w:p w:rsidR="005E4E2D" w:rsidRPr="006542D6" w:rsidRDefault="0095157B" w:rsidP="0095157B">
            <w:pPr>
              <w:spacing w:line="360" w:lineRule="auto"/>
              <w:jc w:val="center"/>
              <w:rPr>
                <w:rFonts w:ascii="Times New Roman" w:hAnsi="Times New Roman" w:cs="Times New Roman"/>
                <w:smallCaps/>
                <w:sz w:val="16"/>
                <w:szCs w:val="16"/>
              </w:rPr>
            </w:pPr>
            <w:r w:rsidRPr="0095157B">
              <w:rPr>
                <w:rFonts w:ascii="Times New Roman" w:hAnsi="Times New Roman" w:cs="Times New Roman"/>
                <w:smallCaps/>
                <w:sz w:val="16"/>
                <w:szCs w:val="16"/>
              </w:rPr>
              <w:t>-</w:t>
            </w:r>
            <w:r>
              <w:rPr>
                <w:rFonts w:ascii="Times New Roman" w:hAnsi="Times New Roman" w:cs="Times New Roman"/>
                <w:smallCaps/>
                <w:sz w:val="16"/>
                <w:szCs w:val="16"/>
              </w:rPr>
              <w:t>0.001</w:t>
            </w:r>
            <w:r w:rsidRPr="0095157B">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95157B">
              <w:rPr>
                <w:rFonts w:ascii="Times New Roman" w:hAnsi="Times New Roman" w:cs="Times New Roman"/>
                <w:smallCaps/>
                <w:sz w:val="16"/>
                <w:szCs w:val="16"/>
              </w:rPr>
              <w:t>.008)</w:t>
            </w:r>
          </w:p>
        </w:tc>
        <w:tc>
          <w:tcPr>
            <w:tcW w:w="1185" w:type="dxa"/>
            <w:vAlign w:val="center"/>
          </w:tcPr>
          <w:p w:rsidR="005E4E2D" w:rsidRPr="006542D6" w:rsidRDefault="000E77F1" w:rsidP="000E77F1">
            <w:pPr>
              <w:spacing w:line="360" w:lineRule="auto"/>
              <w:jc w:val="center"/>
              <w:rPr>
                <w:rFonts w:ascii="Times New Roman" w:hAnsi="Times New Roman" w:cs="Times New Roman"/>
                <w:smallCaps/>
                <w:sz w:val="16"/>
                <w:szCs w:val="16"/>
              </w:rPr>
            </w:pPr>
            <w:r w:rsidRPr="000E77F1">
              <w:rPr>
                <w:rFonts w:ascii="Times New Roman" w:hAnsi="Times New Roman" w:cs="Times New Roman"/>
                <w:smallCaps/>
                <w:sz w:val="16"/>
                <w:szCs w:val="16"/>
              </w:rPr>
              <w:t>-</w:t>
            </w:r>
            <w:r>
              <w:rPr>
                <w:rFonts w:ascii="Times New Roman" w:hAnsi="Times New Roman" w:cs="Times New Roman"/>
                <w:smallCaps/>
                <w:sz w:val="16"/>
                <w:szCs w:val="16"/>
              </w:rPr>
              <w:t>0</w:t>
            </w:r>
            <w:r w:rsidRPr="000E77F1">
              <w:rPr>
                <w:rFonts w:ascii="Times New Roman" w:hAnsi="Times New Roman" w:cs="Times New Roman"/>
                <w:smallCaps/>
                <w:sz w:val="16"/>
                <w:szCs w:val="16"/>
              </w:rPr>
              <w:t>.002      (</w:t>
            </w:r>
            <w:r>
              <w:rPr>
                <w:rFonts w:ascii="Times New Roman" w:hAnsi="Times New Roman" w:cs="Times New Roman"/>
                <w:smallCaps/>
                <w:sz w:val="16"/>
                <w:szCs w:val="16"/>
              </w:rPr>
              <w:t>0</w:t>
            </w:r>
            <w:r w:rsidRPr="000E77F1">
              <w:rPr>
                <w:rFonts w:ascii="Times New Roman" w:hAnsi="Times New Roman" w:cs="Times New Roman"/>
                <w:smallCaps/>
                <w:sz w:val="16"/>
                <w:szCs w:val="16"/>
              </w:rPr>
              <w:t>.007)</w:t>
            </w:r>
          </w:p>
        </w:tc>
        <w:tc>
          <w:tcPr>
            <w:tcW w:w="1185" w:type="dxa"/>
            <w:vAlign w:val="center"/>
          </w:tcPr>
          <w:p w:rsidR="005E4E2D" w:rsidRPr="006542D6" w:rsidRDefault="00A96553" w:rsidP="00A96553">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A96553">
              <w:rPr>
                <w:rFonts w:ascii="Times New Roman" w:hAnsi="Times New Roman" w:cs="Times New Roman"/>
                <w:smallCaps/>
                <w:sz w:val="16"/>
                <w:szCs w:val="16"/>
              </w:rPr>
              <w:t>.02</w:t>
            </w:r>
            <w:r>
              <w:rPr>
                <w:rFonts w:ascii="Times New Roman" w:hAnsi="Times New Roman" w:cs="Times New Roman"/>
                <w:smallCaps/>
                <w:sz w:val="16"/>
                <w:szCs w:val="16"/>
              </w:rPr>
              <w:t>2</w:t>
            </w:r>
            <w:r w:rsidRPr="00A96553">
              <w:rPr>
                <w:rFonts w:ascii="Times New Roman" w:hAnsi="Times New Roman" w:cs="Times New Roman"/>
                <w:smallCaps/>
                <w:sz w:val="16"/>
                <w:szCs w:val="16"/>
              </w:rPr>
              <w:t>*     (</w:t>
            </w:r>
            <w:r>
              <w:rPr>
                <w:rFonts w:ascii="Times New Roman" w:hAnsi="Times New Roman" w:cs="Times New Roman"/>
                <w:smallCaps/>
                <w:sz w:val="16"/>
                <w:szCs w:val="16"/>
              </w:rPr>
              <w:t>0</w:t>
            </w:r>
            <w:r w:rsidRPr="00A96553">
              <w:rPr>
                <w:rFonts w:ascii="Times New Roman" w:hAnsi="Times New Roman" w:cs="Times New Roman"/>
                <w:smallCaps/>
                <w:sz w:val="16"/>
                <w:szCs w:val="16"/>
              </w:rPr>
              <w:t>.01</w:t>
            </w:r>
            <w:r>
              <w:rPr>
                <w:rFonts w:ascii="Times New Roman" w:hAnsi="Times New Roman" w:cs="Times New Roman"/>
                <w:smallCaps/>
                <w:sz w:val="16"/>
                <w:szCs w:val="16"/>
              </w:rPr>
              <w:t>1</w:t>
            </w:r>
            <w:r w:rsidRPr="00A96553">
              <w:rPr>
                <w:rFonts w:ascii="Times New Roman" w:hAnsi="Times New Roman" w:cs="Times New Roman"/>
                <w:smallCaps/>
                <w:sz w:val="16"/>
                <w:szCs w:val="16"/>
              </w:rPr>
              <w:t>)</w:t>
            </w:r>
          </w:p>
        </w:tc>
        <w:tc>
          <w:tcPr>
            <w:tcW w:w="1185" w:type="dxa"/>
            <w:vAlign w:val="center"/>
          </w:tcPr>
          <w:p w:rsidR="005E4E2D" w:rsidRPr="006542D6" w:rsidRDefault="00CD744B" w:rsidP="00CD744B">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00745116" w:rsidRPr="00745116">
              <w:rPr>
                <w:rFonts w:ascii="Times New Roman" w:hAnsi="Times New Roman" w:cs="Times New Roman"/>
                <w:smallCaps/>
                <w:sz w:val="16"/>
                <w:szCs w:val="16"/>
              </w:rPr>
              <w:t>.01</w:t>
            </w:r>
            <w:r>
              <w:rPr>
                <w:rFonts w:ascii="Times New Roman" w:hAnsi="Times New Roman" w:cs="Times New Roman"/>
                <w:smallCaps/>
                <w:sz w:val="16"/>
                <w:szCs w:val="16"/>
              </w:rPr>
              <w:t>8</w:t>
            </w:r>
            <w:r w:rsidR="00745116" w:rsidRPr="00745116">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00745116" w:rsidRPr="00745116">
              <w:rPr>
                <w:rFonts w:ascii="Times New Roman" w:hAnsi="Times New Roman" w:cs="Times New Roman"/>
                <w:smallCaps/>
                <w:sz w:val="16"/>
                <w:szCs w:val="16"/>
              </w:rPr>
              <w:t>.01</w:t>
            </w:r>
            <w:r>
              <w:rPr>
                <w:rFonts w:ascii="Times New Roman" w:hAnsi="Times New Roman" w:cs="Times New Roman"/>
                <w:smallCaps/>
                <w:sz w:val="16"/>
                <w:szCs w:val="16"/>
              </w:rPr>
              <w:t>2</w:t>
            </w:r>
            <w:r w:rsidR="00745116" w:rsidRPr="00745116">
              <w:rPr>
                <w:rFonts w:ascii="Times New Roman" w:hAnsi="Times New Roman" w:cs="Times New Roman"/>
                <w:smallCaps/>
                <w:sz w:val="16"/>
                <w:szCs w:val="16"/>
              </w:rPr>
              <w:t>)</w:t>
            </w:r>
          </w:p>
        </w:tc>
        <w:tc>
          <w:tcPr>
            <w:tcW w:w="1185" w:type="dxa"/>
          </w:tcPr>
          <w:p w:rsidR="005E4E2D" w:rsidRPr="006542D6" w:rsidRDefault="009C5962" w:rsidP="00486FBF">
            <w:pPr>
              <w:spacing w:line="360" w:lineRule="auto"/>
              <w:jc w:val="center"/>
              <w:rPr>
                <w:rFonts w:ascii="Times New Roman" w:hAnsi="Times New Roman" w:cs="Times New Roman"/>
                <w:smallCaps/>
                <w:sz w:val="16"/>
                <w:szCs w:val="16"/>
              </w:rPr>
            </w:pPr>
            <w:r w:rsidRPr="009C5962">
              <w:rPr>
                <w:rFonts w:ascii="Times New Roman" w:hAnsi="Times New Roman" w:cs="Times New Roman"/>
                <w:smallCaps/>
                <w:sz w:val="16"/>
                <w:szCs w:val="16"/>
              </w:rPr>
              <w:t>-</w:t>
            </w:r>
            <w:r w:rsidR="00486FBF">
              <w:rPr>
                <w:rFonts w:ascii="Times New Roman" w:hAnsi="Times New Roman" w:cs="Times New Roman"/>
                <w:smallCaps/>
                <w:sz w:val="16"/>
                <w:szCs w:val="16"/>
              </w:rPr>
              <w:t>0</w:t>
            </w:r>
            <w:r w:rsidRPr="009C5962">
              <w:rPr>
                <w:rFonts w:ascii="Times New Roman" w:hAnsi="Times New Roman" w:cs="Times New Roman"/>
                <w:smallCaps/>
                <w:sz w:val="16"/>
                <w:szCs w:val="16"/>
              </w:rPr>
              <w:t>.00</w:t>
            </w:r>
            <w:r w:rsidR="00486FBF">
              <w:rPr>
                <w:rFonts w:ascii="Times New Roman" w:hAnsi="Times New Roman" w:cs="Times New Roman"/>
                <w:smallCaps/>
                <w:sz w:val="16"/>
                <w:szCs w:val="16"/>
              </w:rPr>
              <w:t>2</w:t>
            </w:r>
            <w:r w:rsidRPr="009C5962">
              <w:rPr>
                <w:rFonts w:ascii="Times New Roman" w:hAnsi="Times New Roman" w:cs="Times New Roman"/>
                <w:smallCaps/>
                <w:sz w:val="16"/>
                <w:szCs w:val="16"/>
              </w:rPr>
              <w:t xml:space="preserve">      (</w:t>
            </w:r>
            <w:r w:rsidR="00486FBF">
              <w:rPr>
                <w:rFonts w:ascii="Times New Roman" w:hAnsi="Times New Roman" w:cs="Times New Roman"/>
                <w:smallCaps/>
                <w:sz w:val="16"/>
                <w:szCs w:val="16"/>
              </w:rPr>
              <w:t>0</w:t>
            </w:r>
            <w:r w:rsidRPr="009C5962">
              <w:rPr>
                <w:rFonts w:ascii="Times New Roman" w:hAnsi="Times New Roman" w:cs="Times New Roman"/>
                <w:smallCaps/>
                <w:sz w:val="16"/>
                <w:szCs w:val="16"/>
              </w:rPr>
              <w:t>.007)</w:t>
            </w:r>
          </w:p>
        </w:tc>
      </w:tr>
      <w:tr w:rsidR="005E4E2D" w:rsidRPr="006542D6" w:rsidTr="005E4E2D">
        <w:tc>
          <w:tcPr>
            <w:tcW w:w="1800" w:type="dxa"/>
            <w:vAlign w:val="center"/>
          </w:tcPr>
          <w:p w:rsidR="005E4E2D" w:rsidRPr="006542D6" w:rsidRDefault="005E4E2D" w:rsidP="00473A5D">
            <w:pPr>
              <w:spacing w:line="360" w:lineRule="auto"/>
              <w:rPr>
                <w:rFonts w:ascii="Times New Roman" w:hAnsi="Times New Roman" w:cs="Times New Roman"/>
                <w:sz w:val="16"/>
                <w:szCs w:val="16"/>
              </w:rPr>
            </w:pPr>
            <w:r>
              <w:rPr>
                <w:rFonts w:ascii="Times New Roman" w:hAnsi="Times New Roman" w:cs="Times New Roman"/>
                <w:sz w:val="16"/>
                <w:szCs w:val="16"/>
              </w:rPr>
              <w:t>1-Year Lead Dummy</w:t>
            </w:r>
          </w:p>
        </w:tc>
        <w:tc>
          <w:tcPr>
            <w:tcW w:w="1185" w:type="dxa"/>
            <w:vAlign w:val="center"/>
          </w:tcPr>
          <w:p w:rsidR="005E4E2D" w:rsidRPr="006542D6" w:rsidRDefault="00001D63" w:rsidP="00001D63">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000373EC" w:rsidRPr="000373EC">
              <w:rPr>
                <w:rFonts w:ascii="Times New Roman" w:hAnsi="Times New Roman" w:cs="Times New Roman"/>
                <w:smallCaps/>
                <w:sz w:val="16"/>
                <w:szCs w:val="16"/>
              </w:rPr>
              <w:t>.01</w:t>
            </w:r>
            <w:r>
              <w:rPr>
                <w:rFonts w:ascii="Times New Roman" w:hAnsi="Times New Roman" w:cs="Times New Roman"/>
                <w:smallCaps/>
                <w:sz w:val="16"/>
                <w:szCs w:val="16"/>
              </w:rPr>
              <w:t>7</w:t>
            </w:r>
            <w:r w:rsidR="000373EC" w:rsidRPr="000373EC">
              <w:rPr>
                <w:rFonts w:ascii="Times New Roman" w:hAnsi="Times New Roman" w:cs="Times New Roman"/>
                <w:smallCaps/>
                <w:sz w:val="16"/>
                <w:szCs w:val="16"/>
              </w:rPr>
              <w:t>*</w:t>
            </w:r>
            <w:r w:rsidR="0016490E">
              <w:rPr>
                <w:rFonts w:ascii="Times New Roman" w:hAnsi="Times New Roman" w:cs="Times New Roman"/>
                <w:smallCaps/>
                <w:sz w:val="16"/>
                <w:szCs w:val="16"/>
              </w:rPr>
              <w:t>*</w:t>
            </w:r>
            <w:r w:rsidR="000373EC" w:rsidRPr="000373EC">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000373EC" w:rsidRPr="000373EC">
              <w:rPr>
                <w:rFonts w:ascii="Times New Roman" w:hAnsi="Times New Roman" w:cs="Times New Roman"/>
                <w:smallCaps/>
                <w:sz w:val="16"/>
                <w:szCs w:val="16"/>
              </w:rPr>
              <w:t>.007)</w:t>
            </w:r>
          </w:p>
        </w:tc>
        <w:tc>
          <w:tcPr>
            <w:tcW w:w="1185" w:type="dxa"/>
            <w:vAlign w:val="center"/>
          </w:tcPr>
          <w:p w:rsidR="005E4E2D" w:rsidRPr="006542D6" w:rsidRDefault="0095157B" w:rsidP="00A21B0B">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95157B">
              <w:rPr>
                <w:rFonts w:ascii="Times New Roman" w:hAnsi="Times New Roman" w:cs="Times New Roman"/>
                <w:smallCaps/>
                <w:sz w:val="16"/>
                <w:szCs w:val="16"/>
              </w:rPr>
              <w:t>.03</w:t>
            </w:r>
            <w:r w:rsidR="00A21B0B">
              <w:rPr>
                <w:rFonts w:ascii="Times New Roman" w:hAnsi="Times New Roman" w:cs="Times New Roman"/>
                <w:smallCaps/>
                <w:sz w:val="16"/>
                <w:szCs w:val="16"/>
              </w:rPr>
              <w:t>2</w:t>
            </w:r>
            <w:r w:rsidRPr="0095157B">
              <w:rPr>
                <w:rFonts w:ascii="Times New Roman" w:hAnsi="Times New Roman" w:cs="Times New Roman"/>
                <w:smallCaps/>
                <w:sz w:val="16"/>
                <w:szCs w:val="16"/>
              </w:rPr>
              <w:t>***   (</w:t>
            </w:r>
            <w:r>
              <w:rPr>
                <w:rFonts w:ascii="Times New Roman" w:hAnsi="Times New Roman" w:cs="Times New Roman"/>
                <w:smallCaps/>
                <w:sz w:val="16"/>
                <w:szCs w:val="16"/>
              </w:rPr>
              <w:t>0</w:t>
            </w:r>
            <w:r w:rsidRPr="0095157B">
              <w:rPr>
                <w:rFonts w:ascii="Times New Roman" w:hAnsi="Times New Roman" w:cs="Times New Roman"/>
                <w:smallCaps/>
                <w:sz w:val="16"/>
                <w:szCs w:val="16"/>
              </w:rPr>
              <w:t>.007)</w:t>
            </w:r>
          </w:p>
        </w:tc>
        <w:tc>
          <w:tcPr>
            <w:tcW w:w="1185" w:type="dxa"/>
            <w:vAlign w:val="center"/>
          </w:tcPr>
          <w:p w:rsidR="005E4E2D" w:rsidRPr="006542D6" w:rsidRDefault="000E77F1" w:rsidP="000E77F1">
            <w:pPr>
              <w:spacing w:line="360" w:lineRule="auto"/>
              <w:jc w:val="center"/>
              <w:rPr>
                <w:rFonts w:ascii="Times New Roman" w:hAnsi="Times New Roman" w:cs="Times New Roman"/>
                <w:smallCaps/>
                <w:sz w:val="16"/>
                <w:szCs w:val="16"/>
              </w:rPr>
            </w:pPr>
            <w:r w:rsidRPr="000E77F1">
              <w:rPr>
                <w:rFonts w:ascii="Times New Roman" w:hAnsi="Times New Roman" w:cs="Times New Roman"/>
                <w:smallCaps/>
                <w:sz w:val="16"/>
                <w:szCs w:val="16"/>
              </w:rPr>
              <w:t>-</w:t>
            </w:r>
            <w:r>
              <w:rPr>
                <w:rFonts w:ascii="Times New Roman" w:hAnsi="Times New Roman" w:cs="Times New Roman"/>
                <w:smallCaps/>
                <w:sz w:val="16"/>
                <w:szCs w:val="16"/>
              </w:rPr>
              <w:t>0</w:t>
            </w:r>
            <w:r w:rsidRPr="000E77F1">
              <w:rPr>
                <w:rFonts w:ascii="Times New Roman" w:hAnsi="Times New Roman" w:cs="Times New Roman"/>
                <w:smallCaps/>
                <w:sz w:val="16"/>
                <w:szCs w:val="16"/>
              </w:rPr>
              <w:t>.00</w:t>
            </w:r>
            <w:r>
              <w:rPr>
                <w:rFonts w:ascii="Times New Roman" w:hAnsi="Times New Roman" w:cs="Times New Roman"/>
                <w:smallCaps/>
                <w:sz w:val="16"/>
                <w:szCs w:val="16"/>
              </w:rPr>
              <w:t>1</w:t>
            </w:r>
            <w:r w:rsidRPr="000E77F1">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0E77F1">
              <w:rPr>
                <w:rFonts w:ascii="Times New Roman" w:hAnsi="Times New Roman" w:cs="Times New Roman"/>
                <w:smallCaps/>
                <w:sz w:val="16"/>
                <w:szCs w:val="16"/>
              </w:rPr>
              <w:t>.01</w:t>
            </w:r>
            <w:r>
              <w:rPr>
                <w:rFonts w:ascii="Times New Roman" w:hAnsi="Times New Roman" w:cs="Times New Roman"/>
                <w:smallCaps/>
                <w:sz w:val="16"/>
                <w:szCs w:val="16"/>
              </w:rPr>
              <w:t>1</w:t>
            </w:r>
            <w:r w:rsidRPr="000E77F1">
              <w:rPr>
                <w:rFonts w:ascii="Times New Roman" w:hAnsi="Times New Roman" w:cs="Times New Roman"/>
                <w:smallCaps/>
                <w:sz w:val="16"/>
                <w:szCs w:val="16"/>
              </w:rPr>
              <w:t>)</w:t>
            </w:r>
          </w:p>
        </w:tc>
        <w:tc>
          <w:tcPr>
            <w:tcW w:w="1185" w:type="dxa"/>
            <w:vAlign w:val="center"/>
          </w:tcPr>
          <w:p w:rsidR="005E4E2D" w:rsidRPr="006542D6" w:rsidRDefault="00A96553" w:rsidP="00A96553">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A96553">
              <w:rPr>
                <w:rFonts w:ascii="Times New Roman" w:hAnsi="Times New Roman" w:cs="Times New Roman"/>
                <w:smallCaps/>
                <w:sz w:val="16"/>
                <w:szCs w:val="16"/>
              </w:rPr>
              <w:t>.024**</w:t>
            </w:r>
            <w:r w:rsidR="0016490E">
              <w:rPr>
                <w:rFonts w:ascii="Times New Roman" w:hAnsi="Times New Roman" w:cs="Times New Roman"/>
                <w:smallCaps/>
                <w:sz w:val="16"/>
                <w:szCs w:val="16"/>
              </w:rPr>
              <w:t>*</w:t>
            </w:r>
            <w:r w:rsidRPr="00A96553">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A96553">
              <w:rPr>
                <w:rFonts w:ascii="Times New Roman" w:hAnsi="Times New Roman" w:cs="Times New Roman"/>
                <w:smallCaps/>
                <w:sz w:val="16"/>
                <w:szCs w:val="16"/>
              </w:rPr>
              <w:t>.00</w:t>
            </w:r>
            <w:r>
              <w:rPr>
                <w:rFonts w:ascii="Times New Roman" w:hAnsi="Times New Roman" w:cs="Times New Roman"/>
                <w:smallCaps/>
                <w:sz w:val="16"/>
                <w:szCs w:val="16"/>
              </w:rPr>
              <w:t>9</w:t>
            </w:r>
            <w:r w:rsidRPr="00A96553">
              <w:rPr>
                <w:rFonts w:ascii="Times New Roman" w:hAnsi="Times New Roman" w:cs="Times New Roman"/>
                <w:smallCaps/>
                <w:sz w:val="16"/>
                <w:szCs w:val="16"/>
              </w:rPr>
              <w:t>)</w:t>
            </w:r>
          </w:p>
        </w:tc>
        <w:tc>
          <w:tcPr>
            <w:tcW w:w="1185" w:type="dxa"/>
            <w:vAlign w:val="center"/>
          </w:tcPr>
          <w:p w:rsidR="005E4E2D" w:rsidRPr="006542D6" w:rsidRDefault="00745116" w:rsidP="00CD744B">
            <w:pPr>
              <w:spacing w:line="360" w:lineRule="auto"/>
              <w:jc w:val="center"/>
              <w:rPr>
                <w:rFonts w:ascii="Times New Roman" w:hAnsi="Times New Roman" w:cs="Times New Roman"/>
                <w:smallCaps/>
                <w:sz w:val="16"/>
                <w:szCs w:val="16"/>
              </w:rPr>
            </w:pPr>
            <w:r w:rsidRPr="00745116">
              <w:rPr>
                <w:rFonts w:ascii="Times New Roman" w:hAnsi="Times New Roman" w:cs="Times New Roman"/>
                <w:smallCaps/>
                <w:sz w:val="16"/>
                <w:szCs w:val="16"/>
              </w:rPr>
              <w:t>-</w:t>
            </w:r>
            <w:r w:rsidR="00CD744B">
              <w:rPr>
                <w:rFonts w:ascii="Times New Roman" w:hAnsi="Times New Roman" w:cs="Times New Roman"/>
                <w:smallCaps/>
                <w:sz w:val="16"/>
                <w:szCs w:val="16"/>
              </w:rPr>
              <w:t>0</w:t>
            </w:r>
            <w:r w:rsidRPr="00745116">
              <w:rPr>
                <w:rFonts w:ascii="Times New Roman" w:hAnsi="Times New Roman" w:cs="Times New Roman"/>
                <w:smallCaps/>
                <w:sz w:val="16"/>
                <w:szCs w:val="16"/>
              </w:rPr>
              <w:t>.00</w:t>
            </w:r>
            <w:r w:rsidR="00CD744B">
              <w:rPr>
                <w:rFonts w:ascii="Times New Roman" w:hAnsi="Times New Roman" w:cs="Times New Roman"/>
                <w:smallCaps/>
                <w:sz w:val="16"/>
                <w:szCs w:val="16"/>
              </w:rPr>
              <w:t>6</w:t>
            </w:r>
            <w:r w:rsidRPr="00745116">
              <w:rPr>
                <w:rFonts w:ascii="Times New Roman" w:hAnsi="Times New Roman" w:cs="Times New Roman"/>
                <w:smallCaps/>
                <w:sz w:val="16"/>
                <w:szCs w:val="16"/>
              </w:rPr>
              <w:t xml:space="preserve">      (</w:t>
            </w:r>
            <w:r w:rsidR="00CD744B">
              <w:rPr>
                <w:rFonts w:ascii="Times New Roman" w:hAnsi="Times New Roman" w:cs="Times New Roman"/>
                <w:smallCaps/>
                <w:sz w:val="16"/>
                <w:szCs w:val="16"/>
              </w:rPr>
              <w:t>0</w:t>
            </w:r>
            <w:r w:rsidRPr="00745116">
              <w:rPr>
                <w:rFonts w:ascii="Times New Roman" w:hAnsi="Times New Roman" w:cs="Times New Roman"/>
                <w:smallCaps/>
                <w:sz w:val="16"/>
                <w:szCs w:val="16"/>
              </w:rPr>
              <w:t>.01</w:t>
            </w:r>
            <w:r w:rsidR="00CD744B">
              <w:rPr>
                <w:rFonts w:ascii="Times New Roman" w:hAnsi="Times New Roman" w:cs="Times New Roman"/>
                <w:smallCaps/>
                <w:sz w:val="16"/>
                <w:szCs w:val="16"/>
              </w:rPr>
              <w:t>4</w:t>
            </w:r>
            <w:r w:rsidRPr="00745116">
              <w:rPr>
                <w:rFonts w:ascii="Times New Roman" w:hAnsi="Times New Roman" w:cs="Times New Roman"/>
                <w:smallCaps/>
                <w:sz w:val="16"/>
                <w:szCs w:val="16"/>
              </w:rPr>
              <w:t>)</w:t>
            </w:r>
          </w:p>
        </w:tc>
        <w:tc>
          <w:tcPr>
            <w:tcW w:w="1185" w:type="dxa"/>
          </w:tcPr>
          <w:p w:rsidR="005E4E2D" w:rsidRPr="006542D6" w:rsidRDefault="00486FBF" w:rsidP="0033346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009C5962" w:rsidRPr="009C5962">
              <w:rPr>
                <w:rFonts w:ascii="Times New Roman" w:hAnsi="Times New Roman" w:cs="Times New Roman"/>
                <w:smallCaps/>
                <w:sz w:val="16"/>
                <w:szCs w:val="16"/>
              </w:rPr>
              <w:t>.02</w:t>
            </w:r>
            <w:r w:rsidR="0033346D">
              <w:rPr>
                <w:rFonts w:ascii="Times New Roman" w:hAnsi="Times New Roman" w:cs="Times New Roman"/>
                <w:smallCaps/>
                <w:sz w:val="16"/>
                <w:szCs w:val="16"/>
              </w:rPr>
              <w:t>5</w:t>
            </w:r>
            <w:r w:rsidR="009C5962" w:rsidRPr="009C5962">
              <w:rPr>
                <w:rFonts w:ascii="Times New Roman" w:hAnsi="Times New Roman" w:cs="Times New Roman"/>
                <w:smallCaps/>
                <w:sz w:val="16"/>
                <w:szCs w:val="16"/>
              </w:rPr>
              <w:t>***   (</w:t>
            </w:r>
            <w:r>
              <w:rPr>
                <w:rFonts w:ascii="Times New Roman" w:hAnsi="Times New Roman" w:cs="Times New Roman"/>
                <w:smallCaps/>
                <w:sz w:val="16"/>
                <w:szCs w:val="16"/>
              </w:rPr>
              <w:t>0</w:t>
            </w:r>
            <w:r w:rsidR="009C5962" w:rsidRPr="009C5962">
              <w:rPr>
                <w:rFonts w:ascii="Times New Roman" w:hAnsi="Times New Roman" w:cs="Times New Roman"/>
                <w:smallCaps/>
                <w:sz w:val="16"/>
                <w:szCs w:val="16"/>
              </w:rPr>
              <w:t>.006)</w:t>
            </w:r>
          </w:p>
        </w:tc>
      </w:tr>
      <w:tr w:rsidR="005E4E2D" w:rsidRPr="006542D6" w:rsidTr="005E4E2D">
        <w:tc>
          <w:tcPr>
            <w:tcW w:w="1800" w:type="dxa"/>
            <w:vAlign w:val="center"/>
          </w:tcPr>
          <w:p w:rsidR="005E4E2D" w:rsidRPr="006542D6" w:rsidRDefault="005E4E2D" w:rsidP="00473A5D">
            <w:pPr>
              <w:spacing w:line="360" w:lineRule="auto"/>
              <w:rPr>
                <w:rFonts w:ascii="Times New Roman" w:hAnsi="Times New Roman" w:cs="Times New Roman"/>
                <w:sz w:val="16"/>
                <w:szCs w:val="16"/>
              </w:rPr>
            </w:pPr>
            <w:r>
              <w:rPr>
                <w:rFonts w:ascii="Times New Roman" w:hAnsi="Times New Roman" w:cs="Times New Roman"/>
                <w:sz w:val="16"/>
                <w:szCs w:val="16"/>
              </w:rPr>
              <w:t>Contemporaneous Dummy</w:t>
            </w:r>
          </w:p>
        </w:tc>
        <w:tc>
          <w:tcPr>
            <w:tcW w:w="1185" w:type="dxa"/>
            <w:vAlign w:val="center"/>
          </w:tcPr>
          <w:p w:rsidR="005E4E2D" w:rsidRPr="006542D6" w:rsidRDefault="000373EC" w:rsidP="00001D63">
            <w:pPr>
              <w:spacing w:line="360" w:lineRule="auto"/>
              <w:jc w:val="center"/>
              <w:rPr>
                <w:rFonts w:ascii="Times New Roman" w:hAnsi="Times New Roman" w:cs="Times New Roman"/>
                <w:smallCaps/>
                <w:sz w:val="16"/>
                <w:szCs w:val="16"/>
              </w:rPr>
            </w:pPr>
            <w:r w:rsidRPr="000373EC">
              <w:rPr>
                <w:rFonts w:ascii="Times New Roman" w:hAnsi="Times New Roman" w:cs="Times New Roman"/>
                <w:smallCaps/>
                <w:sz w:val="16"/>
                <w:szCs w:val="16"/>
              </w:rPr>
              <w:t>-</w:t>
            </w:r>
            <w:r w:rsidR="00001D63">
              <w:rPr>
                <w:rFonts w:ascii="Times New Roman" w:hAnsi="Times New Roman" w:cs="Times New Roman"/>
                <w:smallCaps/>
                <w:sz w:val="16"/>
                <w:szCs w:val="16"/>
              </w:rPr>
              <w:t>0</w:t>
            </w:r>
            <w:r w:rsidRPr="000373EC">
              <w:rPr>
                <w:rFonts w:ascii="Times New Roman" w:hAnsi="Times New Roman" w:cs="Times New Roman"/>
                <w:smallCaps/>
                <w:sz w:val="16"/>
                <w:szCs w:val="16"/>
              </w:rPr>
              <w:t>.02</w:t>
            </w:r>
            <w:r w:rsidR="00001D63">
              <w:rPr>
                <w:rFonts w:ascii="Times New Roman" w:hAnsi="Times New Roman" w:cs="Times New Roman"/>
                <w:smallCaps/>
                <w:sz w:val="16"/>
                <w:szCs w:val="16"/>
              </w:rPr>
              <w:t>3</w:t>
            </w:r>
            <w:r w:rsidRPr="000373EC">
              <w:rPr>
                <w:rFonts w:ascii="Times New Roman" w:hAnsi="Times New Roman" w:cs="Times New Roman"/>
                <w:smallCaps/>
                <w:sz w:val="16"/>
                <w:szCs w:val="16"/>
              </w:rPr>
              <w:t>***   (</w:t>
            </w:r>
            <w:r w:rsidR="00001D63">
              <w:rPr>
                <w:rFonts w:ascii="Times New Roman" w:hAnsi="Times New Roman" w:cs="Times New Roman"/>
                <w:smallCaps/>
                <w:sz w:val="16"/>
                <w:szCs w:val="16"/>
              </w:rPr>
              <w:t>0</w:t>
            </w:r>
            <w:r w:rsidRPr="000373EC">
              <w:rPr>
                <w:rFonts w:ascii="Times New Roman" w:hAnsi="Times New Roman" w:cs="Times New Roman"/>
                <w:smallCaps/>
                <w:sz w:val="16"/>
                <w:szCs w:val="16"/>
              </w:rPr>
              <w:t>.006)</w:t>
            </w:r>
          </w:p>
        </w:tc>
        <w:tc>
          <w:tcPr>
            <w:tcW w:w="1185" w:type="dxa"/>
            <w:vAlign w:val="center"/>
          </w:tcPr>
          <w:p w:rsidR="005E4E2D" w:rsidRPr="006542D6" w:rsidRDefault="0095157B" w:rsidP="0095157B">
            <w:pPr>
              <w:spacing w:line="360" w:lineRule="auto"/>
              <w:jc w:val="center"/>
              <w:rPr>
                <w:rFonts w:ascii="Times New Roman" w:hAnsi="Times New Roman" w:cs="Times New Roman"/>
                <w:smallCaps/>
                <w:sz w:val="16"/>
                <w:szCs w:val="16"/>
              </w:rPr>
            </w:pPr>
            <w:r w:rsidRPr="0095157B">
              <w:rPr>
                <w:rFonts w:ascii="Times New Roman" w:hAnsi="Times New Roman" w:cs="Times New Roman"/>
                <w:smallCaps/>
                <w:sz w:val="16"/>
                <w:szCs w:val="16"/>
              </w:rPr>
              <w:t>-</w:t>
            </w:r>
            <w:r>
              <w:rPr>
                <w:rFonts w:ascii="Times New Roman" w:hAnsi="Times New Roman" w:cs="Times New Roman"/>
                <w:smallCaps/>
                <w:sz w:val="16"/>
                <w:szCs w:val="16"/>
              </w:rPr>
              <w:t>0</w:t>
            </w:r>
            <w:r w:rsidRPr="0095157B">
              <w:rPr>
                <w:rFonts w:ascii="Times New Roman" w:hAnsi="Times New Roman" w:cs="Times New Roman"/>
                <w:smallCaps/>
                <w:sz w:val="16"/>
                <w:szCs w:val="16"/>
              </w:rPr>
              <w:t>.01</w:t>
            </w:r>
            <w:r>
              <w:rPr>
                <w:rFonts w:ascii="Times New Roman" w:hAnsi="Times New Roman" w:cs="Times New Roman"/>
                <w:smallCaps/>
                <w:sz w:val="16"/>
                <w:szCs w:val="16"/>
              </w:rPr>
              <w:t>9</w:t>
            </w:r>
            <w:r w:rsidRPr="0095157B">
              <w:rPr>
                <w:rFonts w:ascii="Times New Roman" w:hAnsi="Times New Roman" w:cs="Times New Roman"/>
                <w:smallCaps/>
                <w:sz w:val="16"/>
                <w:szCs w:val="16"/>
              </w:rPr>
              <w:t>*</w:t>
            </w:r>
            <w:r w:rsidR="0016490E">
              <w:rPr>
                <w:rFonts w:ascii="Times New Roman" w:hAnsi="Times New Roman" w:cs="Times New Roman"/>
                <w:smallCaps/>
                <w:sz w:val="16"/>
                <w:szCs w:val="16"/>
              </w:rPr>
              <w:t>*</w:t>
            </w:r>
            <w:r w:rsidRPr="0095157B">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95157B">
              <w:rPr>
                <w:rFonts w:ascii="Times New Roman" w:hAnsi="Times New Roman" w:cs="Times New Roman"/>
                <w:smallCaps/>
                <w:sz w:val="16"/>
                <w:szCs w:val="16"/>
              </w:rPr>
              <w:t>.008)</w:t>
            </w:r>
          </w:p>
        </w:tc>
        <w:tc>
          <w:tcPr>
            <w:tcW w:w="1185" w:type="dxa"/>
            <w:vAlign w:val="center"/>
          </w:tcPr>
          <w:p w:rsidR="005E4E2D" w:rsidRPr="006542D6" w:rsidRDefault="000E77F1" w:rsidP="000E77F1">
            <w:pPr>
              <w:spacing w:line="360" w:lineRule="auto"/>
              <w:jc w:val="center"/>
              <w:rPr>
                <w:rFonts w:ascii="Times New Roman" w:hAnsi="Times New Roman" w:cs="Times New Roman"/>
                <w:smallCaps/>
                <w:sz w:val="16"/>
                <w:szCs w:val="16"/>
              </w:rPr>
            </w:pPr>
            <w:r w:rsidRPr="000E77F1">
              <w:rPr>
                <w:rFonts w:ascii="Times New Roman" w:hAnsi="Times New Roman" w:cs="Times New Roman"/>
                <w:smallCaps/>
                <w:sz w:val="16"/>
                <w:szCs w:val="16"/>
              </w:rPr>
              <w:t>-</w:t>
            </w:r>
            <w:r>
              <w:rPr>
                <w:rFonts w:ascii="Times New Roman" w:hAnsi="Times New Roman" w:cs="Times New Roman"/>
                <w:smallCaps/>
                <w:sz w:val="16"/>
                <w:szCs w:val="16"/>
              </w:rPr>
              <w:t>0</w:t>
            </w:r>
            <w:r w:rsidRPr="000E77F1">
              <w:rPr>
                <w:rFonts w:ascii="Times New Roman" w:hAnsi="Times New Roman" w:cs="Times New Roman"/>
                <w:smallCaps/>
                <w:sz w:val="16"/>
                <w:szCs w:val="16"/>
              </w:rPr>
              <w:t>.02</w:t>
            </w:r>
            <w:r>
              <w:rPr>
                <w:rFonts w:ascii="Times New Roman" w:hAnsi="Times New Roman" w:cs="Times New Roman"/>
                <w:smallCaps/>
                <w:sz w:val="16"/>
                <w:szCs w:val="16"/>
              </w:rPr>
              <w:t>2</w:t>
            </w:r>
            <w:r w:rsidRPr="000E77F1">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0E77F1">
              <w:rPr>
                <w:rFonts w:ascii="Times New Roman" w:hAnsi="Times New Roman" w:cs="Times New Roman"/>
                <w:smallCaps/>
                <w:sz w:val="16"/>
                <w:szCs w:val="16"/>
              </w:rPr>
              <w:t>.01</w:t>
            </w:r>
            <w:r>
              <w:rPr>
                <w:rFonts w:ascii="Times New Roman" w:hAnsi="Times New Roman" w:cs="Times New Roman"/>
                <w:smallCaps/>
                <w:sz w:val="16"/>
                <w:szCs w:val="16"/>
              </w:rPr>
              <w:t>4</w:t>
            </w:r>
            <w:r w:rsidRPr="000E77F1">
              <w:rPr>
                <w:rFonts w:ascii="Times New Roman" w:hAnsi="Times New Roman" w:cs="Times New Roman"/>
                <w:smallCaps/>
                <w:sz w:val="16"/>
                <w:szCs w:val="16"/>
              </w:rPr>
              <w:t>)</w:t>
            </w:r>
          </w:p>
        </w:tc>
        <w:tc>
          <w:tcPr>
            <w:tcW w:w="1185" w:type="dxa"/>
            <w:vAlign w:val="center"/>
          </w:tcPr>
          <w:p w:rsidR="005E4E2D" w:rsidRPr="006542D6" w:rsidRDefault="00A96553" w:rsidP="00A96553">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A96553">
              <w:rPr>
                <w:rFonts w:ascii="Times New Roman" w:hAnsi="Times New Roman" w:cs="Times New Roman"/>
                <w:smallCaps/>
                <w:sz w:val="16"/>
                <w:szCs w:val="16"/>
              </w:rPr>
              <w:t>.01</w:t>
            </w:r>
            <w:r>
              <w:rPr>
                <w:rFonts w:ascii="Times New Roman" w:hAnsi="Times New Roman" w:cs="Times New Roman"/>
                <w:smallCaps/>
                <w:sz w:val="16"/>
                <w:szCs w:val="16"/>
              </w:rPr>
              <w:t>7</w:t>
            </w:r>
            <w:r w:rsidRPr="00A96553">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A96553">
              <w:rPr>
                <w:rFonts w:ascii="Times New Roman" w:hAnsi="Times New Roman" w:cs="Times New Roman"/>
                <w:smallCaps/>
                <w:sz w:val="16"/>
                <w:szCs w:val="16"/>
              </w:rPr>
              <w:t>.01</w:t>
            </w:r>
            <w:r>
              <w:rPr>
                <w:rFonts w:ascii="Times New Roman" w:hAnsi="Times New Roman" w:cs="Times New Roman"/>
                <w:smallCaps/>
                <w:sz w:val="16"/>
                <w:szCs w:val="16"/>
              </w:rPr>
              <w:t>4</w:t>
            </w:r>
            <w:r w:rsidRPr="00A96553">
              <w:rPr>
                <w:rFonts w:ascii="Times New Roman" w:hAnsi="Times New Roman" w:cs="Times New Roman"/>
                <w:smallCaps/>
                <w:sz w:val="16"/>
                <w:szCs w:val="16"/>
              </w:rPr>
              <w:t>)</w:t>
            </w:r>
          </w:p>
        </w:tc>
        <w:tc>
          <w:tcPr>
            <w:tcW w:w="1185" w:type="dxa"/>
            <w:vAlign w:val="center"/>
          </w:tcPr>
          <w:p w:rsidR="005E4E2D" w:rsidRPr="006542D6" w:rsidRDefault="00CD744B" w:rsidP="00CD744B">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00745116" w:rsidRPr="00745116">
              <w:rPr>
                <w:rFonts w:ascii="Times New Roman" w:hAnsi="Times New Roman" w:cs="Times New Roman"/>
                <w:smallCaps/>
                <w:sz w:val="16"/>
                <w:szCs w:val="16"/>
              </w:rPr>
              <w:t>.02</w:t>
            </w:r>
            <w:r>
              <w:rPr>
                <w:rFonts w:ascii="Times New Roman" w:hAnsi="Times New Roman" w:cs="Times New Roman"/>
                <w:smallCaps/>
                <w:sz w:val="16"/>
                <w:szCs w:val="16"/>
              </w:rPr>
              <w:t>7</w:t>
            </w:r>
            <w:r w:rsidR="00745116" w:rsidRPr="00745116">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00745116" w:rsidRPr="00745116">
              <w:rPr>
                <w:rFonts w:ascii="Times New Roman" w:hAnsi="Times New Roman" w:cs="Times New Roman"/>
                <w:smallCaps/>
                <w:sz w:val="16"/>
                <w:szCs w:val="16"/>
              </w:rPr>
              <w:t>.018)</w:t>
            </w:r>
          </w:p>
        </w:tc>
        <w:tc>
          <w:tcPr>
            <w:tcW w:w="1185" w:type="dxa"/>
          </w:tcPr>
          <w:p w:rsidR="005E4E2D" w:rsidRPr="006542D6" w:rsidRDefault="009C5962" w:rsidP="0033346D">
            <w:pPr>
              <w:spacing w:line="360" w:lineRule="auto"/>
              <w:jc w:val="center"/>
              <w:rPr>
                <w:rFonts w:ascii="Times New Roman" w:hAnsi="Times New Roman" w:cs="Times New Roman"/>
                <w:smallCaps/>
                <w:sz w:val="16"/>
                <w:szCs w:val="16"/>
              </w:rPr>
            </w:pPr>
            <w:r w:rsidRPr="009C5962">
              <w:rPr>
                <w:rFonts w:ascii="Times New Roman" w:hAnsi="Times New Roman" w:cs="Times New Roman"/>
                <w:smallCaps/>
                <w:sz w:val="16"/>
                <w:szCs w:val="16"/>
              </w:rPr>
              <w:t>-</w:t>
            </w:r>
            <w:r w:rsidR="00486FBF">
              <w:rPr>
                <w:rFonts w:ascii="Times New Roman" w:hAnsi="Times New Roman" w:cs="Times New Roman"/>
                <w:smallCaps/>
                <w:sz w:val="16"/>
                <w:szCs w:val="16"/>
              </w:rPr>
              <w:t>0</w:t>
            </w:r>
            <w:r w:rsidRPr="009C5962">
              <w:rPr>
                <w:rFonts w:ascii="Times New Roman" w:hAnsi="Times New Roman" w:cs="Times New Roman"/>
                <w:smallCaps/>
                <w:sz w:val="16"/>
                <w:szCs w:val="16"/>
              </w:rPr>
              <w:t>.018</w:t>
            </w:r>
            <w:r w:rsidR="0016490E">
              <w:rPr>
                <w:rFonts w:ascii="Times New Roman" w:hAnsi="Times New Roman" w:cs="Times New Roman"/>
                <w:smallCaps/>
                <w:sz w:val="16"/>
                <w:szCs w:val="16"/>
              </w:rPr>
              <w:t>***</w:t>
            </w:r>
            <w:r w:rsidRPr="009C5962">
              <w:rPr>
                <w:rFonts w:ascii="Times New Roman" w:hAnsi="Times New Roman" w:cs="Times New Roman"/>
                <w:smallCaps/>
                <w:sz w:val="16"/>
                <w:szCs w:val="16"/>
              </w:rPr>
              <w:t xml:space="preserve">  (</w:t>
            </w:r>
            <w:r w:rsidR="00486FBF">
              <w:rPr>
                <w:rFonts w:ascii="Times New Roman" w:hAnsi="Times New Roman" w:cs="Times New Roman"/>
                <w:smallCaps/>
                <w:sz w:val="16"/>
                <w:szCs w:val="16"/>
              </w:rPr>
              <w:t>0</w:t>
            </w:r>
            <w:r w:rsidRPr="009C5962">
              <w:rPr>
                <w:rFonts w:ascii="Times New Roman" w:hAnsi="Times New Roman" w:cs="Times New Roman"/>
                <w:smallCaps/>
                <w:sz w:val="16"/>
                <w:szCs w:val="16"/>
              </w:rPr>
              <w:t>.00</w:t>
            </w:r>
            <w:r w:rsidR="0033346D">
              <w:rPr>
                <w:rFonts w:ascii="Times New Roman" w:hAnsi="Times New Roman" w:cs="Times New Roman"/>
                <w:smallCaps/>
                <w:sz w:val="16"/>
                <w:szCs w:val="16"/>
              </w:rPr>
              <w:t>7</w:t>
            </w:r>
            <w:r w:rsidRPr="009C5962">
              <w:rPr>
                <w:rFonts w:ascii="Times New Roman" w:hAnsi="Times New Roman" w:cs="Times New Roman"/>
                <w:smallCaps/>
                <w:sz w:val="16"/>
                <w:szCs w:val="16"/>
              </w:rPr>
              <w:t>)</w:t>
            </w:r>
          </w:p>
        </w:tc>
      </w:tr>
      <w:tr w:rsidR="005E4E2D" w:rsidRPr="006542D6" w:rsidTr="005E4E2D">
        <w:tc>
          <w:tcPr>
            <w:tcW w:w="1800" w:type="dxa"/>
            <w:vAlign w:val="center"/>
          </w:tcPr>
          <w:p w:rsidR="005E4E2D" w:rsidRPr="006542D6" w:rsidRDefault="005E4E2D" w:rsidP="00473A5D">
            <w:pPr>
              <w:spacing w:line="360" w:lineRule="auto"/>
              <w:rPr>
                <w:rFonts w:ascii="Times New Roman" w:hAnsi="Times New Roman" w:cs="Times New Roman"/>
                <w:sz w:val="16"/>
                <w:szCs w:val="16"/>
              </w:rPr>
            </w:pPr>
            <w:r>
              <w:rPr>
                <w:rFonts w:ascii="Times New Roman" w:hAnsi="Times New Roman" w:cs="Times New Roman"/>
                <w:sz w:val="16"/>
                <w:szCs w:val="16"/>
              </w:rPr>
              <w:t>1-Year Lag Dummy</w:t>
            </w:r>
          </w:p>
        </w:tc>
        <w:tc>
          <w:tcPr>
            <w:tcW w:w="1185" w:type="dxa"/>
            <w:vAlign w:val="center"/>
          </w:tcPr>
          <w:p w:rsidR="005E4E2D" w:rsidRPr="006542D6" w:rsidRDefault="00001D63" w:rsidP="00001D63">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000373EC" w:rsidRPr="000373EC">
              <w:rPr>
                <w:rFonts w:ascii="Times New Roman" w:hAnsi="Times New Roman" w:cs="Times New Roman"/>
                <w:smallCaps/>
                <w:sz w:val="16"/>
                <w:szCs w:val="16"/>
              </w:rPr>
              <w:t>.019*</w:t>
            </w:r>
            <w:r w:rsidR="0016490E">
              <w:rPr>
                <w:rFonts w:ascii="Times New Roman" w:hAnsi="Times New Roman" w:cs="Times New Roman"/>
                <w:smallCaps/>
                <w:sz w:val="16"/>
                <w:szCs w:val="16"/>
              </w:rPr>
              <w:t>*</w:t>
            </w:r>
            <w:r w:rsidR="000373EC" w:rsidRPr="000373EC">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000373EC" w:rsidRPr="000373EC">
              <w:rPr>
                <w:rFonts w:ascii="Times New Roman" w:hAnsi="Times New Roman" w:cs="Times New Roman"/>
                <w:smallCaps/>
                <w:sz w:val="16"/>
                <w:szCs w:val="16"/>
              </w:rPr>
              <w:t>.007)</w:t>
            </w:r>
          </w:p>
        </w:tc>
        <w:tc>
          <w:tcPr>
            <w:tcW w:w="1185" w:type="dxa"/>
            <w:vAlign w:val="center"/>
          </w:tcPr>
          <w:p w:rsidR="005E4E2D" w:rsidRPr="006542D6" w:rsidRDefault="0095157B" w:rsidP="0095157B">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95157B">
              <w:rPr>
                <w:rFonts w:ascii="Times New Roman" w:hAnsi="Times New Roman" w:cs="Times New Roman"/>
                <w:smallCaps/>
                <w:sz w:val="16"/>
                <w:szCs w:val="16"/>
              </w:rPr>
              <w:t>.02</w:t>
            </w:r>
            <w:r>
              <w:rPr>
                <w:rFonts w:ascii="Times New Roman" w:hAnsi="Times New Roman" w:cs="Times New Roman"/>
                <w:smallCaps/>
                <w:sz w:val="16"/>
                <w:szCs w:val="16"/>
              </w:rPr>
              <w:t>1</w:t>
            </w:r>
            <w:r w:rsidRPr="0095157B">
              <w:rPr>
                <w:rFonts w:ascii="Times New Roman" w:hAnsi="Times New Roman" w:cs="Times New Roman"/>
                <w:smallCaps/>
                <w:sz w:val="16"/>
                <w:szCs w:val="16"/>
              </w:rPr>
              <w:t xml:space="preserve">      (</w:t>
            </w:r>
            <w:r>
              <w:rPr>
                <w:rFonts w:ascii="Times New Roman" w:hAnsi="Times New Roman" w:cs="Times New Roman"/>
                <w:smallCaps/>
                <w:sz w:val="16"/>
                <w:szCs w:val="16"/>
              </w:rPr>
              <w:t>0.011</w:t>
            </w:r>
            <w:r w:rsidRPr="0095157B">
              <w:rPr>
                <w:rFonts w:ascii="Times New Roman" w:hAnsi="Times New Roman" w:cs="Times New Roman"/>
                <w:smallCaps/>
                <w:sz w:val="16"/>
                <w:szCs w:val="16"/>
              </w:rPr>
              <w:t>)</w:t>
            </w:r>
          </w:p>
        </w:tc>
        <w:tc>
          <w:tcPr>
            <w:tcW w:w="1185" w:type="dxa"/>
            <w:vAlign w:val="center"/>
          </w:tcPr>
          <w:p w:rsidR="005E4E2D" w:rsidRPr="006542D6" w:rsidRDefault="000E77F1" w:rsidP="000E77F1">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0E77F1">
              <w:rPr>
                <w:rFonts w:ascii="Times New Roman" w:hAnsi="Times New Roman" w:cs="Times New Roman"/>
                <w:smallCaps/>
                <w:sz w:val="16"/>
                <w:szCs w:val="16"/>
              </w:rPr>
              <w:t>.018      (</w:t>
            </w:r>
            <w:r>
              <w:rPr>
                <w:rFonts w:ascii="Times New Roman" w:hAnsi="Times New Roman" w:cs="Times New Roman"/>
                <w:smallCaps/>
                <w:sz w:val="16"/>
                <w:szCs w:val="16"/>
              </w:rPr>
              <w:t>0</w:t>
            </w:r>
            <w:r w:rsidRPr="000E77F1">
              <w:rPr>
                <w:rFonts w:ascii="Times New Roman" w:hAnsi="Times New Roman" w:cs="Times New Roman"/>
                <w:smallCaps/>
                <w:sz w:val="16"/>
                <w:szCs w:val="16"/>
              </w:rPr>
              <w:t>.010)</w:t>
            </w:r>
          </w:p>
        </w:tc>
        <w:tc>
          <w:tcPr>
            <w:tcW w:w="1185" w:type="dxa"/>
            <w:vAlign w:val="center"/>
          </w:tcPr>
          <w:p w:rsidR="005E4E2D" w:rsidRPr="006542D6" w:rsidRDefault="00A96553" w:rsidP="00A96553">
            <w:pPr>
              <w:spacing w:line="360" w:lineRule="auto"/>
              <w:jc w:val="center"/>
              <w:rPr>
                <w:rFonts w:ascii="Times New Roman" w:hAnsi="Times New Roman" w:cs="Times New Roman"/>
                <w:smallCaps/>
                <w:sz w:val="16"/>
                <w:szCs w:val="16"/>
              </w:rPr>
            </w:pPr>
            <w:r w:rsidRPr="00A96553">
              <w:rPr>
                <w:rFonts w:ascii="Times New Roman" w:hAnsi="Times New Roman" w:cs="Times New Roman"/>
                <w:smallCaps/>
                <w:sz w:val="16"/>
                <w:szCs w:val="16"/>
              </w:rPr>
              <w:t>-</w:t>
            </w:r>
            <w:r>
              <w:rPr>
                <w:rFonts w:ascii="Times New Roman" w:hAnsi="Times New Roman" w:cs="Times New Roman"/>
                <w:smallCaps/>
                <w:sz w:val="16"/>
                <w:szCs w:val="16"/>
              </w:rPr>
              <w:t>0</w:t>
            </w:r>
            <w:r w:rsidRPr="00A96553">
              <w:rPr>
                <w:rFonts w:ascii="Times New Roman" w:hAnsi="Times New Roman" w:cs="Times New Roman"/>
                <w:smallCaps/>
                <w:sz w:val="16"/>
                <w:szCs w:val="16"/>
              </w:rPr>
              <w:t>.008      (</w:t>
            </w:r>
            <w:r>
              <w:rPr>
                <w:rFonts w:ascii="Times New Roman" w:hAnsi="Times New Roman" w:cs="Times New Roman"/>
                <w:smallCaps/>
                <w:sz w:val="16"/>
                <w:szCs w:val="16"/>
              </w:rPr>
              <w:t>0</w:t>
            </w:r>
            <w:r w:rsidRPr="00A96553">
              <w:rPr>
                <w:rFonts w:ascii="Times New Roman" w:hAnsi="Times New Roman" w:cs="Times New Roman"/>
                <w:smallCaps/>
                <w:sz w:val="16"/>
                <w:szCs w:val="16"/>
              </w:rPr>
              <w:t>.0</w:t>
            </w:r>
            <w:r>
              <w:rPr>
                <w:rFonts w:ascii="Times New Roman" w:hAnsi="Times New Roman" w:cs="Times New Roman"/>
                <w:smallCaps/>
                <w:sz w:val="16"/>
                <w:szCs w:val="16"/>
              </w:rPr>
              <w:t>10</w:t>
            </w:r>
            <w:r w:rsidRPr="00A96553">
              <w:rPr>
                <w:rFonts w:ascii="Times New Roman" w:hAnsi="Times New Roman" w:cs="Times New Roman"/>
                <w:smallCaps/>
                <w:sz w:val="16"/>
                <w:szCs w:val="16"/>
              </w:rPr>
              <w:t>)</w:t>
            </w:r>
          </w:p>
        </w:tc>
        <w:tc>
          <w:tcPr>
            <w:tcW w:w="1185" w:type="dxa"/>
            <w:vAlign w:val="center"/>
          </w:tcPr>
          <w:p w:rsidR="005E4E2D" w:rsidRPr="006542D6" w:rsidRDefault="00745116" w:rsidP="00CD744B">
            <w:pPr>
              <w:spacing w:line="360" w:lineRule="auto"/>
              <w:jc w:val="center"/>
              <w:rPr>
                <w:rFonts w:ascii="Times New Roman" w:hAnsi="Times New Roman" w:cs="Times New Roman"/>
                <w:smallCaps/>
                <w:sz w:val="16"/>
                <w:szCs w:val="16"/>
              </w:rPr>
            </w:pPr>
            <w:r w:rsidRPr="00745116">
              <w:rPr>
                <w:rFonts w:ascii="Times New Roman" w:hAnsi="Times New Roman" w:cs="Times New Roman"/>
                <w:smallCaps/>
                <w:sz w:val="16"/>
                <w:szCs w:val="16"/>
              </w:rPr>
              <w:t>-</w:t>
            </w:r>
            <w:r w:rsidR="00CD744B">
              <w:rPr>
                <w:rFonts w:ascii="Times New Roman" w:hAnsi="Times New Roman" w:cs="Times New Roman"/>
                <w:smallCaps/>
                <w:sz w:val="16"/>
                <w:szCs w:val="16"/>
              </w:rPr>
              <w:t>0</w:t>
            </w:r>
            <w:r w:rsidRPr="00745116">
              <w:rPr>
                <w:rFonts w:ascii="Times New Roman" w:hAnsi="Times New Roman" w:cs="Times New Roman"/>
                <w:smallCaps/>
                <w:sz w:val="16"/>
                <w:szCs w:val="16"/>
              </w:rPr>
              <w:t>.04</w:t>
            </w:r>
            <w:r w:rsidR="00CD744B">
              <w:rPr>
                <w:rFonts w:ascii="Times New Roman" w:hAnsi="Times New Roman" w:cs="Times New Roman"/>
                <w:smallCaps/>
                <w:sz w:val="16"/>
                <w:szCs w:val="16"/>
              </w:rPr>
              <w:t>3</w:t>
            </w:r>
            <w:r w:rsidRPr="00745116">
              <w:rPr>
                <w:rFonts w:ascii="Times New Roman" w:hAnsi="Times New Roman" w:cs="Times New Roman"/>
                <w:smallCaps/>
                <w:sz w:val="16"/>
                <w:szCs w:val="16"/>
              </w:rPr>
              <w:t>*</w:t>
            </w:r>
            <w:r w:rsidR="0016490E">
              <w:rPr>
                <w:rFonts w:ascii="Times New Roman" w:hAnsi="Times New Roman" w:cs="Times New Roman"/>
                <w:smallCaps/>
                <w:sz w:val="16"/>
                <w:szCs w:val="16"/>
              </w:rPr>
              <w:t>*</w:t>
            </w:r>
            <w:r w:rsidRPr="00745116">
              <w:rPr>
                <w:rFonts w:ascii="Times New Roman" w:hAnsi="Times New Roman" w:cs="Times New Roman"/>
                <w:smallCaps/>
                <w:sz w:val="16"/>
                <w:szCs w:val="16"/>
              </w:rPr>
              <w:t xml:space="preserve">      (</w:t>
            </w:r>
            <w:r w:rsidR="00CD744B">
              <w:rPr>
                <w:rFonts w:ascii="Times New Roman" w:hAnsi="Times New Roman" w:cs="Times New Roman"/>
                <w:smallCaps/>
                <w:sz w:val="16"/>
                <w:szCs w:val="16"/>
              </w:rPr>
              <w:t>0</w:t>
            </w:r>
            <w:r w:rsidRPr="00745116">
              <w:rPr>
                <w:rFonts w:ascii="Times New Roman" w:hAnsi="Times New Roman" w:cs="Times New Roman"/>
                <w:smallCaps/>
                <w:sz w:val="16"/>
                <w:szCs w:val="16"/>
              </w:rPr>
              <w:t>.018)</w:t>
            </w:r>
          </w:p>
        </w:tc>
        <w:tc>
          <w:tcPr>
            <w:tcW w:w="1185" w:type="dxa"/>
          </w:tcPr>
          <w:p w:rsidR="005E4E2D" w:rsidRPr="006542D6" w:rsidRDefault="00486FBF" w:rsidP="0033346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009C5962" w:rsidRPr="009C5962">
              <w:rPr>
                <w:rFonts w:ascii="Times New Roman" w:hAnsi="Times New Roman" w:cs="Times New Roman"/>
                <w:smallCaps/>
                <w:sz w:val="16"/>
                <w:szCs w:val="16"/>
              </w:rPr>
              <w:t>.02</w:t>
            </w:r>
            <w:r w:rsidR="0033346D">
              <w:rPr>
                <w:rFonts w:ascii="Times New Roman" w:hAnsi="Times New Roman" w:cs="Times New Roman"/>
                <w:smallCaps/>
                <w:sz w:val="16"/>
                <w:szCs w:val="16"/>
              </w:rPr>
              <w:t>1</w:t>
            </w:r>
            <w:r w:rsidR="009C5962" w:rsidRPr="009C5962">
              <w:rPr>
                <w:rFonts w:ascii="Times New Roman" w:hAnsi="Times New Roman" w:cs="Times New Roman"/>
                <w:smallCaps/>
                <w:sz w:val="16"/>
                <w:szCs w:val="16"/>
              </w:rPr>
              <w:t>*</w:t>
            </w:r>
            <w:r w:rsidR="0016490E">
              <w:rPr>
                <w:rFonts w:ascii="Times New Roman" w:hAnsi="Times New Roman" w:cs="Times New Roman"/>
                <w:smallCaps/>
                <w:sz w:val="16"/>
                <w:szCs w:val="16"/>
              </w:rPr>
              <w:t>*</w:t>
            </w:r>
            <w:r w:rsidR="009C5962" w:rsidRPr="009C5962">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009C5962" w:rsidRPr="009C5962">
              <w:rPr>
                <w:rFonts w:ascii="Times New Roman" w:hAnsi="Times New Roman" w:cs="Times New Roman"/>
                <w:smallCaps/>
                <w:sz w:val="16"/>
                <w:szCs w:val="16"/>
              </w:rPr>
              <w:t>.0</w:t>
            </w:r>
            <w:r w:rsidR="0033346D">
              <w:rPr>
                <w:rFonts w:ascii="Times New Roman" w:hAnsi="Times New Roman" w:cs="Times New Roman"/>
                <w:smallCaps/>
                <w:sz w:val="16"/>
                <w:szCs w:val="16"/>
              </w:rPr>
              <w:t>10</w:t>
            </w:r>
            <w:r w:rsidR="009C5962" w:rsidRPr="009C5962">
              <w:rPr>
                <w:rFonts w:ascii="Times New Roman" w:hAnsi="Times New Roman" w:cs="Times New Roman"/>
                <w:smallCaps/>
                <w:sz w:val="16"/>
                <w:szCs w:val="16"/>
              </w:rPr>
              <w:t>)</w:t>
            </w:r>
          </w:p>
        </w:tc>
      </w:tr>
      <w:tr w:rsidR="005E4E2D" w:rsidRPr="006542D6" w:rsidTr="005E4E2D">
        <w:tc>
          <w:tcPr>
            <w:tcW w:w="1800" w:type="dxa"/>
            <w:vAlign w:val="center"/>
          </w:tcPr>
          <w:p w:rsidR="005E4E2D" w:rsidRPr="006542D6" w:rsidRDefault="005E4E2D" w:rsidP="00473A5D">
            <w:pPr>
              <w:spacing w:line="360" w:lineRule="auto"/>
              <w:rPr>
                <w:rFonts w:ascii="Times New Roman" w:hAnsi="Times New Roman" w:cs="Times New Roman"/>
                <w:sz w:val="16"/>
                <w:szCs w:val="16"/>
              </w:rPr>
            </w:pPr>
            <w:r>
              <w:rPr>
                <w:rFonts w:ascii="Times New Roman" w:hAnsi="Times New Roman" w:cs="Times New Roman"/>
                <w:sz w:val="16"/>
                <w:szCs w:val="16"/>
              </w:rPr>
              <w:t>2-Year Lag Dummy</w:t>
            </w:r>
          </w:p>
        </w:tc>
        <w:tc>
          <w:tcPr>
            <w:tcW w:w="1185" w:type="dxa"/>
            <w:vAlign w:val="center"/>
          </w:tcPr>
          <w:p w:rsidR="005E4E2D" w:rsidRPr="006542D6" w:rsidRDefault="00001D63" w:rsidP="00001D63">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000373EC" w:rsidRPr="000373EC">
              <w:rPr>
                <w:rFonts w:ascii="Times New Roman" w:hAnsi="Times New Roman" w:cs="Times New Roman"/>
                <w:smallCaps/>
                <w:sz w:val="16"/>
                <w:szCs w:val="16"/>
              </w:rPr>
              <w:t>.000      (</w:t>
            </w:r>
            <w:r>
              <w:rPr>
                <w:rFonts w:ascii="Times New Roman" w:hAnsi="Times New Roman" w:cs="Times New Roman"/>
                <w:smallCaps/>
                <w:sz w:val="16"/>
                <w:szCs w:val="16"/>
              </w:rPr>
              <w:t>0</w:t>
            </w:r>
            <w:r w:rsidR="000373EC" w:rsidRPr="000373EC">
              <w:rPr>
                <w:rFonts w:ascii="Times New Roman" w:hAnsi="Times New Roman" w:cs="Times New Roman"/>
                <w:smallCaps/>
                <w:sz w:val="16"/>
                <w:szCs w:val="16"/>
              </w:rPr>
              <w:t>.006)</w:t>
            </w:r>
          </w:p>
        </w:tc>
        <w:tc>
          <w:tcPr>
            <w:tcW w:w="1185" w:type="dxa"/>
            <w:vAlign w:val="center"/>
          </w:tcPr>
          <w:p w:rsidR="005E4E2D" w:rsidRPr="006542D6" w:rsidRDefault="0095157B" w:rsidP="0095157B">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95157B">
              <w:rPr>
                <w:rFonts w:ascii="Times New Roman" w:hAnsi="Times New Roman" w:cs="Times New Roman"/>
                <w:smallCaps/>
                <w:sz w:val="16"/>
                <w:szCs w:val="16"/>
              </w:rPr>
              <w:t>.001      (</w:t>
            </w:r>
            <w:r>
              <w:rPr>
                <w:rFonts w:ascii="Times New Roman" w:hAnsi="Times New Roman" w:cs="Times New Roman"/>
                <w:smallCaps/>
                <w:sz w:val="16"/>
                <w:szCs w:val="16"/>
              </w:rPr>
              <w:t>0.009</w:t>
            </w:r>
            <w:r w:rsidRPr="0095157B">
              <w:rPr>
                <w:rFonts w:ascii="Times New Roman" w:hAnsi="Times New Roman" w:cs="Times New Roman"/>
                <w:smallCaps/>
                <w:sz w:val="16"/>
                <w:szCs w:val="16"/>
              </w:rPr>
              <w:t xml:space="preserve">)  </w:t>
            </w:r>
          </w:p>
        </w:tc>
        <w:tc>
          <w:tcPr>
            <w:tcW w:w="1185" w:type="dxa"/>
            <w:vAlign w:val="center"/>
          </w:tcPr>
          <w:p w:rsidR="005E4E2D" w:rsidRPr="006542D6" w:rsidRDefault="000E77F1" w:rsidP="000E77F1">
            <w:pPr>
              <w:spacing w:line="360" w:lineRule="auto"/>
              <w:jc w:val="center"/>
              <w:rPr>
                <w:rFonts w:ascii="Times New Roman" w:hAnsi="Times New Roman" w:cs="Times New Roman"/>
                <w:smallCaps/>
                <w:sz w:val="16"/>
                <w:szCs w:val="16"/>
              </w:rPr>
            </w:pPr>
            <w:r w:rsidRPr="000E77F1">
              <w:rPr>
                <w:rFonts w:ascii="Times New Roman" w:hAnsi="Times New Roman" w:cs="Times New Roman"/>
                <w:smallCaps/>
                <w:sz w:val="16"/>
                <w:szCs w:val="16"/>
              </w:rPr>
              <w:t>-</w:t>
            </w:r>
            <w:r>
              <w:rPr>
                <w:rFonts w:ascii="Times New Roman" w:hAnsi="Times New Roman" w:cs="Times New Roman"/>
                <w:smallCaps/>
                <w:sz w:val="16"/>
                <w:szCs w:val="16"/>
              </w:rPr>
              <w:t>0</w:t>
            </w:r>
            <w:r w:rsidRPr="000E77F1">
              <w:rPr>
                <w:rFonts w:ascii="Times New Roman" w:hAnsi="Times New Roman" w:cs="Times New Roman"/>
                <w:smallCaps/>
                <w:sz w:val="16"/>
                <w:szCs w:val="16"/>
              </w:rPr>
              <w:t>.00</w:t>
            </w:r>
            <w:r>
              <w:rPr>
                <w:rFonts w:ascii="Times New Roman" w:hAnsi="Times New Roman" w:cs="Times New Roman"/>
                <w:smallCaps/>
                <w:sz w:val="16"/>
                <w:szCs w:val="16"/>
              </w:rPr>
              <w:t>7</w:t>
            </w:r>
            <w:r w:rsidRPr="000E77F1">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0E77F1">
              <w:rPr>
                <w:rFonts w:ascii="Times New Roman" w:hAnsi="Times New Roman" w:cs="Times New Roman"/>
                <w:smallCaps/>
                <w:sz w:val="16"/>
                <w:szCs w:val="16"/>
              </w:rPr>
              <w:t>.00</w:t>
            </w:r>
            <w:r>
              <w:rPr>
                <w:rFonts w:ascii="Times New Roman" w:hAnsi="Times New Roman" w:cs="Times New Roman"/>
                <w:smallCaps/>
                <w:sz w:val="16"/>
                <w:szCs w:val="16"/>
              </w:rPr>
              <w:t>9</w:t>
            </w:r>
            <w:r w:rsidRPr="000E77F1">
              <w:rPr>
                <w:rFonts w:ascii="Times New Roman" w:hAnsi="Times New Roman" w:cs="Times New Roman"/>
                <w:smallCaps/>
                <w:sz w:val="16"/>
                <w:szCs w:val="16"/>
              </w:rPr>
              <w:t>)</w:t>
            </w:r>
          </w:p>
        </w:tc>
        <w:tc>
          <w:tcPr>
            <w:tcW w:w="1185" w:type="dxa"/>
            <w:vAlign w:val="center"/>
          </w:tcPr>
          <w:p w:rsidR="005E4E2D" w:rsidRPr="006542D6" w:rsidRDefault="00A96553" w:rsidP="00A96553">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A96553">
              <w:rPr>
                <w:rFonts w:ascii="Times New Roman" w:hAnsi="Times New Roman" w:cs="Times New Roman"/>
                <w:smallCaps/>
                <w:sz w:val="16"/>
                <w:szCs w:val="16"/>
              </w:rPr>
              <w:t>.043*</w:t>
            </w:r>
            <w:r w:rsidR="0016490E">
              <w:rPr>
                <w:rFonts w:ascii="Times New Roman" w:hAnsi="Times New Roman" w:cs="Times New Roman"/>
                <w:smallCaps/>
                <w:sz w:val="16"/>
                <w:szCs w:val="16"/>
              </w:rPr>
              <w:t>*</w:t>
            </w:r>
            <w:r w:rsidRPr="00A96553">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A96553">
              <w:rPr>
                <w:rFonts w:ascii="Times New Roman" w:hAnsi="Times New Roman" w:cs="Times New Roman"/>
                <w:smallCaps/>
                <w:sz w:val="16"/>
                <w:szCs w:val="16"/>
              </w:rPr>
              <w:t>.01</w:t>
            </w:r>
            <w:r>
              <w:rPr>
                <w:rFonts w:ascii="Times New Roman" w:hAnsi="Times New Roman" w:cs="Times New Roman"/>
                <w:smallCaps/>
                <w:sz w:val="16"/>
                <w:szCs w:val="16"/>
              </w:rPr>
              <w:t>9</w:t>
            </w:r>
            <w:r w:rsidRPr="00A96553">
              <w:rPr>
                <w:rFonts w:ascii="Times New Roman" w:hAnsi="Times New Roman" w:cs="Times New Roman"/>
                <w:smallCaps/>
                <w:sz w:val="16"/>
                <w:szCs w:val="16"/>
              </w:rPr>
              <w:t>)</w:t>
            </w:r>
          </w:p>
        </w:tc>
        <w:tc>
          <w:tcPr>
            <w:tcW w:w="1185" w:type="dxa"/>
            <w:vAlign w:val="center"/>
          </w:tcPr>
          <w:p w:rsidR="005E4E2D" w:rsidRPr="006542D6" w:rsidRDefault="00CD744B" w:rsidP="00CD744B">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00745116" w:rsidRPr="00745116">
              <w:rPr>
                <w:rFonts w:ascii="Times New Roman" w:hAnsi="Times New Roman" w:cs="Times New Roman"/>
                <w:smallCaps/>
                <w:sz w:val="16"/>
                <w:szCs w:val="16"/>
              </w:rPr>
              <w:t>.03</w:t>
            </w:r>
            <w:r>
              <w:rPr>
                <w:rFonts w:ascii="Times New Roman" w:hAnsi="Times New Roman" w:cs="Times New Roman"/>
                <w:smallCaps/>
                <w:sz w:val="16"/>
                <w:szCs w:val="16"/>
              </w:rPr>
              <w:t>2</w:t>
            </w:r>
            <w:r w:rsidR="00745116" w:rsidRPr="00745116">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00745116" w:rsidRPr="00745116">
              <w:rPr>
                <w:rFonts w:ascii="Times New Roman" w:hAnsi="Times New Roman" w:cs="Times New Roman"/>
                <w:smallCaps/>
                <w:sz w:val="16"/>
                <w:szCs w:val="16"/>
              </w:rPr>
              <w:t>.01</w:t>
            </w:r>
            <w:r>
              <w:rPr>
                <w:rFonts w:ascii="Times New Roman" w:hAnsi="Times New Roman" w:cs="Times New Roman"/>
                <w:smallCaps/>
                <w:sz w:val="16"/>
                <w:szCs w:val="16"/>
              </w:rPr>
              <w:t>8</w:t>
            </w:r>
            <w:r w:rsidR="00745116" w:rsidRPr="00745116">
              <w:rPr>
                <w:rFonts w:ascii="Times New Roman" w:hAnsi="Times New Roman" w:cs="Times New Roman"/>
                <w:smallCaps/>
                <w:sz w:val="16"/>
                <w:szCs w:val="16"/>
              </w:rPr>
              <w:t>)</w:t>
            </w:r>
          </w:p>
        </w:tc>
        <w:tc>
          <w:tcPr>
            <w:tcW w:w="1185" w:type="dxa"/>
          </w:tcPr>
          <w:p w:rsidR="005E4E2D" w:rsidRPr="006542D6" w:rsidRDefault="009C5962" w:rsidP="002A574A">
            <w:pPr>
              <w:spacing w:line="360" w:lineRule="auto"/>
              <w:jc w:val="center"/>
              <w:rPr>
                <w:rFonts w:ascii="Times New Roman" w:hAnsi="Times New Roman" w:cs="Times New Roman"/>
                <w:smallCaps/>
                <w:sz w:val="16"/>
                <w:szCs w:val="16"/>
              </w:rPr>
            </w:pPr>
            <w:r w:rsidRPr="009C5962">
              <w:rPr>
                <w:rFonts w:ascii="Times New Roman" w:hAnsi="Times New Roman" w:cs="Times New Roman"/>
                <w:smallCaps/>
                <w:sz w:val="16"/>
                <w:szCs w:val="16"/>
              </w:rPr>
              <w:t>-</w:t>
            </w:r>
            <w:r w:rsidR="00486FBF">
              <w:rPr>
                <w:rFonts w:ascii="Times New Roman" w:hAnsi="Times New Roman" w:cs="Times New Roman"/>
                <w:smallCaps/>
                <w:sz w:val="16"/>
                <w:szCs w:val="16"/>
              </w:rPr>
              <w:t>0</w:t>
            </w:r>
            <w:r w:rsidRPr="009C5962">
              <w:rPr>
                <w:rFonts w:ascii="Times New Roman" w:hAnsi="Times New Roman" w:cs="Times New Roman"/>
                <w:smallCaps/>
                <w:sz w:val="16"/>
                <w:szCs w:val="16"/>
              </w:rPr>
              <w:t>.004      (</w:t>
            </w:r>
            <w:r w:rsidR="00486FBF">
              <w:rPr>
                <w:rFonts w:ascii="Times New Roman" w:hAnsi="Times New Roman" w:cs="Times New Roman"/>
                <w:smallCaps/>
                <w:sz w:val="16"/>
                <w:szCs w:val="16"/>
              </w:rPr>
              <w:t>0</w:t>
            </w:r>
            <w:r w:rsidRPr="009C5962">
              <w:rPr>
                <w:rFonts w:ascii="Times New Roman" w:hAnsi="Times New Roman" w:cs="Times New Roman"/>
                <w:smallCaps/>
                <w:sz w:val="16"/>
                <w:szCs w:val="16"/>
              </w:rPr>
              <w:t>.010)</w:t>
            </w:r>
          </w:p>
        </w:tc>
      </w:tr>
      <w:tr w:rsidR="005E4E2D" w:rsidRPr="006542D6" w:rsidTr="005E4E2D">
        <w:tc>
          <w:tcPr>
            <w:tcW w:w="1800" w:type="dxa"/>
            <w:vAlign w:val="center"/>
          </w:tcPr>
          <w:p w:rsidR="005E4E2D" w:rsidRPr="006542D6" w:rsidRDefault="005E4E2D" w:rsidP="00473A5D">
            <w:pPr>
              <w:spacing w:line="360" w:lineRule="auto"/>
              <w:rPr>
                <w:rFonts w:ascii="Times New Roman" w:hAnsi="Times New Roman" w:cs="Times New Roman"/>
                <w:sz w:val="16"/>
                <w:szCs w:val="16"/>
              </w:rPr>
            </w:pPr>
            <w:r>
              <w:rPr>
                <w:rFonts w:ascii="Times New Roman" w:hAnsi="Times New Roman" w:cs="Times New Roman"/>
                <w:sz w:val="16"/>
                <w:szCs w:val="16"/>
              </w:rPr>
              <w:t>3-Year Lag Dummy</w:t>
            </w:r>
          </w:p>
        </w:tc>
        <w:tc>
          <w:tcPr>
            <w:tcW w:w="1185" w:type="dxa"/>
            <w:vAlign w:val="center"/>
          </w:tcPr>
          <w:p w:rsidR="005E4E2D" w:rsidRPr="006542D6" w:rsidRDefault="00001D63" w:rsidP="00001D63">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000373EC" w:rsidRPr="000373EC">
              <w:rPr>
                <w:rFonts w:ascii="Times New Roman" w:hAnsi="Times New Roman" w:cs="Times New Roman"/>
                <w:smallCaps/>
                <w:sz w:val="16"/>
                <w:szCs w:val="16"/>
              </w:rPr>
              <w:t>.002      (</w:t>
            </w:r>
            <w:r>
              <w:rPr>
                <w:rFonts w:ascii="Times New Roman" w:hAnsi="Times New Roman" w:cs="Times New Roman"/>
                <w:smallCaps/>
                <w:sz w:val="16"/>
                <w:szCs w:val="16"/>
              </w:rPr>
              <w:t>0</w:t>
            </w:r>
            <w:r w:rsidR="000373EC" w:rsidRPr="000373EC">
              <w:rPr>
                <w:rFonts w:ascii="Times New Roman" w:hAnsi="Times New Roman" w:cs="Times New Roman"/>
                <w:smallCaps/>
                <w:sz w:val="16"/>
                <w:szCs w:val="16"/>
              </w:rPr>
              <w:t>.00</w:t>
            </w:r>
            <w:r>
              <w:rPr>
                <w:rFonts w:ascii="Times New Roman" w:hAnsi="Times New Roman" w:cs="Times New Roman"/>
                <w:smallCaps/>
                <w:sz w:val="16"/>
                <w:szCs w:val="16"/>
              </w:rPr>
              <w:t>8</w:t>
            </w:r>
            <w:r w:rsidR="000373EC" w:rsidRPr="000373EC">
              <w:rPr>
                <w:rFonts w:ascii="Times New Roman" w:hAnsi="Times New Roman" w:cs="Times New Roman"/>
                <w:smallCaps/>
                <w:sz w:val="16"/>
                <w:szCs w:val="16"/>
              </w:rPr>
              <w:t>)</w:t>
            </w:r>
          </w:p>
        </w:tc>
        <w:tc>
          <w:tcPr>
            <w:tcW w:w="1185" w:type="dxa"/>
            <w:vAlign w:val="center"/>
          </w:tcPr>
          <w:p w:rsidR="005E4E2D" w:rsidRPr="006542D6" w:rsidRDefault="0095157B" w:rsidP="0095157B">
            <w:pPr>
              <w:spacing w:line="360" w:lineRule="auto"/>
              <w:jc w:val="center"/>
              <w:rPr>
                <w:rFonts w:ascii="Times New Roman" w:hAnsi="Times New Roman" w:cs="Times New Roman"/>
                <w:smallCaps/>
                <w:sz w:val="16"/>
                <w:szCs w:val="16"/>
              </w:rPr>
            </w:pPr>
            <w:r w:rsidRPr="0095157B">
              <w:rPr>
                <w:rFonts w:ascii="Times New Roman" w:hAnsi="Times New Roman" w:cs="Times New Roman"/>
                <w:smallCaps/>
                <w:sz w:val="16"/>
                <w:szCs w:val="16"/>
              </w:rPr>
              <w:t>-</w:t>
            </w:r>
            <w:r>
              <w:rPr>
                <w:rFonts w:ascii="Times New Roman" w:hAnsi="Times New Roman" w:cs="Times New Roman"/>
                <w:smallCaps/>
                <w:sz w:val="16"/>
                <w:szCs w:val="16"/>
              </w:rPr>
              <w:t>0</w:t>
            </w:r>
            <w:r w:rsidRPr="0095157B">
              <w:rPr>
                <w:rFonts w:ascii="Times New Roman" w:hAnsi="Times New Roman" w:cs="Times New Roman"/>
                <w:smallCaps/>
                <w:sz w:val="16"/>
                <w:szCs w:val="16"/>
              </w:rPr>
              <w:t>.000      (</w:t>
            </w:r>
            <w:r>
              <w:rPr>
                <w:rFonts w:ascii="Times New Roman" w:hAnsi="Times New Roman" w:cs="Times New Roman"/>
                <w:smallCaps/>
                <w:sz w:val="16"/>
                <w:szCs w:val="16"/>
              </w:rPr>
              <w:t>0</w:t>
            </w:r>
            <w:r w:rsidRPr="0095157B">
              <w:rPr>
                <w:rFonts w:ascii="Times New Roman" w:hAnsi="Times New Roman" w:cs="Times New Roman"/>
                <w:smallCaps/>
                <w:sz w:val="16"/>
                <w:szCs w:val="16"/>
              </w:rPr>
              <w:t>.009)</w:t>
            </w:r>
          </w:p>
        </w:tc>
        <w:tc>
          <w:tcPr>
            <w:tcW w:w="1185" w:type="dxa"/>
            <w:vAlign w:val="center"/>
          </w:tcPr>
          <w:p w:rsidR="005E4E2D" w:rsidRPr="006542D6" w:rsidRDefault="000E77F1" w:rsidP="000E77F1">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0E77F1">
              <w:rPr>
                <w:rFonts w:ascii="Times New Roman" w:hAnsi="Times New Roman" w:cs="Times New Roman"/>
                <w:smallCaps/>
                <w:sz w:val="16"/>
                <w:szCs w:val="16"/>
              </w:rPr>
              <w:t>.01</w:t>
            </w:r>
            <w:r>
              <w:rPr>
                <w:rFonts w:ascii="Times New Roman" w:hAnsi="Times New Roman" w:cs="Times New Roman"/>
                <w:smallCaps/>
                <w:sz w:val="16"/>
                <w:szCs w:val="16"/>
              </w:rPr>
              <w:t>3</w:t>
            </w:r>
            <w:r w:rsidRPr="000E77F1">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0E77F1">
              <w:rPr>
                <w:rFonts w:ascii="Times New Roman" w:hAnsi="Times New Roman" w:cs="Times New Roman"/>
                <w:smallCaps/>
                <w:sz w:val="16"/>
                <w:szCs w:val="16"/>
              </w:rPr>
              <w:t>.00</w:t>
            </w:r>
            <w:r>
              <w:rPr>
                <w:rFonts w:ascii="Times New Roman" w:hAnsi="Times New Roman" w:cs="Times New Roman"/>
                <w:smallCaps/>
                <w:sz w:val="16"/>
                <w:szCs w:val="16"/>
              </w:rPr>
              <w:t>9</w:t>
            </w:r>
            <w:r w:rsidRPr="000E77F1">
              <w:rPr>
                <w:rFonts w:ascii="Times New Roman" w:hAnsi="Times New Roman" w:cs="Times New Roman"/>
                <w:smallCaps/>
                <w:sz w:val="16"/>
                <w:szCs w:val="16"/>
              </w:rPr>
              <w:t>)</w:t>
            </w:r>
          </w:p>
        </w:tc>
        <w:tc>
          <w:tcPr>
            <w:tcW w:w="1185" w:type="dxa"/>
            <w:vAlign w:val="center"/>
          </w:tcPr>
          <w:p w:rsidR="005E4E2D" w:rsidRPr="006542D6" w:rsidRDefault="00A96553" w:rsidP="00A96553">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A96553">
              <w:rPr>
                <w:rFonts w:ascii="Times New Roman" w:hAnsi="Times New Roman" w:cs="Times New Roman"/>
                <w:smallCaps/>
                <w:sz w:val="16"/>
                <w:szCs w:val="16"/>
              </w:rPr>
              <w:t>.00</w:t>
            </w:r>
            <w:r>
              <w:rPr>
                <w:rFonts w:ascii="Times New Roman" w:hAnsi="Times New Roman" w:cs="Times New Roman"/>
                <w:smallCaps/>
                <w:sz w:val="16"/>
                <w:szCs w:val="16"/>
              </w:rPr>
              <w:t>3</w:t>
            </w:r>
            <w:r w:rsidRPr="00A96553">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A96553">
              <w:rPr>
                <w:rFonts w:ascii="Times New Roman" w:hAnsi="Times New Roman" w:cs="Times New Roman"/>
                <w:smallCaps/>
                <w:sz w:val="16"/>
                <w:szCs w:val="16"/>
              </w:rPr>
              <w:t>.017)</w:t>
            </w:r>
          </w:p>
        </w:tc>
        <w:tc>
          <w:tcPr>
            <w:tcW w:w="1185" w:type="dxa"/>
            <w:vAlign w:val="center"/>
          </w:tcPr>
          <w:p w:rsidR="005E4E2D" w:rsidRPr="006542D6" w:rsidRDefault="00745116" w:rsidP="00CD744B">
            <w:pPr>
              <w:spacing w:line="360" w:lineRule="auto"/>
              <w:jc w:val="center"/>
              <w:rPr>
                <w:rFonts w:ascii="Times New Roman" w:hAnsi="Times New Roman" w:cs="Times New Roman"/>
                <w:smallCaps/>
                <w:sz w:val="16"/>
                <w:szCs w:val="16"/>
              </w:rPr>
            </w:pPr>
            <w:r w:rsidRPr="00745116">
              <w:rPr>
                <w:rFonts w:ascii="Times New Roman" w:hAnsi="Times New Roman" w:cs="Times New Roman"/>
                <w:smallCaps/>
                <w:sz w:val="16"/>
                <w:szCs w:val="16"/>
              </w:rPr>
              <w:t>-</w:t>
            </w:r>
            <w:r w:rsidR="00CD744B">
              <w:rPr>
                <w:rFonts w:ascii="Times New Roman" w:hAnsi="Times New Roman" w:cs="Times New Roman"/>
                <w:smallCaps/>
                <w:sz w:val="16"/>
                <w:szCs w:val="16"/>
              </w:rPr>
              <w:t>0</w:t>
            </w:r>
            <w:r w:rsidRPr="00745116">
              <w:rPr>
                <w:rFonts w:ascii="Times New Roman" w:hAnsi="Times New Roman" w:cs="Times New Roman"/>
                <w:smallCaps/>
                <w:sz w:val="16"/>
                <w:szCs w:val="16"/>
              </w:rPr>
              <w:t>.017      (</w:t>
            </w:r>
            <w:r w:rsidR="00CD744B">
              <w:rPr>
                <w:rFonts w:ascii="Times New Roman" w:hAnsi="Times New Roman" w:cs="Times New Roman"/>
                <w:smallCaps/>
                <w:sz w:val="16"/>
                <w:szCs w:val="16"/>
              </w:rPr>
              <w:t>0</w:t>
            </w:r>
            <w:r w:rsidRPr="00745116">
              <w:rPr>
                <w:rFonts w:ascii="Times New Roman" w:hAnsi="Times New Roman" w:cs="Times New Roman"/>
                <w:smallCaps/>
                <w:sz w:val="16"/>
                <w:szCs w:val="16"/>
              </w:rPr>
              <w:t>.01</w:t>
            </w:r>
            <w:r w:rsidR="00CD744B">
              <w:rPr>
                <w:rFonts w:ascii="Times New Roman" w:hAnsi="Times New Roman" w:cs="Times New Roman"/>
                <w:smallCaps/>
                <w:sz w:val="16"/>
                <w:szCs w:val="16"/>
              </w:rPr>
              <w:t>5</w:t>
            </w:r>
            <w:r w:rsidRPr="00745116">
              <w:rPr>
                <w:rFonts w:ascii="Times New Roman" w:hAnsi="Times New Roman" w:cs="Times New Roman"/>
                <w:smallCaps/>
                <w:sz w:val="16"/>
                <w:szCs w:val="16"/>
              </w:rPr>
              <w:t>)</w:t>
            </w:r>
          </w:p>
        </w:tc>
        <w:tc>
          <w:tcPr>
            <w:tcW w:w="1185" w:type="dxa"/>
          </w:tcPr>
          <w:p w:rsidR="005E4E2D" w:rsidRPr="006542D6" w:rsidRDefault="00486FBF" w:rsidP="002A574A">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009C5962" w:rsidRPr="009C5962">
              <w:rPr>
                <w:rFonts w:ascii="Times New Roman" w:hAnsi="Times New Roman" w:cs="Times New Roman"/>
                <w:smallCaps/>
                <w:sz w:val="16"/>
                <w:szCs w:val="16"/>
              </w:rPr>
              <w:t>.014       (</w:t>
            </w:r>
            <w:r>
              <w:rPr>
                <w:rFonts w:ascii="Times New Roman" w:hAnsi="Times New Roman" w:cs="Times New Roman"/>
                <w:smallCaps/>
                <w:sz w:val="16"/>
                <w:szCs w:val="16"/>
              </w:rPr>
              <w:t>0</w:t>
            </w:r>
            <w:r w:rsidR="009C5962" w:rsidRPr="009C5962">
              <w:rPr>
                <w:rFonts w:ascii="Times New Roman" w:hAnsi="Times New Roman" w:cs="Times New Roman"/>
                <w:smallCaps/>
                <w:sz w:val="16"/>
                <w:szCs w:val="16"/>
              </w:rPr>
              <w:t>.012)</w:t>
            </w:r>
          </w:p>
        </w:tc>
      </w:tr>
      <w:tr w:rsidR="005E4E2D" w:rsidRPr="006542D6" w:rsidTr="005E4E2D">
        <w:tc>
          <w:tcPr>
            <w:tcW w:w="1800" w:type="dxa"/>
            <w:tcBorders>
              <w:bottom w:val="single" w:sz="12" w:space="0" w:color="auto"/>
            </w:tcBorders>
            <w:vAlign w:val="center"/>
          </w:tcPr>
          <w:p w:rsidR="005E4E2D" w:rsidRPr="006542D6" w:rsidRDefault="005E4E2D" w:rsidP="00473A5D">
            <w:pPr>
              <w:spacing w:line="360" w:lineRule="auto"/>
              <w:rPr>
                <w:rFonts w:ascii="Times New Roman" w:hAnsi="Times New Roman" w:cs="Times New Roman"/>
                <w:sz w:val="16"/>
                <w:szCs w:val="16"/>
              </w:rPr>
            </w:pPr>
            <w:r>
              <w:rPr>
                <w:rFonts w:ascii="Times New Roman" w:hAnsi="Times New Roman" w:cs="Times New Roman"/>
                <w:sz w:val="16"/>
                <w:szCs w:val="16"/>
              </w:rPr>
              <w:t>4-Year Lag Dummy</w:t>
            </w:r>
          </w:p>
        </w:tc>
        <w:tc>
          <w:tcPr>
            <w:tcW w:w="1185" w:type="dxa"/>
            <w:tcBorders>
              <w:bottom w:val="single" w:sz="12" w:space="0" w:color="auto"/>
            </w:tcBorders>
            <w:vAlign w:val="center"/>
          </w:tcPr>
          <w:p w:rsidR="005E4E2D" w:rsidRPr="006542D6" w:rsidRDefault="00001D63" w:rsidP="00001D63">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000373EC" w:rsidRPr="000373EC">
              <w:rPr>
                <w:rFonts w:ascii="Times New Roman" w:hAnsi="Times New Roman" w:cs="Times New Roman"/>
                <w:smallCaps/>
                <w:sz w:val="16"/>
                <w:szCs w:val="16"/>
              </w:rPr>
              <w:t>.00</w:t>
            </w:r>
            <w:r>
              <w:rPr>
                <w:rFonts w:ascii="Times New Roman" w:hAnsi="Times New Roman" w:cs="Times New Roman"/>
                <w:smallCaps/>
                <w:sz w:val="16"/>
                <w:szCs w:val="16"/>
              </w:rPr>
              <w:t>2</w:t>
            </w:r>
            <w:r w:rsidR="000373EC" w:rsidRPr="000373EC">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000373EC" w:rsidRPr="000373EC">
              <w:rPr>
                <w:rFonts w:ascii="Times New Roman" w:hAnsi="Times New Roman" w:cs="Times New Roman"/>
                <w:smallCaps/>
                <w:sz w:val="16"/>
                <w:szCs w:val="16"/>
              </w:rPr>
              <w:t>.00</w:t>
            </w:r>
            <w:r>
              <w:rPr>
                <w:rFonts w:ascii="Times New Roman" w:hAnsi="Times New Roman" w:cs="Times New Roman"/>
                <w:smallCaps/>
                <w:sz w:val="16"/>
                <w:szCs w:val="16"/>
              </w:rPr>
              <w:t>6</w:t>
            </w:r>
            <w:r w:rsidR="000373EC" w:rsidRPr="000373EC">
              <w:rPr>
                <w:rFonts w:ascii="Times New Roman" w:hAnsi="Times New Roman" w:cs="Times New Roman"/>
                <w:smallCaps/>
                <w:sz w:val="16"/>
                <w:szCs w:val="16"/>
              </w:rPr>
              <w:t>)</w:t>
            </w:r>
          </w:p>
        </w:tc>
        <w:tc>
          <w:tcPr>
            <w:tcW w:w="1185" w:type="dxa"/>
            <w:tcBorders>
              <w:bottom w:val="single" w:sz="12" w:space="0" w:color="auto"/>
            </w:tcBorders>
            <w:vAlign w:val="center"/>
          </w:tcPr>
          <w:p w:rsidR="005E4E2D" w:rsidRPr="006542D6" w:rsidRDefault="0095157B" w:rsidP="0095157B">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95157B">
              <w:rPr>
                <w:rFonts w:ascii="Times New Roman" w:hAnsi="Times New Roman" w:cs="Times New Roman"/>
                <w:smallCaps/>
                <w:sz w:val="16"/>
                <w:szCs w:val="16"/>
              </w:rPr>
              <w:t>.001        (</w:t>
            </w:r>
            <w:r>
              <w:rPr>
                <w:rFonts w:ascii="Times New Roman" w:hAnsi="Times New Roman" w:cs="Times New Roman"/>
                <w:smallCaps/>
                <w:sz w:val="16"/>
                <w:szCs w:val="16"/>
              </w:rPr>
              <w:t>0</w:t>
            </w:r>
            <w:r w:rsidRPr="0095157B">
              <w:rPr>
                <w:rFonts w:ascii="Times New Roman" w:hAnsi="Times New Roman" w:cs="Times New Roman"/>
                <w:smallCaps/>
                <w:sz w:val="16"/>
                <w:szCs w:val="16"/>
              </w:rPr>
              <w:t>.00</w:t>
            </w:r>
            <w:r>
              <w:rPr>
                <w:rFonts w:ascii="Times New Roman" w:hAnsi="Times New Roman" w:cs="Times New Roman"/>
                <w:smallCaps/>
                <w:sz w:val="16"/>
                <w:szCs w:val="16"/>
              </w:rPr>
              <w:t>7</w:t>
            </w:r>
            <w:r w:rsidRPr="0095157B">
              <w:rPr>
                <w:rFonts w:ascii="Times New Roman" w:hAnsi="Times New Roman" w:cs="Times New Roman"/>
                <w:smallCaps/>
                <w:sz w:val="16"/>
                <w:szCs w:val="16"/>
              </w:rPr>
              <w:t>)</w:t>
            </w:r>
          </w:p>
        </w:tc>
        <w:tc>
          <w:tcPr>
            <w:tcW w:w="1185" w:type="dxa"/>
            <w:tcBorders>
              <w:bottom w:val="single" w:sz="12" w:space="0" w:color="auto"/>
            </w:tcBorders>
            <w:vAlign w:val="center"/>
          </w:tcPr>
          <w:p w:rsidR="005E4E2D" w:rsidRPr="006542D6" w:rsidRDefault="000E77F1" w:rsidP="000E77F1">
            <w:pPr>
              <w:spacing w:line="360" w:lineRule="auto"/>
              <w:jc w:val="center"/>
              <w:rPr>
                <w:rFonts w:ascii="Times New Roman" w:hAnsi="Times New Roman" w:cs="Times New Roman"/>
                <w:smallCaps/>
                <w:sz w:val="16"/>
                <w:szCs w:val="16"/>
              </w:rPr>
            </w:pPr>
            <w:r w:rsidRPr="000E77F1">
              <w:rPr>
                <w:rFonts w:ascii="Times New Roman" w:hAnsi="Times New Roman" w:cs="Times New Roman"/>
                <w:smallCaps/>
                <w:sz w:val="16"/>
                <w:szCs w:val="16"/>
              </w:rPr>
              <w:t>-</w:t>
            </w:r>
            <w:r>
              <w:rPr>
                <w:rFonts w:ascii="Times New Roman" w:hAnsi="Times New Roman" w:cs="Times New Roman"/>
                <w:smallCaps/>
                <w:sz w:val="16"/>
                <w:szCs w:val="16"/>
              </w:rPr>
              <w:t>0</w:t>
            </w:r>
            <w:r w:rsidRPr="000E77F1">
              <w:rPr>
                <w:rFonts w:ascii="Times New Roman" w:hAnsi="Times New Roman" w:cs="Times New Roman"/>
                <w:smallCaps/>
                <w:sz w:val="16"/>
                <w:szCs w:val="16"/>
              </w:rPr>
              <w:t>.00</w:t>
            </w:r>
            <w:r>
              <w:rPr>
                <w:rFonts w:ascii="Times New Roman" w:hAnsi="Times New Roman" w:cs="Times New Roman"/>
                <w:smallCaps/>
                <w:sz w:val="16"/>
                <w:szCs w:val="16"/>
              </w:rPr>
              <w:t>9</w:t>
            </w:r>
            <w:r w:rsidRPr="000E77F1">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0E77F1">
              <w:rPr>
                <w:rFonts w:ascii="Times New Roman" w:hAnsi="Times New Roman" w:cs="Times New Roman"/>
                <w:smallCaps/>
                <w:sz w:val="16"/>
                <w:szCs w:val="16"/>
              </w:rPr>
              <w:t>.008)</w:t>
            </w:r>
          </w:p>
        </w:tc>
        <w:tc>
          <w:tcPr>
            <w:tcW w:w="1185" w:type="dxa"/>
            <w:tcBorders>
              <w:bottom w:val="single" w:sz="12" w:space="0" w:color="auto"/>
            </w:tcBorders>
            <w:vAlign w:val="center"/>
          </w:tcPr>
          <w:p w:rsidR="005E4E2D" w:rsidRPr="006542D6" w:rsidRDefault="00A96553" w:rsidP="00A96553">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A96553">
              <w:rPr>
                <w:rFonts w:ascii="Times New Roman" w:hAnsi="Times New Roman" w:cs="Times New Roman"/>
                <w:smallCaps/>
                <w:sz w:val="16"/>
                <w:szCs w:val="16"/>
              </w:rPr>
              <w:t>.022*</w:t>
            </w:r>
            <w:r w:rsidR="0016490E">
              <w:rPr>
                <w:rFonts w:ascii="Times New Roman" w:hAnsi="Times New Roman" w:cs="Times New Roman"/>
                <w:smallCaps/>
                <w:sz w:val="16"/>
                <w:szCs w:val="16"/>
              </w:rPr>
              <w:t>*</w:t>
            </w:r>
            <w:r w:rsidRPr="00A96553">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A96553">
              <w:rPr>
                <w:rFonts w:ascii="Times New Roman" w:hAnsi="Times New Roman" w:cs="Times New Roman"/>
                <w:smallCaps/>
                <w:sz w:val="16"/>
                <w:szCs w:val="16"/>
              </w:rPr>
              <w:t>.010)</w:t>
            </w:r>
          </w:p>
        </w:tc>
        <w:tc>
          <w:tcPr>
            <w:tcW w:w="1185" w:type="dxa"/>
            <w:tcBorders>
              <w:bottom w:val="single" w:sz="12" w:space="0" w:color="auto"/>
            </w:tcBorders>
            <w:vAlign w:val="center"/>
          </w:tcPr>
          <w:p w:rsidR="005E4E2D" w:rsidRPr="006542D6" w:rsidRDefault="00745116" w:rsidP="00CD744B">
            <w:pPr>
              <w:spacing w:line="360" w:lineRule="auto"/>
              <w:jc w:val="center"/>
              <w:rPr>
                <w:rFonts w:ascii="Times New Roman" w:hAnsi="Times New Roman" w:cs="Times New Roman"/>
                <w:smallCaps/>
                <w:sz w:val="16"/>
                <w:szCs w:val="16"/>
              </w:rPr>
            </w:pPr>
            <w:r w:rsidRPr="00745116">
              <w:rPr>
                <w:rFonts w:ascii="Times New Roman" w:hAnsi="Times New Roman" w:cs="Times New Roman"/>
                <w:smallCaps/>
                <w:sz w:val="16"/>
                <w:szCs w:val="16"/>
              </w:rPr>
              <w:t>-</w:t>
            </w:r>
            <w:r w:rsidR="00CD744B">
              <w:rPr>
                <w:rFonts w:ascii="Times New Roman" w:hAnsi="Times New Roman" w:cs="Times New Roman"/>
                <w:smallCaps/>
                <w:sz w:val="16"/>
                <w:szCs w:val="16"/>
              </w:rPr>
              <w:t>0.009</w:t>
            </w:r>
            <w:r w:rsidRPr="00745116">
              <w:rPr>
                <w:rFonts w:ascii="Times New Roman" w:hAnsi="Times New Roman" w:cs="Times New Roman"/>
                <w:smallCaps/>
                <w:sz w:val="16"/>
                <w:szCs w:val="16"/>
              </w:rPr>
              <w:t xml:space="preserve">      (</w:t>
            </w:r>
            <w:r w:rsidR="00CD744B">
              <w:rPr>
                <w:rFonts w:ascii="Times New Roman" w:hAnsi="Times New Roman" w:cs="Times New Roman"/>
                <w:smallCaps/>
                <w:sz w:val="16"/>
                <w:szCs w:val="16"/>
              </w:rPr>
              <w:t>0.012</w:t>
            </w:r>
            <w:r w:rsidRPr="00745116">
              <w:rPr>
                <w:rFonts w:ascii="Times New Roman" w:hAnsi="Times New Roman" w:cs="Times New Roman"/>
                <w:smallCaps/>
                <w:sz w:val="16"/>
                <w:szCs w:val="16"/>
              </w:rPr>
              <w:t>)</w:t>
            </w:r>
          </w:p>
        </w:tc>
        <w:tc>
          <w:tcPr>
            <w:tcW w:w="1185" w:type="dxa"/>
            <w:tcBorders>
              <w:bottom w:val="single" w:sz="12" w:space="0" w:color="auto"/>
            </w:tcBorders>
          </w:tcPr>
          <w:p w:rsidR="005E4E2D" w:rsidRPr="006542D6" w:rsidRDefault="00486FBF" w:rsidP="002A574A">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009C5962" w:rsidRPr="009C5962">
              <w:rPr>
                <w:rFonts w:ascii="Times New Roman" w:hAnsi="Times New Roman" w:cs="Times New Roman"/>
                <w:smallCaps/>
                <w:sz w:val="16"/>
                <w:szCs w:val="16"/>
              </w:rPr>
              <w:t>.00</w:t>
            </w:r>
            <w:r w:rsidR="002A574A">
              <w:rPr>
                <w:rFonts w:ascii="Times New Roman" w:hAnsi="Times New Roman" w:cs="Times New Roman"/>
                <w:smallCaps/>
                <w:sz w:val="16"/>
                <w:szCs w:val="16"/>
              </w:rPr>
              <w:t>5</w:t>
            </w:r>
            <w:r w:rsidR="009C5962" w:rsidRPr="009C5962">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009C5962" w:rsidRPr="009C5962">
              <w:rPr>
                <w:rFonts w:ascii="Times New Roman" w:hAnsi="Times New Roman" w:cs="Times New Roman"/>
                <w:smallCaps/>
                <w:sz w:val="16"/>
                <w:szCs w:val="16"/>
              </w:rPr>
              <w:t>.006)</w:t>
            </w:r>
          </w:p>
        </w:tc>
      </w:tr>
      <w:tr w:rsidR="005E4E2D" w:rsidRPr="006542D6" w:rsidTr="00473A5D">
        <w:tc>
          <w:tcPr>
            <w:tcW w:w="8910" w:type="dxa"/>
            <w:gridSpan w:val="7"/>
            <w:tcBorders>
              <w:top w:val="single" w:sz="12" w:space="0" w:color="auto"/>
            </w:tcBorders>
            <w:vAlign w:val="center"/>
          </w:tcPr>
          <w:p w:rsidR="005E4E2D" w:rsidRDefault="005E4E2D" w:rsidP="00473A5D">
            <w:pPr>
              <w:jc w:val="both"/>
              <w:rPr>
                <w:rFonts w:ascii="Times New Roman" w:hAnsi="Times New Roman" w:cs="Times New Roman"/>
                <w:sz w:val="16"/>
                <w:szCs w:val="16"/>
              </w:rPr>
            </w:pPr>
            <w:r w:rsidRPr="007B49C5">
              <w:rPr>
                <w:rFonts w:ascii="Times New Roman" w:hAnsi="Times New Roman" w:cs="Times New Roman"/>
                <w:i/>
                <w:sz w:val="16"/>
                <w:szCs w:val="16"/>
              </w:rPr>
              <w:t>Notes</w:t>
            </w:r>
            <w:r>
              <w:rPr>
                <w:rFonts w:ascii="Times New Roman" w:hAnsi="Times New Roman" w:cs="Times New Roman"/>
                <w:sz w:val="16"/>
                <w:szCs w:val="16"/>
              </w:rPr>
              <w:t>: r</w:t>
            </w:r>
            <w:r w:rsidRPr="006542D6">
              <w:rPr>
                <w:rFonts w:ascii="Times New Roman" w:hAnsi="Times New Roman" w:cs="Times New Roman"/>
                <w:sz w:val="16"/>
                <w:szCs w:val="16"/>
              </w:rPr>
              <w:t xml:space="preserve">obust standard errors corrected for within-state correlation in the error term are reported in parentheses.  </w:t>
            </w:r>
            <w:r>
              <w:rPr>
                <w:rFonts w:ascii="Times New Roman" w:hAnsi="Times New Roman" w:cs="Times New Roman"/>
                <w:sz w:val="16"/>
                <w:szCs w:val="16"/>
              </w:rPr>
              <w:t>Each specification controls for state fixed effects, year fixed effects</w:t>
            </w:r>
            <w:r w:rsidR="0033346D">
              <w:rPr>
                <w:rFonts w:ascii="Times New Roman" w:hAnsi="Times New Roman" w:cs="Times New Roman"/>
                <w:sz w:val="16"/>
                <w:szCs w:val="16"/>
              </w:rPr>
              <w:t>, various covariates</w:t>
            </w:r>
            <w:r>
              <w:rPr>
                <w:rFonts w:ascii="Times New Roman" w:hAnsi="Times New Roman" w:cs="Times New Roman"/>
                <w:sz w:val="16"/>
                <w:szCs w:val="16"/>
              </w:rPr>
              <w:t xml:space="preserve"> and a set of state specific linear time trends.  </w:t>
            </w:r>
          </w:p>
          <w:p w:rsidR="005E4E2D" w:rsidRDefault="005E4E2D" w:rsidP="00473A5D">
            <w:pPr>
              <w:pStyle w:val="TableNotes"/>
              <w:spacing w:before="0" w:line="240" w:lineRule="auto"/>
            </w:pPr>
            <w:r>
              <w:t xml:space="preserve">*** Significant at the 1 percent level. </w:t>
            </w:r>
          </w:p>
          <w:p w:rsidR="005E4E2D" w:rsidRDefault="005E4E2D" w:rsidP="00473A5D">
            <w:pPr>
              <w:pStyle w:val="TableNotes"/>
              <w:spacing w:before="0" w:line="240" w:lineRule="auto"/>
            </w:pPr>
            <w:r>
              <w:t>** Significant at the 5 percent level.</w:t>
            </w:r>
          </w:p>
          <w:p w:rsidR="005E4E2D" w:rsidRDefault="005E4E2D" w:rsidP="00473A5D">
            <w:pPr>
              <w:rPr>
                <w:rFonts w:ascii="Times New Roman" w:hAnsi="Times New Roman" w:cs="Times New Roman"/>
                <w:sz w:val="24"/>
                <w:szCs w:val="24"/>
              </w:rPr>
            </w:pPr>
            <w:r w:rsidRPr="007B49C5">
              <w:rPr>
                <w:rFonts w:ascii="Times New Roman" w:hAnsi="Times New Roman" w:cs="Times New Roman"/>
                <w:sz w:val="16"/>
                <w:szCs w:val="16"/>
              </w:rPr>
              <w:t>* Significant at the 10 percent level.</w:t>
            </w:r>
          </w:p>
          <w:p w:rsidR="005E4E2D" w:rsidRPr="007B49C5" w:rsidRDefault="005E4E2D" w:rsidP="00473A5D">
            <w:pPr>
              <w:jc w:val="both"/>
              <w:rPr>
                <w:rFonts w:ascii="Times New Roman" w:hAnsi="Times New Roman" w:cs="Times New Roman"/>
                <w:i/>
                <w:sz w:val="16"/>
                <w:szCs w:val="16"/>
              </w:rPr>
            </w:pPr>
          </w:p>
        </w:tc>
      </w:tr>
    </w:tbl>
    <w:p w:rsidR="00CE6AA4" w:rsidRDefault="00CE6AA4" w:rsidP="006E159E">
      <w:pPr>
        <w:rPr>
          <w:rFonts w:ascii="Times New Roman" w:hAnsi="Times New Roman" w:cs="Times New Roman"/>
          <w:sz w:val="24"/>
          <w:szCs w:val="24"/>
        </w:rPr>
      </w:pPr>
    </w:p>
    <w:p w:rsidR="00CE6AA4" w:rsidRDefault="00CE6AA4" w:rsidP="006E159E">
      <w:pPr>
        <w:rPr>
          <w:rFonts w:ascii="Times New Roman" w:hAnsi="Times New Roman" w:cs="Times New Roman"/>
          <w:sz w:val="24"/>
          <w:szCs w:val="24"/>
        </w:rPr>
      </w:pPr>
    </w:p>
    <w:p w:rsidR="00BA63F1" w:rsidRDefault="00BA63F1">
      <w:pPr>
        <w:rPr>
          <w:rFonts w:ascii="Times New Roman" w:hAnsi="Times New Roman" w:cs="Times New Roman"/>
          <w:sz w:val="24"/>
          <w:szCs w:val="24"/>
        </w:rPr>
      </w:pPr>
      <w:r>
        <w:rPr>
          <w:rFonts w:ascii="Times New Roman" w:hAnsi="Times New Roman" w:cs="Times New Roman"/>
          <w:sz w:val="24"/>
          <w:szCs w:val="24"/>
        </w:rPr>
        <w:br w:type="page"/>
      </w:r>
    </w:p>
    <w:p w:rsidR="00BA63F1" w:rsidRDefault="00BA63F1" w:rsidP="00BA63F1">
      <w:pPr>
        <w:jc w:val="center"/>
        <w:rPr>
          <w:rFonts w:ascii="Times New Roman" w:hAnsi="Times New Roman" w:cs="Times New Roman"/>
          <w:sz w:val="16"/>
          <w:szCs w:val="16"/>
        </w:rPr>
      </w:pPr>
      <w:r>
        <w:rPr>
          <w:rFonts w:ascii="Times New Roman" w:hAnsi="Times New Roman" w:cs="Times New Roman"/>
          <w:sz w:val="16"/>
          <w:szCs w:val="16"/>
        </w:rPr>
        <w:lastRenderedPageBreak/>
        <w:t>Table C</w:t>
      </w:r>
      <w:r w:rsidR="00AE0A63">
        <w:rPr>
          <w:rFonts w:ascii="Times New Roman" w:hAnsi="Times New Roman" w:cs="Times New Roman"/>
          <w:sz w:val="16"/>
          <w:szCs w:val="16"/>
        </w:rPr>
        <w:t>3</w:t>
      </w:r>
      <w:r>
        <w:rPr>
          <w:rFonts w:ascii="Times New Roman" w:hAnsi="Times New Roman" w:cs="Times New Roman"/>
          <w:sz w:val="16"/>
          <w:szCs w:val="16"/>
        </w:rPr>
        <w:t xml:space="preserve">.  </w:t>
      </w:r>
      <w:r w:rsidRPr="00D5221C">
        <w:rPr>
          <w:rFonts w:ascii="Times New Roman" w:hAnsi="Times New Roman" w:cs="Times New Roman"/>
          <w:sz w:val="16"/>
          <w:szCs w:val="16"/>
        </w:rPr>
        <w:t xml:space="preserve">Relationship between </w:t>
      </w:r>
      <w:r w:rsidR="00AE0A63">
        <w:rPr>
          <w:rFonts w:ascii="Times New Roman" w:hAnsi="Times New Roman" w:cs="Times New Roman"/>
          <w:sz w:val="16"/>
          <w:szCs w:val="16"/>
        </w:rPr>
        <w:t xml:space="preserve">National Standard Laws and </w:t>
      </w:r>
      <w:r w:rsidRPr="00D5221C">
        <w:rPr>
          <w:rFonts w:ascii="Times New Roman" w:hAnsi="Times New Roman" w:cs="Times New Roman"/>
          <w:sz w:val="16"/>
          <w:szCs w:val="16"/>
        </w:rPr>
        <w:t xml:space="preserve">the </w:t>
      </w:r>
      <w:r>
        <w:rPr>
          <w:rFonts w:ascii="Times New Roman" w:hAnsi="Times New Roman" w:cs="Times New Roman"/>
          <w:sz w:val="16"/>
          <w:szCs w:val="16"/>
        </w:rPr>
        <w:t>AHRQ-Inspired Quality Indicators</w:t>
      </w:r>
      <w:r w:rsidR="00AE0A63">
        <w:rPr>
          <w:rFonts w:ascii="Times New Roman" w:hAnsi="Times New Roman" w:cs="Times New Roman"/>
          <w:sz w:val="16"/>
          <w:szCs w:val="16"/>
        </w:rPr>
        <w:t xml:space="preserve"> in Initially Low-Quality Areas</w:t>
      </w:r>
      <w:r>
        <w:rPr>
          <w:rFonts w:ascii="Times New Roman" w:hAnsi="Times New Roman" w:cs="Times New Roman"/>
          <w:sz w:val="16"/>
          <w:szCs w:val="16"/>
        </w:rPr>
        <w:t>: Dynamic</w:t>
      </w:r>
    </w:p>
    <w:p w:rsidR="00BA63F1" w:rsidRDefault="00BA63F1" w:rsidP="00BA63F1">
      <w:pPr>
        <w:jc w:val="center"/>
        <w:rPr>
          <w:rFonts w:ascii="Times New Roman" w:hAnsi="Times New Roman" w:cs="Times New Roman"/>
          <w:sz w:val="24"/>
          <w:szCs w:val="24"/>
        </w:rPr>
      </w:pPr>
      <w:r>
        <w:rPr>
          <w:rFonts w:ascii="Times New Roman" w:hAnsi="Times New Roman" w:cs="Times New Roman"/>
          <w:sz w:val="16"/>
          <w:szCs w:val="16"/>
        </w:rPr>
        <w:t>Difference-in-Difference Regression Results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242"/>
        <w:gridCol w:w="1242"/>
        <w:gridCol w:w="1242"/>
        <w:gridCol w:w="1242"/>
        <w:gridCol w:w="1242"/>
      </w:tblGrid>
      <w:tr w:rsidR="00BA63F1" w:rsidRPr="006542D6" w:rsidTr="00473A5D">
        <w:tc>
          <w:tcPr>
            <w:tcW w:w="1800" w:type="dxa"/>
            <w:tcBorders>
              <w:top w:val="thinThickLargeGap" w:sz="24" w:space="0" w:color="auto"/>
              <w:bottom w:val="single" w:sz="4" w:space="0" w:color="auto"/>
            </w:tcBorders>
          </w:tcPr>
          <w:p w:rsidR="00BA63F1" w:rsidRPr="006542D6" w:rsidRDefault="00BA63F1" w:rsidP="00473A5D">
            <w:pPr>
              <w:jc w:val="center"/>
              <w:rPr>
                <w:rFonts w:ascii="Times New Roman" w:hAnsi="Times New Roman" w:cs="Times New Roman"/>
                <w:smallCaps/>
                <w:sz w:val="16"/>
                <w:szCs w:val="16"/>
              </w:rPr>
            </w:pPr>
          </w:p>
        </w:tc>
        <w:tc>
          <w:tcPr>
            <w:tcW w:w="1242" w:type="dxa"/>
            <w:tcBorders>
              <w:top w:val="thinThickLargeGap" w:sz="24" w:space="0" w:color="auto"/>
              <w:bottom w:val="single" w:sz="4" w:space="0" w:color="auto"/>
            </w:tcBorders>
            <w:vAlign w:val="center"/>
          </w:tcPr>
          <w:p w:rsidR="00BA63F1" w:rsidRPr="006542D6" w:rsidRDefault="00BA63F1" w:rsidP="00473A5D">
            <w:pPr>
              <w:jc w:val="center"/>
              <w:rPr>
                <w:rFonts w:ascii="Times New Roman" w:hAnsi="Times New Roman" w:cs="Times New Roman"/>
                <w:smallCaps/>
                <w:sz w:val="16"/>
                <w:szCs w:val="16"/>
              </w:rPr>
            </w:pPr>
            <w:r w:rsidRPr="006542D6">
              <w:rPr>
                <w:rFonts w:ascii="Times New Roman" w:hAnsi="Times New Roman" w:cs="Times New Roman"/>
                <w:smallCaps/>
                <w:sz w:val="16"/>
                <w:szCs w:val="16"/>
              </w:rPr>
              <w:t>(1)</w:t>
            </w:r>
          </w:p>
        </w:tc>
        <w:tc>
          <w:tcPr>
            <w:tcW w:w="1242" w:type="dxa"/>
            <w:tcBorders>
              <w:top w:val="thinThickLargeGap" w:sz="24" w:space="0" w:color="auto"/>
              <w:bottom w:val="single" w:sz="4" w:space="0" w:color="auto"/>
            </w:tcBorders>
            <w:vAlign w:val="center"/>
          </w:tcPr>
          <w:p w:rsidR="00BA63F1" w:rsidRPr="006542D6" w:rsidRDefault="00BA63F1" w:rsidP="00473A5D">
            <w:pPr>
              <w:jc w:val="center"/>
              <w:rPr>
                <w:rFonts w:ascii="Times New Roman" w:hAnsi="Times New Roman" w:cs="Times New Roman"/>
                <w:smallCaps/>
                <w:sz w:val="16"/>
                <w:szCs w:val="16"/>
              </w:rPr>
            </w:pPr>
            <w:r w:rsidRPr="006542D6">
              <w:rPr>
                <w:rFonts w:ascii="Times New Roman" w:hAnsi="Times New Roman" w:cs="Times New Roman"/>
                <w:smallCaps/>
                <w:sz w:val="16"/>
                <w:szCs w:val="16"/>
              </w:rPr>
              <w:t>(2)</w:t>
            </w:r>
          </w:p>
        </w:tc>
        <w:tc>
          <w:tcPr>
            <w:tcW w:w="1242" w:type="dxa"/>
            <w:tcBorders>
              <w:top w:val="thinThickLargeGap" w:sz="24" w:space="0" w:color="auto"/>
              <w:bottom w:val="single" w:sz="4" w:space="0" w:color="auto"/>
            </w:tcBorders>
            <w:vAlign w:val="center"/>
          </w:tcPr>
          <w:p w:rsidR="00BA63F1" w:rsidRPr="006542D6" w:rsidRDefault="00BA63F1" w:rsidP="00473A5D">
            <w:pPr>
              <w:jc w:val="center"/>
              <w:rPr>
                <w:rFonts w:ascii="Times New Roman" w:hAnsi="Times New Roman" w:cs="Times New Roman"/>
                <w:smallCaps/>
                <w:sz w:val="16"/>
                <w:szCs w:val="16"/>
              </w:rPr>
            </w:pPr>
            <w:r w:rsidRPr="006542D6">
              <w:rPr>
                <w:rFonts w:ascii="Times New Roman" w:hAnsi="Times New Roman" w:cs="Times New Roman"/>
                <w:smallCaps/>
                <w:sz w:val="16"/>
                <w:szCs w:val="16"/>
              </w:rPr>
              <w:t>(3)</w:t>
            </w:r>
          </w:p>
        </w:tc>
        <w:tc>
          <w:tcPr>
            <w:tcW w:w="1242" w:type="dxa"/>
            <w:tcBorders>
              <w:top w:val="thinThickLargeGap" w:sz="24" w:space="0" w:color="auto"/>
              <w:bottom w:val="single" w:sz="4" w:space="0" w:color="auto"/>
            </w:tcBorders>
            <w:vAlign w:val="center"/>
          </w:tcPr>
          <w:p w:rsidR="00BA63F1" w:rsidRPr="006542D6" w:rsidRDefault="00BA63F1" w:rsidP="00473A5D">
            <w:pPr>
              <w:jc w:val="center"/>
              <w:rPr>
                <w:rFonts w:ascii="Times New Roman" w:hAnsi="Times New Roman" w:cs="Times New Roman"/>
                <w:smallCaps/>
                <w:sz w:val="16"/>
                <w:szCs w:val="16"/>
              </w:rPr>
            </w:pPr>
            <w:r w:rsidRPr="006542D6">
              <w:rPr>
                <w:rFonts w:ascii="Times New Roman" w:hAnsi="Times New Roman" w:cs="Times New Roman"/>
                <w:smallCaps/>
                <w:sz w:val="16"/>
                <w:szCs w:val="16"/>
              </w:rPr>
              <w:t>(4)</w:t>
            </w:r>
          </w:p>
        </w:tc>
        <w:tc>
          <w:tcPr>
            <w:tcW w:w="1242" w:type="dxa"/>
            <w:tcBorders>
              <w:top w:val="thinThickLargeGap" w:sz="24" w:space="0" w:color="auto"/>
              <w:bottom w:val="single" w:sz="4" w:space="0" w:color="auto"/>
            </w:tcBorders>
            <w:vAlign w:val="center"/>
          </w:tcPr>
          <w:p w:rsidR="00BA63F1" w:rsidRPr="006542D6" w:rsidRDefault="00BA63F1" w:rsidP="00473A5D">
            <w:pPr>
              <w:jc w:val="center"/>
              <w:rPr>
                <w:rFonts w:ascii="Times New Roman" w:hAnsi="Times New Roman" w:cs="Times New Roman"/>
                <w:smallCaps/>
                <w:sz w:val="16"/>
                <w:szCs w:val="16"/>
              </w:rPr>
            </w:pPr>
            <w:r>
              <w:rPr>
                <w:rFonts w:ascii="Times New Roman" w:hAnsi="Times New Roman" w:cs="Times New Roman"/>
                <w:smallCaps/>
                <w:sz w:val="16"/>
                <w:szCs w:val="16"/>
              </w:rPr>
              <w:t>(5)</w:t>
            </w:r>
          </w:p>
        </w:tc>
      </w:tr>
      <w:tr w:rsidR="00BA63F1" w:rsidRPr="006542D6" w:rsidTr="00473A5D">
        <w:tc>
          <w:tcPr>
            <w:tcW w:w="1800" w:type="dxa"/>
            <w:vAlign w:val="center"/>
          </w:tcPr>
          <w:p w:rsidR="00BA63F1" w:rsidRPr="006542D6" w:rsidRDefault="00BA63F1" w:rsidP="00473A5D">
            <w:pPr>
              <w:spacing w:line="360" w:lineRule="auto"/>
              <w:rPr>
                <w:rFonts w:ascii="Times New Roman" w:hAnsi="Times New Roman" w:cs="Times New Roman"/>
                <w:sz w:val="16"/>
                <w:szCs w:val="16"/>
              </w:rPr>
            </w:pPr>
          </w:p>
        </w:tc>
        <w:tc>
          <w:tcPr>
            <w:tcW w:w="1242" w:type="dxa"/>
            <w:vAlign w:val="center"/>
          </w:tcPr>
          <w:p w:rsidR="00BA63F1" w:rsidRPr="006542D6" w:rsidRDefault="00BA63F1"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Inpatient Mortality Rate</w:t>
            </w:r>
          </w:p>
        </w:tc>
        <w:tc>
          <w:tcPr>
            <w:tcW w:w="1242" w:type="dxa"/>
            <w:vAlign w:val="center"/>
          </w:tcPr>
          <w:p w:rsidR="00BA63F1" w:rsidRPr="006542D6" w:rsidRDefault="00BA63F1"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AH RATE</w:t>
            </w:r>
          </w:p>
        </w:tc>
        <w:tc>
          <w:tcPr>
            <w:tcW w:w="1242" w:type="dxa"/>
            <w:vAlign w:val="center"/>
          </w:tcPr>
          <w:p w:rsidR="00BA63F1" w:rsidRDefault="00BA63F1"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Low-discretion</w:t>
            </w:r>
          </w:p>
          <w:p w:rsidR="00BA63F1" w:rsidRPr="006542D6" w:rsidRDefault="00BA63F1"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AH Rate</w:t>
            </w:r>
          </w:p>
        </w:tc>
        <w:tc>
          <w:tcPr>
            <w:tcW w:w="1242" w:type="dxa"/>
            <w:vAlign w:val="center"/>
          </w:tcPr>
          <w:p w:rsidR="00BA63F1" w:rsidRPr="006542D6" w:rsidRDefault="00BA63F1"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Maternal Trauma Rate</w:t>
            </w:r>
          </w:p>
        </w:tc>
        <w:tc>
          <w:tcPr>
            <w:tcW w:w="1242" w:type="dxa"/>
            <w:vAlign w:val="center"/>
          </w:tcPr>
          <w:p w:rsidR="00BA63F1" w:rsidRPr="006542D6" w:rsidRDefault="00BA63F1"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 xml:space="preserve">Preventable Delivery </w:t>
            </w:r>
            <w:proofErr w:type="spellStart"/>
            <w:r>
              <w:rPr>
                <w:rFonts w:ascii="Times New Roman" w:hAnsi="Times New Roman" w:cs="Times New Roman"/>
                <w:smallCaps/>
                <w:sz w:val="16"/>
                <w:szCs w:val="16"/>
              </w:rPr>
              <w:t>Complica-tions</w:t>
            </w:r>
            <w:proofErr w:type="spellEnd"/>
          </w:p>
        </w:tc>
      </w:tr>
      <w:tr w:rsidR="00BA63F1" w:rsidRPr="006542D6" w:rsidTr="00473A5D">
        <w:tc>
          <w:tcPr>
            <w:tcW w:w="1800" w:type="dxa"/>
            <w:vAlign w:val="center"/>
          </w:tcPr>
          <w:p w:rsidR="00BA63F1" w:rsidRPr="00CE6AA4" w:rsidRDefault="00BA63F1" w:rsidP="00473A5D">
            <w:pPr>
              <w:spacing w:line="360" w:lineRule="auto"/>
              <w:rPr>
                <w:rFonts w:ascii="Times New Roman" w:hAnsi="Times New Roman" w:cs="Times New Roman"/>
                <w:sz w:val="16"/>
                <w:szCs w:val="16"/>
                <w:u w:val="single"/>
              </w:rPr>
            </w:pPr>
            <w:r w:rsidRPr="00CE6AA4">
              <w:rPr>
                <w:rFonts w:ascii="Times New Roman" w:hAnsi="Times New Roman" w:cs="Times New Roman"/>
                <w:sz w:val="16"/>
                <w:szCs w:val="16"/>
                <w:u w:val="single"/>
              </w:rPr>
              <w:t>Non-Economic Damage Cap</w:t>
            </w:r>
          </w:p>
        </w:tc>
        <w:tc>
          <w:tcPr>
            <w:tcW w:w="1242" w:type="dxa"/>
            <w:vAlign w:val="center"/>
          </w:tcPr>
          <w:p w:rsidR="00BA63F1" w:rsidRPr="006542D6" w:rsidRDefault="00BA63F1" w:rsidP="00473A5D">
            <w:pPr>
              <w:spacing w:line="360" w:lineRule="auto"/>
              <w:jc w:val="center"/>
              <w:rPr>
                <w:rFonts w:ascii="Times New Roman" w:hAnsi="Times New Roman" w:cs="Times New Roman"/>
                <w:smallCaps/>
                <w:sz w:val="16"/>
                <w:szCs w:val="16"/>
              </w:rPr>
            </w:pPr>
          </w:p>
        </w:tc>
        <w:tc>
          <w:tcPr>
            <w:tcW w:w="1242" w:type="dxa"/>
            <w:vAlign w:val="center"/>
          </w:tcPr>
          <w:p w:rsidR="00BA63F1" w:rsidRPr="006542D6" w:rsidRDefault="00BA63F1" w:rsidP="00473A5D">
            <w:pPr>
              <w:spacing w:line="360" w:lineRule="auto"/>
              <w:rPr>
                <w:rFonts w:ascii="Times New Roman" w:hAnsi="Times New Roman" w:cs="Times New Roman"/>
                <w:smallCaps/>
                <w:sz w:val="16"/>
                <w:szCs w:val="16"/>
              </w:rPr>
            </w:pPr>
          </w:p>
        </w:tc>
        <w:tc>
          <w:tcPr>
            <w:tcW w:w="1242" w:type="dxa"/>
            <w:vAlign w:val="center"/>
          </w:tcPr>
          <w:p w:rsidR="00BA63F1" w:rsidRPr="006542D6" w:rsidRDefault="00BA63F1" w:rsidP="00473A5D">
            <w:pPr>
              <w:spacing w:line="360" w:lineRule="auto"/>
              <w:jc w:val="center"/>
              <w:rPr>
                <w:rFonts w:ascii="Times New Roman" w:hAnsi="Times New Roman" w:cs="Times New Roman"/>
                <w:smallCaps/>
                <w:sz w:val="16"/>
                <w:szCs w:val="16"/>
              </w:rPr>
            </w:pPr>
          </w:p>
        </w:tc>
        <w:tc>
          <w:tcPr>
            <w:tcW w:w="1242" w:type="dxa"/>
            <w:vAlign w:val="center"/>
          </w:tcPr>
          <w:p w:rsidR="00BA63F1" w:rsidRPr="006542D6" w:rsidRDefault="00BA63F1" w:rsidP="00473A5D">
            <w:pPr>
              <w:spacing w:line="360" w:lineRule="auto"/>
              <w:jc w:val="center"/>
              <w:rPr>
                <w:rFonts w:ascii="Times New Roman" w:hAnsi="Times New Roman" w:cs="Times New Roman"/>
                <w:smallCaps/>
                <w:sz w:val="16"/>
                <w:szCs w:val="16"/>
              </w:rPr>
            </w:pPr>
          </w:p>
        </w:tc>
        <w:tc>
          <w:tcPr>
            <w:tcW w:w="1242" w:type="dxa"/>
            <w:vAlign w:val="center"/>
          </w:tcPr>
          <w:p w:rsidR="00BA63F1" w:rsidRPr="006542D6" w:rsidRDefault="00BA63F1" w:rsidP="00473A5D">
            <w:pPr>
              <w:spacing w:line="360" w:lineRule="auto"/>
              <w:jc w:val="center"/>
              <w:rPr>
                <w:rFonts w:ascii="Times New Roman" w:hAnsi="Times New Roman" w:cs="Times New Roman"/>
                <w:smallCaps/>
                <w:sz w:val="16"/>
                <w:szCs w:val="16"/>
              </w:rPr>
            </w:pPr>
          </w:p>
        </w:tc>
      </w:tr>
      <w:tr w:rsidR="00BA63F1" w:rsidRPr="006542D6" w:rsidTr="00473A5D">
        <w:tc>
          <w:tcPr>
            <w:tcW w:w="1800" w:type="dxa"/>
            <w:vAlign w:val="center"/>
          </w:tcPr>
          <w:p w:rsidR="00BA63F1" w:rsidRPr="006542D6" w:rsidRDefault="00BA63F1" w:rsidP="00473A5D">
            <w:pPr>
              <w:spacing w:line="360" w:lineRule="auto"/>
              <w:rPr>
                <w:rFonts w:ascii="Times New Roman" w:hAnsi="Times New Roman" w:cs="Times New Roman"/>
                <w:sz w:val="16"/>
                <w:szCs w:val="16"/>
              </w:rPr>
            </w:pPr>
            <w:r>
              <w:rPr>
                <w:rFonts w:ascii="Times New Roman" w:hAnsi="Times New Roman" w:cs="Times New Roman"/>
                <w:sz w:val="16"/>
                <w:szCs w:val="16"/>
              </w:rPr>
              <w:t>4-Year Lead Dummy</w:t>
            </w:r>
          </w:p>
        </w:tc>
        <w:tc>
          <w:tcPr>
            <w:tcW w:w="1242" w:type="dxa"/>
            <w:vAlign w:val="center"/>
          </w:tcPr>
          <w:p w:rsidR="001301F4" w:rsidRDefault="001301F4"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 xml:space="preserve">-0.041     </w:t>
            </w:r>
          </w:p>
          <w:p w:rsidR="00BA63F1" w:rsidRPr="006542D6" w:rsidRDefault="001301F4"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(0.122</w:t>
            </w:r>
            <w:r w:rsidRPr="001301F4">
              <w:rPr>
                <w:rFonts w:ascii="Times New Roman" w:hAnsi="Times New Roman" w:cs="Times New Roman"/>
                <w:smallCaps/>
                <w:sz w:val="16"/>
                <w:szCs w:val="16"/>
              </w:rPr>
              <w:t>)</w:t>
            </w:r>
          </w:p>
        </w:tc>
        <w:tc>
          <w:tcPr>
            <w:tcW w:w="1242" w:type="dxa"/>
            <w:vAlign w:val="center"/>
          </w:tcPr>
          <w:p w:rsidR="00BA63F1" w:rsidRPr="006542D6" w:rsidRDefault="001B0D87" w:rsidP="001B0D87">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001301F4" w:rsidRPr="001301F4">
              <w:rPr>
                <w:rFonts w:ascii="Times New Roman" w:hAnsi="Times New Roman" w:cs="Times New Roman"/>
                <w:smallCaps/>
                <w:sz w:val="16"/>
                <w:szCs w:val="16"/>
              </w:rPr>
              <w:t>.075       (</w:t>
            </w:r>
            <w:r>
              <w:rPr>
                <w:rFonts w:ascii="Times New Roman" w:hAnsi="Times New Roman" w:cs="Times New Roman"/>
                <w:smallCaps/>
                <w:sz w:val="16"/>
                <w:szCs w:val="16"/>
              </w:rPr>
              <w:t>0</w:t>
            </w:r>
            <w:r w:rsidR="001301F4" w:rsidRPr="001301F4">
              <w:rPr>
                <w:rFonts w:ascii="Times New Roman" w:hAnsi="Times New Roman" w:cs="Times New Roman"/>
                <w:smallCaps/>
                <w:sz w:val="16"/>
                <w:szCs w:val="16"/>
              </w:rPr>
              <w:t>.086)</w:t>
            </w:r>
          </w:p>
        </w:tc>
        <w:tc>
          <w:tcPr>
            <w:tcW w:w="1242" w:type="dxa"/>
            <w:vAlign w:val="center"/>
          </w:tcPr>
          <w:p w:rsidR="007306DF" w:rsidRDefault="007306DF" w:rsidP="007306DF">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7306DF">
              <w:rPr>
                <w:rFonts w:ascii="Times New Roman" w:hAnsi="Times New Roman" w:cs="Times New Roman"/>
                <w:smallCaps/>
                <w:sz w:val="16"/>
                <w:szCs w:val="16"/>
              </w:rPr>
              <w:t xml:space="preserve">.101      </w:t>
            </w:r>
          </w:p>
          <w:p w:rsidR="00BA63F1" w:rsidRPr="006542D6" w:rsidRDefault="007306DF" w:rsidP="007306DF">
            <w:pPr>
              <w:spacing w:line="360" w:lineRule="auto"/>
              <w:jc w:val="center"/>
              <w:rPr>
                <w:rFonts w:ascii="Times New Roman" w:hAnsi="Times New Roman" w:cs="Times New Roman"/>
                <w:smallCaps/>
                <w:sz w:val="16"/>
                <w:szCs w:val="16"/>
              </w:rPr>
            </w:pPr>
            <w:r w:rsidRPr="007306DF">
              <w:rPr>
                <w:rFonts w:ascii="Times New Roman" w:hAnsi="Times New Roman" w:cs="Times New Roman"/>
                <w:smallCaps/>
                <w:sz w:val="16"/>
                <w:szCs w:val="16"/>
              </w:rPr>
              <w:t>(</w:t>
            </w:r>
            <w:r>
              <w:rPr>
                <w:rFonts w:ascii="Times New Roman" w:hAnsi="Times New Roman" w:cs="Times New Roman"/>
                <w:smallCaps/>
                <w:sz w:val="16"/>
                <w:szCs w:val="16"/>
              </w:rPr>
              <w:t>0</w:t>
            </w:r>
            <w:r w:rsidRPr="007306DF">
              <w:rPr>
                <w:rFonts w:ascii="Times New Roman" w:hAnsi="Times New Roman" w:cs="Times New Roman"/>
                <w:smallCaps/>
                <w:sz w:val="16"/>
                <w:szCs w:val="16"/>
              </w:rPr>
              <w:t>.070)</w:t>
            </w:r>
          </w:p>
        </w:tc>
        <w:tc>
          <w:tcPr>
            <w:tcW w:w="1242" w:type="dxa"/>
            <w:vAlign w:val="center"/>
          </w:tcPr>
          <w:p w:rsidR="00BA63F1" w:rsidRPr="006542D6" w:rsidRDefault="00396738" w:rsidP="00396738">
            <w:pPr>
              <w:spacing w:line="360" w:lineRule="auto"/>
              <w:jc w:val="center"/>
              <w:rPr>
                <w:rFonts w:ascii="Times New Roman" w:hAnsi="Times New Roman" w:cs="Times New Roman"/>
                <w:smallCaps/>
                <w:sz w:val="16"/>
                <w:szCs w:val="16"/>
              </w:rPr>
            </w:pPr>
            <w:r w:rsidRPr="00396738">
              <w:rPr>
                <w:rFonts w:ascii="Times New Roman" w:hAnsi="Times New Roman" w:cs="Times New Roman"/>
                <w:smallCaps/>
                <w:sz w:val="16"/>
                <w:szCs w:val="16"/>
              </w:rPr>
              <w:t>-</w:t>
            </w:r>
            <w:r>
              <w:rPr>
                <w:rFonts w:ascii="Times New Roman" w:hAnsi="Times New Roman" w:cs="Times New Roman"/>
                <w:smallCaps/>
                <w:sz w:val="16"/>
                <w:szCs w:val="16"/>
              </w:rPr>
              <w:t>0</w:t>
            </w:r>
            <w:r w:rsidRPr="00396738">
              <w:rPr>
                <w:rFonts w:ascii="Times New Roman" w:hAnsi="Times New Roman" w:cs="Times New Roman"/>
                <w:smallCaps/>
                <w:sz w:val="16"/>
                <w:szCs w:val="16"/>
              </w:rPr>
              <w:t>.03</w:t>
            </w:r>
            <w:r>
              <w:rPr>
                <w:rFonts w:ascii="Times New Roman" w:hAnsi="Times New Roman" w:cs="Times New Roman"/>
                <w:smallCaps/>
                <w:sz w:val="16"/>
                <w:szCs w:val="16"/>
              </w:rPr>
              <w:t>4</w:t>
            </w:r>
            <w:r w:rsidRPr="00396738">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396738">
              <w:rPr>
                <w:rFonts w:ascii="Times New Roman" w:hAnsi="Times New Roman" w:cs="Times New Roman"/>
                <w:smallCaps/>
                <w:sz w:val="16"/>
                <w:szCs w:val="16"/>
              </w:rPr>
              <w:t>.171)</w:t>
            </w:r>
          </w:p>
        </w:tc>
        <w:tc>
          <w:tcPr>
            <w:tcW w:w="1242" w:type="dxa"/>
            <w:vAlign w:val="center"/>
          </w:tcPr>
          <w:p w:rsidR="0058408C" w:rsidRDefault="0058408C" w:rsidP="0058408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58408C">
              <w:rPr>
                <w:rFonts w:ascii="Times New Roman" w:hAnsi="Times New Roman" w:cs="Times New Roman"/>
                <w:smallCaps/>
                <w:sz w:val="16"/>
                <w:szCs w:val="16"/>
              </w:rPr>
              <w:t xml:space="preserve">.001      </w:t>
            </w:r>
          </w:p>
          <w:p w:rsidR="00BA63F1" w:rsidRPr="006542D6" w:rsidRDefault="0058408C" w:rsidP="0058408C">
            <w:pPr>
              <w:spacing w:line="360" w:lineRule="auto"/>
              <w:jc w:val="center"/>
              <w:rPr>
                <w:rFonts w:ascii="Times New Roman" w:hAnsi="Times New Roman" w:cs="Times New Roman"/>
                <w:smallCaps/>
                <w:sz w:val="16"/>
                <w:szCs w:val="16"/>
              </w:rPr>
            </w:pPr>
            <w:r w:rsidRPr="0058408C">
              <w:rPr>
                <w:rFonts w:ascii="Times New Roman" w:hAnsi="Times New Roman" w:cs="Times New Roman"/>
                <w:smallCaps/>
                <w:sz w:val="16"/>
                <w:szCs w:val="16"/>
              </w:rPr>
              <w:t>(</w:t>
            </w:r>
            <w:r>
              <w:rPr>
                <w:rFonts w:ascii="Times New Roman" w:hAnsi="Times New Roman" w:cs="Times New Roman"/>
                <w:smallCaps/>
                <w:sz w:val="16"/>
                <w:szCs w:val="16"/>
              </w:rPr>
              <w:t>0</w:t>
            </w:r>
            <w:r w:rsidRPr="0058408C">
              <w:rPr>
                <w:rFonts w:ascii="Times New Roman" w:hAnsi="Times New Roman" w:cs="Times New Roman"/>
                <w:smallCaps/>
                <w:sz w:val="16"/>
                <w:szCs w:val="16"/>
              </w:rPr>
              <w:t>.132)</w:t>
            </w:r>
          </w:p>
        </w:tc>
      </w:tr>
      <w:tr w:rsidR="00BA63F1" w:rsidRPr="006542D6" w:rsidTr="00473A5D">
        <w:tc>
          <w:tcPr>
            <w:tcW w:w="1800" w:type="dxa"/>
            <w:vAlign w:val="center"/>
          </w:tcPr>
          <w:p w:rsidR="00BA63F1" w:rsidRPr="006542D6" w:rsidRDefault="00BA63F1" w:rsidP="00473A5D">
            <w:pPr>
              <w:spacing w:line="360" w:lineRule="auto"/>
              <w:rPr>
                <w:rFonts w:ascii="Times New Roman" w:hAnsi="Times New Roman" w:cs="Times New Roman"/>
                <w:sz w:val="16"/>
                <w:szCs w:val="16"/>
              </w:rPr>
            </w:pPr>
            <w:r>
              <w:rPr>
                <w:rFonts w:ascii="Times New Roman" w:hAnsi="Times New Roman" w:cs="Times New Roman"/>
                <w:sz w:val="16"/>
                <w:szCs w:val="16"/>
              </w:rPr>
              <w:t>3-Year Lead Dummy</w:t>
            </w:r>
          </w:p>
        </w:tc>
        <w:tc>
          <w:tcPr>
            <w:tcW w:w="1242" w:type="dxa"/>
            <w:vAlign w:val="center"/>
          </w:tcPr>
          <w:p w:rsidR="00BA63F1" w:rsidRPr="006542D6" w:rsidRDefault="001301F4" w:rsidP="001301F4">
            <w:pPr>
              <w:spacing w:line="360" w:lineRule="auto"/>
              <w:jc w:val="center"/>
              <w:rPr>
                <w:rFonts w:ascii="Times New Roman" w:hAnsi="Times New Roman" w:cs="Times New Roman"/>
                <w:smallCaps/>
                <w:sz w:val="16"/>
                <w:szCs w:val="16"/>
              </w:rPr>
            </w:pPr>
            <w:r w:rsidRPr="001301F4">
              <w:rPr>
                <w:rFonts w:ascii="Times New Roman" w:hAnsi="Times New Roman" w:cs="Times New Roman"/>
                <w:smallCaps/>
                <w:sz w:val="16"/>
                <w:szCs w:val="16"/>
              </w:rPr>
              <w:t>-</w:t>
            </w:r>
            <w:r>
              <w:rPr>
                <w:rFonts w:ascii="Times New Roman" w:hAnsi="Times New Roman" w:cs="Times New Roman"/>
                <w:smallCaps/>
                <w:sz w:val="16"/>
                <w:szCs w:val="16"/>
              </w:rPr>
              <w:t>0</w:t>
            </w:r>
            <w:r w:rsidRPr="001301F4">
              <w:rPr>
                <w:rFonts w:ascii="Times New Roman" w:hAnsi="Times New Roman" w:cs="Times New Roman"/>
                <w:smallCaps/>
                <w:sz w:val="16"/>
                <w:szCs w:val="16"/>
              </w:rPr>
              <w:t>.13</w:t>
            </w:r>
            <w:r>
              <w:rPr>
                <w:rFonts w:ascii="Times New Roman" w:hAnsi="Times New Roman" w:cs="Times New Roman"/>
                <w:smallCaps/>
                <w:sz w:val="16"/>
                <w:szCs w:val="16"/>
              </w:rPr>
              <w:t>9</w:t>
            </w:r>
            <w:r w:rsidRPr="001301F4">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1301F4">
              <w:rPr>
                <w:rFonts w:ascii="Times New Roman" w:hAnsi="Times New Roman" w:cs="Times New Roman"/>
                <w:smallCaps/>
                <w:sz w:val="16"/>
                <w:szCs w:val="16"/>
              </w:rPr>
              <w:t>.08</w:t>
            </w:r>
            <w:r>
              <w:rPr>
                <w:rFonts w:ascii="Times New Roman" w:hAnsi="Times New Roman" w:cs="Times New Roman"/>
                <w:smallCaps/>
                <w:sz w:val="16"/>
                <w:szCs w:val="16"/>
              </w:rPr>
              <w:t>1</w:t>
            </w:r>
            <w:r w:rsidRPr="001301F4">
              <w:rPr>
                <w:rFonts w:ascii="Times New Roman" w:hAnsi="Times New Roman" w:cs="Times New Roman"/>
                <w:smallCaps/>
                <w:sz w:val="16"/>
                <w:szCs w:val="16"/>
              </w:rPr>
              <w:t>)</w:t>
            </w:r>
          </w:p>
        </w:tc>
        <w:tc>
          <w:tcPr>
            <w:tcW w:w="1242" w:type="dxa"/>
            <w:vAlign w:val="center"/>
          </w:tcPr>
          <w:p w:rsidR="001B0D87" w:rsidRDefault="001B0D87" w:rsidP="001B0D87">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001301F4" w:rsidRPr="001301F4">
              <w:rPr>
                <w:rFonts w:ascii="Times New Roman" w:hAnsi="Times New Roman" w:cs="Times New Roman"/>
                <w:smallCaps/>
                <w:sz w:val="16"/>
                <w:szCs w:val="16"/>
              </w:rPr>
              <w:t xml:space="preserve">.029      </w:t>
            </w:r>
          </w:p>
          <w:p w:rsidR="00BA63F1" w:rsidRPr="006542D6" w:rsidRDefault="001301F4" w:rsidP="001B0D87">
            <w:pPr>
              <w:spacing w:line="360" w:lineRule="auto"/>
              <w:jc w:val="center"/>
              <w:rPr>
                <w:rFonts w:ascii="Times New Roman" w:hAnsi="Times New Roman" w:cs="Times New Roman"/>
                <w:smallCaps/>
                <w:sz w:val="16"/>
                <w:szCs w:val="16"/>
              </w:rPr>
            </w:pPr>
            <w:r w:rsidRPr="001301F4">
              <w:rPr>
                <w:rFonts w:ascii="Times New Roman" w:hAnsi="Times New Roman" w:cs="Times New Roman"/>
                <w:smallCaps/>
                <w:sz w:val="16"/>
                <w:szCs w:val="16"/>
              </w:rPr>
              <w:t>(</w:t>
            </w:r>
            <w:r w:rsidR="001B0D87">
              <w:rPr>
                <w:rFonts w:ascii="Times New Roman" w:hAnsi="Times New Roman" w:cs="Times New Roman"/>
                <w:smallCaps/>
                <w:sz w:val="16"/>
                <w:szCs w:val="16"/>
              </w:rPr>
              <w:t>0</w:t>
            </w:r>
            <w:r w:rsidRPr="001301F4">
              <w:rPr>
                <w:rFonts w:ascii="Times New Roman" w:hAnsi="Times New Roman" w:cs="Times New Roman"/>
                <w:smallCaps/>
                <w:sz w:val="16"/>
                <w:szCs w:val="16"/>
              </w:rPr>
              <w:t>.136)</w:t>
            </w:r>
          </w:p>
        </w:tc>
        <w:tc>
          <w:tcPr>
            <w:tcW w:w="1242" w:type="dxa"/>
            <w:vAlign w:val="center"/>
          </w:tcPr>
          <w:p w:rsidR="007306DF" w:rsidRDefault="007306DF" w:rsidP="007306DF">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7306DF">
              <w:rPr>
                <w:rFonts w:ascii="Times New Roman" w:hAnsi="Times New Roman" w:cs="Times New Roman"/>
                <w:smallCaps/>
                <w:sz w:val="16"/>
                <w:szCs w:val="16"/>
              </w:rPr>
              <w:t xml:space="preserve">.082      </w:t>
            </w:r>
          </w:p>
          <w:p w:rsidR="00BA63F1" w:rsidRPr="006542D6" w:rsidRDefault="007306DF" w:rsidP="007306DF">
            <w:pPr>
              <w:spacing w:line="360" w:lineRule="auto"/>
              <w:jc w:val="center"/>
              <w:rPr>
                <w:rFonts w:ascii="Times New Roman" w:hAnsi="Times New Roman" w:cs="Times New Roman"/>
                <w:smallCaps/>
                <w:sz w:val="16"/>
                <w:szCs w:val="16"/>
              </w:rPr>
            </w:pPr>
            <w:r w:rsidRPr="007306DF">
              <w:rPr>
                <w:rFonts w:ascii="Times New Roman" w:hAnsi="Times New Roman" w:cs="Times New Roman"/>
                <w:smallCaps/>
                <w:sz w:val="16"/>
                <w:szCs w:val="16"/>
              </w:rPr>
              <w:t>(</w:t>
            </w:r>
            <w:r>
              <w:rPr>
                <w:rFonts w:ascii="Times New Roman" w:hAnsi="Times New Roman" w:cs="Times New Roman"/>
                <w:smallCaps/>
                <w:sz w:val="16"/>
                <w:szCs w:val="16"/>
              </w:rPr>
              <w:t>0</w:t>
            </w:r>
            <w:r w:rsidRPr="007306DF">
              <w:rPr>
                <w:rFonts w:ascii="Times New Roman" w:hAnsi="Times New Roman" w:cs="Times New Roman"/>
                <w:smallCaps/>
                <w:sz w:val="16"/>
                <w:szCs w:val="16"/>
              </w:rPr>
              <w:t>.16</w:t>
            </w:r>
            <w:r>
              <w:rPr>
                <w:rFonts w:ascii="Times New Roman" w:hAnsi="Times New Roman" w:cs="Times New Roman"/>
                <w:smallCaps/>
                <w:sz w:val="16"/>
                <w:szCs w:val="16"/>
              </w:rPr>
              <w:t>9</w:t>
            </w:r>
            <w:r w:rsidRPr="007306DF">
              <w:rPr>
                <w:rFonts w:ascii="Times New Roman" w:hAnsi="Times New Roman" w:cs="Times New Roman"/>
                <w:smallCaps/>
                <w:sz w:val="16"/>
                <w:szCs w:val="16"/>
              </w:rPr>
              <w:t>)</w:t>
            </w:r>
          </w:p>
        </w:tc>
        <w:tc>
          <w:tcPr>
            <w:tcW w:w="1242" w:type="dxa"/>
            <w:vAlign w:val="center"/>
          </w:tcPr>
          <w:p w:rsidR="00BA63F1" w:rsidRPr="00D71ED9" w:rsidRDefault="00396738" w:rsidP="00396738">
            <w:pPr>
              <w:spacing w:line="360" w:lineRule="auto"/>
              <w:jc w:val="center"/>
              <w:rPr>
                <w:rFonts w:ascii="Times New Roman" w:hAnsi="Times New Roman" w:cs="Times New Roman"/>
                <w:smallCaps/>
                <w:sz w:val="16"/>
                <w:szCs w:val="16"/>
              </w:rPr>
            </w:pPr>
            <w:r w:rsidRPr="00396738">
              <w:rPr>
                <w:rFonts w:ascii="Times New Roman" w:hAnsi="Times New Roman" w:cs="Times New Roman"/>
                <w:smallCaps/>
                <w:sz w:val="16"/>
                <w:szCs w:val="16"/>
              </w:rPr>
              <w:t>-</w:t>
            </w:r>
            <w:r>
              <w:rPr>
                <w:rFonts w:ascii="Times New Roman" w:hAnsi="Times New Roman" w:cs="Times New Roman"/>
                <w:smallCaps/>
                <w:sz w:val="16"/>
                <w:szCs w:val="16"/>
              </w:rPr>
              <w:t>0</w:t>
            </w:r>
            <w:r w:rsidRPr="00396738">
              <w:rPr>
                <w:rFonts w:ascii="Times New Roman" w:hAnsi="Times New Roman" w:cs="Times New Roman"/>
                <w:smallCaps/>
                <w:sz w:val="16"/>
                <w:szCs w:val="16"/>
              </w:rPr>
              <w:t>.14</w:t>
            </w:r>
            <w:r>
              <w:rPr>
                <w:rFonts w:ascii="Times New Roman" w:hAnsi="Times New Roman" w:cs="Times New Roman"/>
                <w:smallCaps/>
                <w:sz w:val="16"/>
                <w:szCs w:val="16"/>
              </w:rPr>
              <w:t>3</w:t>
            </w:r>
            <w:r w:rsidRPr="00396738">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396738">
              <w:rPr>
                <w:rFonts w:ascii="Times New Roman" w:hAnsi="Times New Roman" w:cs="Times New Roman"/>
                <w:smallCaps/>
                <w:sz w:val="16"/>
                <w:szCs w:val="16"/>
              </w:rPr>
              <w:t>.299)</w:t>
            </w:r>
          </w:p>
        </w:tc>
        <w:tc>
          <w:tcPr>
            <w:tcW w:w="1242" w:type="dxa"/>
            <w:vAlign w:val="center"/>
          </w:tcPr>
          <w:p w:rsidR="00BA63F1" w:rsidRPr="006542D6" w:rsidRDefault="0058408C" w:rsidP="0058408C">
            <w:pPr>
              <w:spacing w:line="360" w:lineRule="auto"/>
              <w:jc w:val="center"/>
              <w:rPr>
                <w:rFonts w:ascii="Times New Roman" w:hAnsi="Times New Roman" w:cs="Times New Roman"/>
                <w:smallCaps/>
                <w:sz w:val="16"/>
                <w:szCs w:val="16"/>
              </w:rPr>
            </w:pPr>
            <w:r w:rsidRPr="0058408C">
              <w:rPr>
                <w:rFonts w:ascii="Times New Roman" w:hAnsi="Times New Roman" w:cs="Times New Roman"/>
                <w:smallCaps/>
                <w:sz w:val="16"/>
                <w:szCs w:val="16"/>
              </w:rPr>
              <w:t>-</w:t>
            </w:r>
            <w:r>
              <w:rPr>
                <w:rFonts w:ascii="Times New Roman" w:hAnsi="Times New Roman" w:cs="Times New Roman"/>
                <w:smallCaps/>
                <w:sz w:val="16"/>
                <w:szCs w:val="16"/>
              </w:rPr>
              <w:t>0</w:t>
            </w:r>
            <w:r w:rsidRPr="0058408C">
              <w:rPr>
                <w:rFonts w:ascii="Times New Roman" w:hAnsi="Times New Roman" w:cs="Times New Roman"/>
                <w:smallCaps/>
                <w:sz w:val="16"/>
                <w:szCs w:val="16"/>
              </w:rPr>
              <w:t>.05</w:t>
            </w:r>
            <w:r>
              <w:rPr>
                <w:rFonts w:ascii="Times New Roman" w:hAnsi="Times New Roman" w:cs="Times New Roman"/>
                <w:smallCaps/>
                <w:sz w:val="16"/>
                <w:szCs w:val="16"/>
              </w:rPr>
              <w:t>1</w:t>
            </w:r>
            <w:r w:rsidRPr="0058408C">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58408C">
              <w:rPr>
                <w:rFonts w:ascii="Times New Roman" w:hAnsi="Times New Roman" w:cs="Times New Roman"/>
                <w:smallCaps/>
                <w:sz w:val="16"/>
                <w:szCs w:val="16"/>
              </w:rPr>
              <w:t>.081)</w:t>
            </w:r>
          </w:p>
        </w:tc>
      </w:tr>
      <w:tr w:rsidR="00BA63F1" w:rsidRPr="006542D6" w:rsidTr="00473A5D">
        <w:tc>
          <w:tcPr>
            <w:tcW w:w="1800" w:type="dxa"/>
            <w:vAlign w:val="center"/>
          </w:tcPr>
          <w:p w:rsidR="00BA63F1" w:rsidRPr="006542D6" w:rsidRDefault="00BA63F1" w:rsidP="00473A5D">
            <w:pPr>
              <w:spacing w:line="360" w:lineRule="auto"/>
              <w:rPr>
                <w:rFonts w:ascii="Times New Roman" w:hAnsi="Times New Roman" w:cs="Times New Roman"/>
                <w:sz w:val="16"/>
                <w:szCs w:val="16"/>
              </w:rPr>
            </w:pPr>
            <w:r>
              <w:rPr>
                <w:rFonts w:ascii="Times New Roman" w:hAnsi="Times New Roman" w:cs="Times New Roman"/>
                <w:sz w:val="16"/>
                <w:szCs w:val="16"/>
              </w:rPr>
              <w:t>2-Year Lead Dummy</w:t>
            </w:r>
          </w:p>
        </w:tc>
        <w:tc>
          <w:tcPr>
            <w:tcW w:w="1242" w:type="dxa"/>
            <w:vAlign w:val="center"/>
          </w:tcPr>
          <w:p w:rsidR="00BA63F1" w:rsidRPr="006542D6" w:rsidRDefault="001301F4" w:rsidP="001301F4">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1301F4">
              <w:rPr>
                <w:rFonts w:ascii="Times New Roman" w:hAnsi="Times New Roman" w:cs="Times New Roman"/>
                <w:smallCaps/>
                <w:sz w:val="16"/>
                <w:szCs w:val="16"/>
              </w:rPr>
              <w:t>.095        (</w:t>
            </w:r>
            <w:r>
              <w:rPr>
                <w:rFonts w:ascii="Times New Roman" w:hAnsi="Times New Roman" w:cs="Times New Roman"/>
                <w:smallCaps/>
                <w:sz w:val="16"/>
                <w:szCs w:val="16"/>
              </w:rPr>
              <w:t>0</w:t>
            </w:r>
            <w:r w:rsidRPr="001301F4">
              <w:rPr>
                <w:rFonts w:ascii="Times New Roman" w:hAnsi="Times New Roman" w:cs="Times New Roman"/>
                <w:smallCaps/>
                <w:sz w:val="16"/>
                <w:szCs w:val="16"/>
              </w:rPr>
              <w:t>.09</w:t>
            </w:r>
            <w:r>
              <w:rPr>
                <w:rFonts w:ascii="Times New Roman" w:hAnsi="Times New Roman" w:cs="Times New Roman"/>
                <w:smallCaps/>
                <w:sz w:val="16"/>
                <w:szCs w:val="16"/>
              </w:rPr>
              <w:t>1</w:t>
            </w:r>
            <w:r w:rsidRPr="001301F4">
              <w:rPr>
                <w:rFonts w:ascii="Times New Roman" w:hAnsi="Times New Roman" w:cs="Times New Roman"/>
                <w:smallCaps/>
                <w:sz w:val="16"/>
                <w:szCs w:val="16"/>
              </w:rPr>
              <w:t>)</w:t>
            </w:r>
          </w:p>
        </w:tc>
        <w:tc>
          <w:tcPr>
            <w:tcW w:w="1242" w:type="dxa"/>
            <w:vAlign w:val="center"/>
          </w:tcPr>
          <w:p w:rsidR="00BA63F1" w:rsidRPr="006542D6" w:rsidRDefault="001301F4" w:rsidP="001B0D87">
            <w:pPr>
              <w:spacing w:line="360" w:lineRule="auto"/>
              <w:jc w:val="center"/>
              <w:rPr>
                <w:rFonts w:ascii="Times New Roman" w:hAnsi="Times New Roman" w:cs="Times New Roman"/>
                <w:smallCaps/>
                <w:sz w:val="16"/>
                <w:szCs w:val="16"/>
              </w:rPr>
            </w:pPr>
            <w:r w:rsidRPr="001301F4">
              <w:rPr>
                <w:rFonts w:ascii="Times New Roman" w:hAnsi="Times New Roman" w:cs="Times New Roman"/>
                <w:smallCaps/>
                <w:sz w:val="16"/>
                <w:szCs w:val="16"/>
              </w:rPr>
              <w:t>-</w:t>
            </w:r>
            <w:r w:rsidR="001B0D87">
              <w:rPr>
                <w:rFonts w:ascii="Times New Roman" w:hAnsi="Times New Roman" w:cs="Times New Roman"/>
                <w:smallCaps/>
                <w:sz w:val="16"/>
                <w:szCs w:val="16"/>
              </w:rPr>
              <w:t>0</w:t>
            </w:r>
            <w:r w:rsidRPr="001301F4">
              <w:rPr>
                <w:rFonts w:ascii="Times New Roman" w:hAnsi="Times New Roman" w:cs="Times New Roman"/>
                <w:smallCaps/>
                <w:sz w:val="16"/>
                <w:szCs w:val="16"/>
              </w:rPr>
              <w:t>.00</w:t>
            </w:r>
            <w:r w:rsidR="001B0D87">
              <w:rPr>
                <w:rFonts w:ascii="Times New Roman" w:hAnsi="Times New Roman" w:cs="Times New Roman"/>
                <w:smallCaps/>
                <w:sz w:val="16"/>
                <w:szCs w:val="16"/>
              </w:rPr>
              <w:t>4</w:t>
            </w:r>
            <w:r w:rsidRPr="001301F4">
              <w:rPr>
                <w:rFonts w:ascii="Times New Roman" w:hAnsi="Times New Roman" w:cs="Times New Roman"/>
                <w:smallCaps/>
                <w:sz w:val="16"/>
                <w:szCs w:val="16"/>
              </w:rPr>
              <w:t xml:space="preserve">      (</w:t>
            </w:r>
            <w:r w:rsidR="001B0D87">
              <w:rPr>
                <w:rFonts w:ascii="Times New Roman" w:hAnsi="Times New Roman" w:cs="Times New Roman"/>
                <w:smallCaps/>
                <w:sz w:val="16"/>
                <w:szCs w:val="16"/>
              </w:rPr>
              <w:t>0</w:t>
            </w:r>
            <w:r w:rsidRPr="001301F4">
              <w:rPr>
                <w:rFonts w:ascii="Times New Roman" w:hAnsi="Times New Roman" w:cs="Times New Roman"/>
                <w:smallCaps/>
                <w:sz w:val="16"/>
                <w:szCs w:val="16"/>
              </w:rPr>
              <w:t>.074)</w:t>
            </w:r>
          </w:p>
        </w:tc>
        <w:tc>
          <w:tcPr>
            <w:tcW w:w="1242" w:type="dxa"/>
            <w:vAlign w:val="center"/>
          </w:tcPr>
          <w:p w:rsidR="007306DF" w:rsidRDefault="007306DF" w:rsidP="007306DF">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7306DF">
              <w:rPr>
                <w:rFonts w:ascii="Times New Roman" w:hAnsi="Times New Roman" w:cs="Times New Roman"/>
                <w:smallCaps/>
                <w:sz w:val="16"/>
                <w:szCs w:val="16"/>
              </w:rPr>
              <w:t>.02</w:t>
            </w:r>
            <w:r>
              <w:rPr>
                <w:rFonts w:ascii="Times New Roman" w:hAnsi="Times New Roman" w:cs="Times New Roman"/>
                <w:smallCaps/>
                <w:sz w:val="16"/>
                <w:szCs w:val="16"/>
              </w:rPr>
              <w:t>5</w:t>
            </w:r>
          </w:p>
          <w:p w:rsidR="00BA63F1" w:rsidRPr="006542D6" w:rsidRDefault="007306DF" w:rsidP="007306DF">
            <w:pPr>
              <w:spacing w:line="360" w:lineRule="auto"/>
              <w:jc w:val="center"/>
              <w:rPr>
                <w:rFonts w:ascii="Times New Roman" w:hAnsi="Times New Roman" w:cs="Times New Roman"/>
                <w:smallCaps/>
                <w:sz w:val="16"/>
                <w:szCs w:val="16"/>
              </w:rPr>
            </w:pPr>
            <w:r w:rsidRPr="007306DF">
              <w:rPr>
                <w:rFonts w:ascii="Times New Roman" w:hAnsi="Times New Roman" w:cs="Times New Roman"/>
                <w:smallCaps/>
                <w:sz w:val="16"/>
                <w:szCs w:val="16"/>
              </w:rPr>
              <w:t>(</w:t>
            </w:r>
            <w:r>
              <w:rPr>
                <w:rFonts w:ascii="Times New Roman" w:hAnsi="Times New Roman" w:cs="Times New Roman"/>
                <w:smallCaps/>
                <w:sz w:val="16"/>
                <w:szCs w:val="16"/>
              </w:rPr>
              <w:t>0</w:t>
            </w:r>
            <w:r w:rsidRPr="007306DF">
              <w:rPr>
                <w:rFonts w:ascii="Times New Roman" w:hAnsi="Times New Roman" w:cs="Times New Roman"/>
                <w:smallCaps/>
                <w:sz w:val="16"/>
                <w:szCs w:val="16"/>
              </w:rPr>
              <w:t>.08</w:t>
            </w:r>
            <w:r>
              <w:rPr>
                <w:rFonts w:ascii="Times New Roman" w:hAnsi="Times New Roman" w:cs="Times New Roman"/>
                <w:smallCaps/>
                <w:sz w:val="16"/>
                <w:szCs w:val="16"/>
              </w:rPr>
              <w:t>2</w:t>
            </w:r>
            <w:r w:rsidRPr="007306DF">
              <w:rPr>
                <w:rFonts w:ascii="Times New Roman" w:hAnsi="Times New Roman" w:cs="Times New Roman"/>
                <w:smallCaps/>
                <w:sz w:val="16"/>
                <w:szCs w:val="16"/>
              </w:rPr>
              <w:t>)</w:t>
            </w:r>
          </w:p>
        </w:tc>
        <w:tc>
          <w:tcPr>
            <w:tcW w:w="1242" w:type="dxa"/>
            <w:vAlign w:val="center"/>
          </w:tcPr>
          <w:p w:rsidR="00396738" w:rsidRDefault="00396738" w:rsidP="00396738">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396738">
              <w:rPr>
                <w:rFonts w:ascii="Times New Roman" w:hAnsi="Times New Roman" w:cs="Times New Roman"/>
                <w:smallCaps/>
                <w:sz w:val="16"/>
                <w:szCs w:val="16"/>
              </w:rPr>
              <w:t>.13</w:t>
            </w:r>
            <w:r>
              <w:rPr>
                <w:rFonts w:ascii="Times New Roman" w:hAnsi="Times New Roman" w:cs="Times New Roman"/>
                <w:smallCaps/>
                <w:sz w:val="16"/>
                <w:szCs w:val="16"/>
              </w:rPr>
              <w:t>4</w:t>
            </w:r>
            <w:r w:rsidRPr="00396738">
              <w:rPr>
                <w:rFonts w:ascii="Times New Roman" w:hAnsi="Times New Roman" w:cs="Times New Roman"/>
                <w:smallCaps/>
                <w:sz w:val="16"/>
                <w:szCs w:val="16"/>
              </w:rPr>
              <w:t xml:space="preserve">     </w:t>
            </w:r>
          </w:p>
          <w:p w:rsidR="00BA63F1" w:rsidRPr="006542D6" w:rsidRDefault="00396738" w:rsidP="00396738">
            <w:pPr>
              <w:spacing w:line="360" w:lineRule="auto"/>
              <w:jc w:val="center"/>
              <w:rPr>
                <w:rFonts w:ascii="Times New Roman" w:hAnsi="Times New Roman" w:cs="Times New Roman"/>
                <w:smallCaps/>
                <w:sz w:val="16"/>
                <w:szCs w:val="16"/>
              </w:rPr>
            </w:pPr>
            <w:r w:rsidRPr="00396738">
              <w:rPr>
                <w:rFonts w:ascii="Times New Roman" w:hAnsi="Times New Roman" w:cs="Times New Roman"/>
                <w:smallCaps/>
                <w:sz w:val="16"/>
                <w:szCs w:val="16"/>
              </w:rPr>
              <w:t>(</w:t>
            </w:r>
            <w:r>
              <w:rPr>
                <w:rFonts w:ascii="Times New Roman" w:hAnsi="Times New Roman" w:cs="Times New Roman"/>
                <w:smallCaps/>
                <w:sz w:val="16"/>
                <w:szCs w:val="16"/>
              </w:rPr>
              <w:t>0</w:t>
            </w:r>
            <w:r w:rsidRPr="00396738">
              <w:rPr>
                <w:rFonts w:ascii="Times New Roman" w:hAnsi="Times New Roman" w:cs="Times New Roman"/>
                <w:smallCaps/>
                <w:sz w:val="16"/>
                <w:szCs w:val="16"/>
              </w:rPr>
              <w:t>.255)</w:t>
            </w:r>
          </w:p>
        </w:tc>
        <w:tc>
          <w:tcPr>
            <w:tcW w:w="1242" w:type="dxa"/>
            <w:vAlign w:val="center"/>
          </w:tcPr>
          <w:p w:rsidR="00BA63F1" w:rsidRPr="006542D6" w:rsidRDefault="0058408C" w:rsidP="0058408C">
            <w:pPr>
              <w:spacing w:line="360" w:lineRule="auto"/>
              <w:jc w:val="center"/>
              <w:rPr>
                <w:rFonts w:ascii="Times New Roman" w:hAnsi="Times New Roman" w:cs="Times New Roman"/>
                <w:smallCaps/>
                <w:sz w:val="16"/>
                <w:szCs w:val="16"/>
              </w:rPr>
            </w:pPr>
            <w:r w:rsidRPr="0058408C">
              <w:rPr>
                <w:rFonts w:ascii="Times New Roman" w:hAnsi="Times New Roman" w:cs="Times New Roman"/>
                <w:smallCaps/>
                <w:sz w:val="16"/>
                <w:szCs w:val="16"/>
              </w:rPr>
              <w:t>-</w:t>
            </w:r>
            <w:r>
              <w:rPr>
                <w:rFonts w:ascii="Times New Roman" w:hAnsi="Times New Roman" w:cs="Times New Roman"/>
                <w:smallCaps/>
                <w:sz w:val="16"/>
                <w:szCs w:val="16"/>
              </w:rPr>
              <w:t>0</w:t>
            </w:r>
            <w:r w:rsidRPr="0058408C">
              <w:rPr>
                <w:rFonts w:ascii="Times New Roman" w:hAnsi="Times New Roman" w:cs="Times New Roman"/>
                <w:smallCaps/>
                <w:sz w:val="16"/>
                <w:szCs w:val="16"/>
              </w:rPr>
              <w:t>.135</w:t>
            </w:r>
            <w:r>
              <w:rPr>
                <w:rFonts w:ascii="Times New Roman" w:hAnsi="Times New Roman" w:cs="Times New Roman"/>
                <w:smallCaps/>
                <w:sz w:val="16"/>
                <w:szCs w:val="16"/>
              </w:rPr>
              <w:t>*</w:t>
            </w:r>
            <w:r w:rsidRPr="0058408C">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58408C">
              <w:rPr>
                <w:rFonts w:ascii="Times New Roman" w:hAnsi="Times New Roman" w:cs="Times New Roman"/>
                <w:smallCaps/>
                <w:sz w:val="16"/>
                <w:szCs w:val="16"/>
              </w:rPr>
              <w:t>.06</w:t>
            </w:r>
            <w:r>
              <w:rPr>
                <w:rFonts w:ascii="Times New Roman" w:hAnsi="Times New Roman" w:cs="Times New Roman"/>
                <w:smallCaps/>
                <w:sz w:val="16"/>
                <w:szCs w:val="16"/>
              </w:rPr>
              <w:t>7</w:t>
            </w:r>
            <w:r w:rsidRPr="0058408C">
              <w:rPr>
                <w:rFonts w:ascii="Times New Roman" w:hAnsi="Times New Roman" w:cs="Times New Roman"/>
                <w:smallCaps/>
                <w:sz w:val="16"/>
                <w:szCs w:val="16"/>
              </w:rPr>
              <w:t>)</w:t>
            </w:r>
          </w:p>
        </w:tc>
      </w:tr>
      <w:tr w:rsidR="00BA63F1" w:rsidRPr="006542D6" w:rsidTr="00473A5D">
        <w:tc>
          <w:tcPr>
            <w:tcW w:w="1800" w:type="dxa"/>
            <w:vAlign w:val="center"/>
          </w:tcPr>
          <w:p w:rsidR="00BA63F1" w:rsidRPr="006542D6" w:rsidRDefault="00BA63F1" w:rsidP="00473A5D">
            <w:pPr>
              <w:spacing w:line="360" w:lineRule="auto"/>
              <w:rPr>
                <w:rFonts w:ascii="Times New Roman" w:hAnsi="Times New Roman" w:cs="Times New Roman"/>
                <w:sz w:val="16"/>
                <w:szCs w:val="16"/>
              </w:rPr>
            </w:pPr>
            <w:r>
              <w:rPr>
                <w:rFonts w:ascii="Times New Roman" w:hAnsi="Times New Roman" w:cs="Times New Roman"/>
                <w:sz w:val="16"/>
                <w:szCs w:val="16"/>
              </w:rPr>
              <w:t>1-Year Lead Dummy</w:t>
            </w:r>
          </w:p>
        </w:tc>
        <w:tc>
          <w:tcPr>
            <w:tcW w:w="1242" w:type="dxa"/>
            <w:vAlign w:val="center"/>
          </w:tcPr>
          <w:p w:rsidR="001301F4" w:rsidRDefault="001301F4" w:rsidP="001301F4">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1301F4">
              <w:rPr>
                <w:rFonts w:ascii="Times New Roman" w:hAnsi="Times New Roman" w:cs="Times New Roman"/>
                <w:smallCaps/>
                <w:sz w:val="16"/>
                <w:szCs w:val="16"/>
              </w:rPr>
              <w:t xml:space="preserve">.120      </w:t>
            </w:r>
          </w:p>
          <w:p w:rsidR="00BA63F1" w:rsidRPr="006542D6" w:rsidRDefault="001301F4" w:rsidP="001301F4">
            <w:pPr>
              <w:spacing w:line="360" w:lineRule="auto"/>
              <w:jc w:val="center"/>
              <w:rPr>
                <w:rFonts w:ascii="Times New Roman" w:hAnsi="Times New Roman" w:cs="Times New Roman"/>
                <w:smallCaps/>
                <w:sz w:val="16"/>
                <w:szCs w:val="16"/>
              </w:rPr>
            </w:pPr>
            <w:r w:rsidRPr="001301F4">
              <w:rPr>
                <w:rFonts w:ascii="Times New Roman" w:hAnsi="Times New Roman" w:cs="Times New Roman"/>
                <w:smallCaps/>
                <w:sz w:val="16"/>
                <w:szCs w:val="16"/>
              </w:rPr>
              <w:t>(</w:t>
            </w:r>
            <w:r>
              <w:rPr>
                <w:rFonts w:ascii="Times New Roman" w:hAnsi="Times New Roman" w:cs="Times New Roman"/>
                <w:smallCaps/>
                <w:sz w:val="16"/>
                <w:szCs w:val="16"/>
              </w:rPr>
              <w:t>0</w:t>
            </w:r>
            <w:r w:rsidRPr="001301F4">
              <w:rPr>
                <w:rFonts w:ascii="Times New Roman" w:hAnsi="Times New Roman" w:cs="Times New Roman"/>
                <w:smallCaps/>
                <w:sz w:val="16"/>
                <w:szCs w:val="16"/>
              </w:rPr>
              <w:t>.13</w:t>
            </w:r>
            <w:r>
              <w:rPr>
                <w:rFonts w:ascii="Times New Roman" w:hAnsi="Times New Roman" w:cs="Times New Roman"/>
                <w:smallCaps/>
                <w:sz w:val="16"/>
                <w:szCs w:val="16"/>
              </w:rPr>
              <w:t>4</w:t>
            </w:r>
            <w:r w:rsidRPr="001301F4">
              <w:rPr>
                <w:rFonts w:ascii="Times New Roman" w:hAnsi="Times New Roman" w:cs="Times New Roman"/>
                <w:smallCaps/>
                <w:sz w:val="16"/>
                <w:szCs w:val="16"/>
              </w:rPr>
              <w:t>)</w:t>
            </w:r>
          </w:p>
        </w:tc>
        <w:tc>
          <w:tcPr>
            <w:tcW w:w="1242" w:type="dxa"/>
            <w:vAlign w:val="center"/>
          </w:tcPr>
          <w:p w:rsidR="00BA63F1" w:rsidRPr="006542D6" w:rsidRDefault="001301F4" w:rsidP="001B0D87">
            <w:pPr>
              <w:spacing w:line="360" w:lineRule="auto"/>
              <w:jc w:val="center"/>
              <w:rPr>
                <w:rFonts w:ascii="Times New Roman" w:hAnsi="Times New Roman" w:cs="Times New Roman"/>
                <w:smallCaps/>
                <w:sz w:val="16"/>
                <w:szCs w:val="16"/>
              </w:rPr>
            </w:pPr>
            <w:r w:rsidRPr="001301F4">
              <w:rPr>
                <w:rFonts w:ascii="Times New Roman" w:hAnsi="Times New Roman" w:cs="Times New Roman"/>
                <w:smallCaps/>
                <w:sz w:val="16"/>
                <w:szCs w:val="16"/>
              </w:rPr>
              <w:t>-</w:t>
            </w:r>
            <w:r w:rsidR="001B0D87">
              <w:rPr>
                <w:rFonts w:ascii="Times New Roman" w:hAnsi="Times New Roman" w:cs="Times New Roman"/>
                <w:smallCaps/>
                <w:sz w:val="16"/>
                <w:szCs w:val="16"/>
              </w:rPr>
              <w:t>0</w:t>
            </w:r>
            <w:r w:rsidRPr="001301F4">
              <w:rPr>
                <w:rFonts w:ascii="Times New Roman" w:hAnsi="Times New Roman" w:cs="Times New Roman"/>
                <w:smallCaps/>
                <w:sz w:val="16"/>
                <w:szCs w:val="16"/>
              </w:rPr>
              <w:t>.064       (</w:t>
            </w:r>
            <w:r w:rsidR="001B0D87">
              <w:rPr>
                <w:rFonts w:ascii="Times New Roman" w:hAnsi="Times New Roman" w:cs="Times New Roman"/>
                <w:smallCaps/>
                <w:sz w:val="16"/>
                <w:szCs w:val="16"/>
              </w:rPr>
              <w:t>0</w:t>
            </w:r>
            <w:r w:rsidRPr="001301F4">
              <w:rPr>
                <w:rFonts w:ascii="Times New Roman" w:hAnsi="Times New Roman" w:cs="Times New Roman"/>
                <w:smallCaps/>
                <w:sz w:val="16"/>
                <w:szCs w:val="16"/>
              </w:rPr>
              <w:t>.07</w:t>
            </w:r>
            <w:r w:rsidR="001B0D87">
              <w:rPr>
                <w:rFonts w:ascii="Times New Roman" w:hAnsi="Times New Roman" w:cs="Times New Roman"/>
                <w:smallCaps/>
                <w:sz w:val="16"/>
                <w:szCs w:val="16"/>
              </w:rPr>
              <w:t>7</w:t>
            </w:r>
            <w:r w:rsidRPr="001301F4">
              <w:rPr>
                <w:rFonts w:ascii="Times New Roman" w:hAnsi="Times New Roman" w:cs="Times New Roman"/>
                <w:smallCaps/>
                <w:sz w:val="16"/>
                <w:szCs w:val="16"/>
              </w:rPr>
              <w:t>)</w:t>
            </w:r>
          </w:p>
        </w:tc>
        <w:tc>
          <w:tcPr>
            <w:tcW w:w="1242" w:type="dxa"/>
            <w:vAlign w:val="center"/>
          </w:tcPr>
          <w:p w:rsidR="007306DF" w:rsidRDefault="007306DF" w:rsidP="007306DF">
            <w:pPr>
              <w:spacing w:line="360" w:lineRule="auto"/>
              <w:jc w:val="center"/>
              <w:rPr>
                <w:rFonts w:ascii="Times New Roman" w:hAnsi="Times New Roman" w:cs="Times New Roman"/>
                <w:smallCaps/>
                <w:sz w:val="16"/>
                <w:szCs w:val="16"/>
              </w:rPr>
            </w:pPr>
            <w:r w:rsidRPr="007306DF">
              <w:rPr>
                <w:rFonts w:ascii="Times New Roman" w:hAnsi="Times New Roman" w:cs="Times New Roman"/>
                <w:smallCaps/>
                <w:sz w:val="16"/>
                <w:szCs w:val="16"/>
              </w:rPr>
              <w:t>-</w:t>
            </w:r>
            <w:r>
              <w:rPr>
                <w:rFonts w:ascii="Times New Roman" w:hAnsi="Times New Roman" w:cs="Times New Roman"/>
                <w:smallCaps/>
                <w:sz w:val="16"/>
                <w:szCs w:val="16"/>
              </w:rPr>
              <w:t>0</w:t>
            </w:r>
            <w:r w:rsidRPr="007306DF">
              <w:rPr>
                <w:rFonts w:ascii="Times New Roman" w:hAnsi="Times New Roman" w:cs="Times New Roman"/>
                <w:smallCaps/>
                <w:sz w:val="16"/>
                <w:szCs w:val="16"/>
              </w:rPr>
              <w:t>.116</w:t>
            </w:r>
          </w:p>
          <w:p w:rsidR="00BA63F1" w:rsidRPr="006542D6" w:rsidRDefault="007306DF" w:rsidP="007306DF">
            <w:pPr>
              <w:spacing w:line="360" w:lineRule="auto"/>
              <w:jc w:val="center"/>
              <w:rPr>
                <w:rFonts w:ascii="Times New Roman" w:hAnsi="Times New Roman" w:cs="Times New Roman"/>
                <w:smallCaps/>
                <w:sz w:val="16"/>
                <w:szCs w:val="16"/>
              </w:rPr>
            </w:pPr>
            <w:r w:rsidRPr="007306DF">
              <w:rPr>
                <w:rFonts w:ascii="Times New Roman" w:hAnsi="Times New Roman" w:cs="Times New Roman"/>
                <w:smallCaps/>
                <w:sz w:val="16"/>
                <w:szCs w:val="16"/>
              </w:rPr>
              <w:t>(</w:t>
            </w:r>
            <w:r>
              <w:rPr>
                <w:rFonts w:ascii="Times New Roman" w:hAnsi="Times New Roman" w:cs="Times New Roman"/>
                <w:smallCaps/>
                <w:sz w:val="16"/>
                <w:szCs w:val="16"/>
              </w:rPr>
              <w:t>0</w:t>
            </w:r>
            <w:r w:rsidRPr="007306DF">
              <w:rPr>
                <w:rFonts w:ascii="Times New Roman" w:hAnsi="Times New Roman" w:cs="Times New Roman"/>
                <w:smallCaps/>
                <w:sz w:val="16"/>
                <w:szCs w:val="16"/>
              </w:rPr>
              <w:t>.09</w:t>
            </w:r>
            <w:r>
              <w:rPr>
                <w:rFonts w:ascii="Times New Roman" w:hAnsi="Times New Roman" w:cs="Times New Roman"/>
                <w:smallCaps/>
                <w:sz w:val="16"/>
                <w:szCs w:val="16"/>
              </w:rPr>
              <w:t>4</w:t>
            </w:r>
            <w:r w:rsidRPr="007306DF">
              <w:rPr>
                <w:rFonts w:ascii="Times New Roman" w:hAnsi="Times New Roman" w:cs="Times New Roman"/>
                <w:smallCaps/>
                <w:sz w:val="16"/>
                <w:szCs w:val="16"/>
              </w:rPr>
              <w:t>)</w:t>
            </w:r>
          </w:p>
        </w:tc>
        <w:tc>
          <w:tcPr>
            <w:tcW w:w="1242" w:type="dxa"/>
            <w:vAlign w:val="center"/>
          </w:tcPr>
          <w:p w:rsidR="00BA63F1" w:rsidRPr="006542D6" w:rsidRDefault="00396738" w:rsidP="00396738">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396738">
              <w:rPr>
                <w:rFonts w:ascii="Times New Roman" w:hAnsi="Times New Roman" w:cs="Times New Roman"/>
                <w:smallCaps/>
                <w:sz w:val="16"/>
                <w:szCs w:val="16"/>
              </w:rPr>
              <w:t>.19</w:t>
            </w:r>
            <w:r>
              <w:rPr>
                <w:rFonts w:ascii="Times New Roman" w:hAnsi="Times New Roman" w:cs="Times New Roman"/>
                <w:smallCaps/>
                <w:sz w:val="16"/>
                <w:szCs w:val="16"/>
              </w:rPr>
              <w:t>3</w:t>
            </w:r>
            <w:r w:rsidRPr="00396738">
              <w:rPr>
                <w:rFonts w:ascii="Times New Roman" w:hAnsi="Times New Roman" w:cs="Times New Roman"/>
                <w:smallCaps/>
                <w:sz w:val="16"/>
                <w:szCs w:val="16"/>
              </w:rPr>
              <w:t>*</w:t>
            </w:r>
            <w:r>
              <w:rPr>
                <w:rFonts w:ascii="Times New Roman" w:hAnsi="Times New Roman" w:cs="Times New Roman"/>
                <w:smallCaps/>
                <w:sz w:val="16"/>
                <w:szCs w:val="16"/>
              </w:rPr>
              <w:t>*</w:t>
            </w:r>
            <w:r w:rsidRPr="00396738">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396738">
              <w:rPr>
                <w:rFonts w:ascii="Times New Roman" w:hAnsi="Times New Roman" w:cs="Times New Roman"/>
                <w:smallCaps/>
                <w:sz w:val="16"/>
                <w:szCs w:val="16"/>
              </w:rPr>
              <w:t>.07</w:t>
            </w:r>
            <w:r>
              <w:rPr>
                <w:rFonts w:ascii="Times New Roman" w:hAnsi="Times New Roman" w:cs="Times New Roman"/>
                <w:smallCaps/>
                <w:sz w:val="16"/>
                <w:szCs w:val="16"/>
              </w:rPr>
              <w:t>6</w:t>
            </w:r>
            <w:r w:rsidRPr="00396738">
              <w:rPr>
                <w:rFonts w:ascii="Times New Roman" w:hAnsi="Times New Roman" w:cs="Times New Roman"/>
                <w:smallCaps/>
                <w:sz w:val="16"/>
                <w:szCs w:val="16"/>
              </w:rPr>
              <w:t>)</w:t>
            </w:r>
          </w:p>
        </w:tc>
        <w:tc>
          <w:tcPr>
            <w:tcW w:w="1242" w:type="dxa"/>
            <w:vAlign w:val="center"/>
          </w:tcPr>
          <w:p w:rsidR="0058408C" w:rsidRDefault="0058408C" w:rsidP="0058408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58408C">
              <w:rPr>
                <w:rFonts w:ascii="Times New Roman" w:hAnsi="Times New Roman" w:cs="Times New Roman"/>
                <w:smallCaps/>
                <w:sz w:val="16"/>
                <w:szCs w:val="16"/>
              </w:rPr>
              <w:t>.0</w:t>
            </w:r>
            <w:r>
              <w:rPr>
                <w:rFonts w:ascii="Times New Roman" w:hAnsi="Times New Roman" w:cs="Times New Roman"/>
                <w:smallCaps/>
                <w:sz w:val="16"/>
                <w:szCs w:val="16"/>
              </w:rPr>
              <w:t>40</w:t>
            </w:r>
            <w:r w:rsidRPr="0058408C">
              <w:rPr>
                <w:rFonts w:ascii="Times New Roman" w:hAnsi="Times New Roman" w:cs="Times New Roman"/>
                <w:smallCaps/>
                <w:sz w:val="16"/>
                <w:szCs w:val="16"/>
              </w:rPr>
              <w:t xml:space="preserve">      </w:t>
            </w:r>
          </w:p>
          <w:p w:rsidR="00BA63F1" w:rsidRPr="006542D6" w:rsidRDefault="0058408C" w:rsidP="0058408C">
            <w:pPr>
              <w:spacing w:line="360" w:lineRule="auto"/>
              <w:jc w:val="center"/>
              <w:rPr>
                <w:rFonts w:ascii="Times New Roman" w:hAnsi="Times New Roman" w:cs="Times New Roman"/>
                <w:smallCaps/>
                <w:sz w:val="16"/>
                <w:szCs w:val="16"/>
              </w:rPr>
            </w:pPr>
            <w:r w:rsidRPr="0058408C">
              <w:rPr>
                <w:rFonts w:ascii="Times New Roman" w:hAnsi="Times New Roman" w:cs="Times New Roman"/>
                <w:smallCaps/>
                <w:sz w:val="16"/>
                <w:szCs w:val="16"/>
              </w:rPr>
              <w:t>(</w:t>
            </w:r>
            <w:r>
              <w:rPr>
                <w:rFonts w:ascii="Times New Roman" w:hAnsi="Times New Roman" w:cs="Times New Roman"/>
                <w:smallCaps/>
                <w:sz w:val="16"/>
                <w:szCs w:val="16"/>
              </w:rPr>
              <w:t>0</w:t>
            </w:r>
            <w:r w:rsidRPr="0058408C">
              <w:rPr>
                <w:rFonts w:ascii="Times New Roman" w:hAnsi="Times New Roman" w:cs="Times New Roman"/>
                <w:smallCaps/>
                <w:sz w:val="16"/>
                <w:szCs w:val="16"/>
              </w:rPr>
              <w:t>.15</w:t>
            </w:r>
            <w:r>
              <w:rPr>
                <w:rFonts w:ascii="Times New Roman" w:hAnsi="Times New Roman" w:cs="Times New Roman"/>
                <w:smallCaps/>
                <w:sz w:val="16"/>
                <w:szCs w:val="16"/>
              </w:rPr>
              <w:t>4</w:t>
            </w:r>
            <w:r w:rsidRPr="0058408C">
              <w:rPr>
                <w:rFonts w:ascii="Times New Roman" w:hAnsi="Times New Roman" w:cs="Times New Roman"/>
                <w:smallCaps/>
                <w:sz w:val="16"/>
                <w:szCs w:val="16"/>
              </w:rPr>
              <w:t>)</w:t>
            </w:r>
          </w:p>
        </w:tc>
      </w:tr>
      <w:tr w:rsidR="00BA63F1" w:rsidRPr="006542D6" w:rsidTr="00473A5D">
        <w:tc>
          <w:tcPr>
            <w:tcW w:w="1800" w:type="dxa"/>
            <w:vAlign w:val="center"/>
          </w:tcPr>
          <w:p w:rsidR="00BA63F1" w:rsidRPr="006542D6" w:rsidRDefault="00BA63F1" w:rsidP="00473A5D">
            <w:pPr>
              <w:spacing w:line="360" w:lineRule="auto"/>
              <w:rPr>
                <w:rFonts w:ascii="Times New Roman" w:hAnsi="Times New Roman" w:cs="Times New Roman"/>
                <w:sz w:val="16"/>
                <w:szCs w:val="16"/>
              </w:rPr>
            </w:pPr>
            <w:r>
              <w:rPr>
                <w:rFonts w:ascii="Times New Roman" w:hAnsi="Times New Roman" w:cs="Times New Roman"/>
                <w:sz w:val="16"/>
                <w:szCs w:val="16"/>
              </w:rPr>
              <w:t>Contemporaneous Dummy</w:t>
            </w:r>
          </w:p>
        </w:tc>
        <w:tc>
          <w:tcPr>
            <w:tcW w:w="1242" w:type="dxa"/>
            <w:vAlign w:val="center"/>
          </w:tcPr>
          <w:p w:rsidR="00BA63F1" w:rsidRPr="006542D6" w:rsidRDefault="001301F4" w:rsidP="001301F4">
            <w:pPr>
              <w:spacing w:line="360" w:lineRule="auto"/>
              <w:jc w:val="center"/>
              <w:rPr>
                <w:rFonts w:ascii="Times New Roman" w:hAnsi="Times New Roman" w:cs="Times New Roman"/>
                <w:smallCaps/>
                <w:sz w:val="16"/>
                <w:szCs w:val="16"/>
              </w:rPr>
            </w:pPr>
            <w:r w:rsidRPr="001301F4">
              <w:rPr>
                <w:rFonts w:ascii="Times New Roman" w:hAnsi="Times New Roman" w:cs="Times New Roman"/>
                <w:smallCaps/>
                <w:sz w:val="16"/>
                <w:szCs w:val="16"/>
              </w:rPr>
              <w:t>-</w:t>
            </w:r>
            <w:r>
              <w:rPr>
                <w:rFonts w:ascii="Times New Roman" w:hAnsi="Times New Roman" w:cs="Times New Roman"/>
                <w:smallCaps/>
                <w:sz w:val="16"/>
                <w:szCs w:val="16"/>
              </w:rPr>
              <w:t>0</w:t>
            </w:r>
            <w:r w:rsidRPr="001301F4">
              <w:rPr>
                <w:rFonts w:ascii="Times New Roman" w:hAnsi="Times New Roman" w:cs="Times New Roman"/>
                <w:smallCaps/>
                <w:sz w:val="16"/>
                <w:szCs w:val="16"/>
              </w:rPr>
              <w:t>.107      (</w:t>
            </w:r>
            <w:r>
              <w:rPr>
                <w:rFonts w:ascii="Times New Roman" w:hAnsi="Times New Roman" w:cs="Times New Roman"/>
                <w:smallCaps/>
                <w:sz w:val="16"/>
                <w:szCs w:val="16"/>
              </w:rPr>
              <w:t>0</w:t>
            </w:r>
            <w:r w:rsidRPr="001301F4">
              <w:rPr>
                <w:rFonts w:ascii="Times New Roman" w:hAnsi="Times New Roman" w:cs="Times New Roman"/>
                <w:smallCaps/>
                <w:sz w:val="16"/>
                <w:szCs w:val="16"/>
              </w:rPr>
              <w:t>.074)</w:t>
            </w:r>
          </w:p>
        </w:tc>
        <w:tc>
          <w:tcPr>
            <w:tcW w:w="1242" w:type="dxa"/>
            <w:vAlign w:val="center"/>
          </w:tcPr>
          <w:p w:rsidR="00BA63F1" w:rsidRPr="006542D6" w:rsidRDefault="001301F4" w:rsidP="001B0D87">
            <w:pPr>
              <w:spacing w:line="360" w:lineRule="auto"/>
              <w:jc w:val="center"/>
              <w:rPr>
                <w:rFonts w:ascii="Times New Roman" w:hAnsi="Times New Roman" w:cs="Times New Roman"/>
                <w:smallCaps/>
                <w:sz w:val="16"/>
                <w:szCs w:val="16"/>
              </w:rPr>
            </w:pPr>
            <w:r w:rsidRPr="001301F4">
              <w:rPr>
                <w:rFonts w:ascii="Times New Roman" w:hAnsi="Times New Roman" w:cs="Times New Roman"/>
                <w:smallCaps/>
                <w:sz w:val="16"/>
                <w:szCs w:val="16"/>
              </w:rPr>
              <w:t>-</w:t>
            </w:r>
            <w:r w:rsidR="001B0D87">
              <w:rPr>
                <w:rFonts w:ascii="Times New Roman" w:hAnsi="Times New Roman" w:cs="Times New Roman"/>
                <w:smallCaps/>
                <w:sz w:val="16"/>
                <w:szCs w:val="16"/>
              </w:rPr>
              <w:t>0</w:t>
            </w:r>
            <w:r w:rsidRPr="001301F4">
              <w:rPr>
                <w:rFonts w:ascii="Times New Roman" w:hAnsi="Times New Roman" w:cs="Times New Roman"/>
                <w:smallCaps/>
                <w:sz w:val="16"/>
                <w:szCs w:val="16"/>
              </w:rPr>
              <w:t>.00</w:t>
            </w:r>
            <w:r w:rsidR="001B0D87">
              <w:rPr>
                <w:rFonts w:ascii="Times New Roman" w:hAnsi="Times New Roman" w:cs="Times New Roman"/>
                <w:smallCaps/>
                <w:sz w:val="16"/>
                <w:szCs w:val="16"/>
              </w:rPr>
              <w:t>7</w:t>
            </w:r>
            <w:r w:rsidRPr="001301F4">
              <w:rPr>
                <w:rFonts w:ascii="Times New Roman" w:hAnsi="Times New Roman" w:cs="Times New Roman"/>
                <w:smallCaps/>
                <w:sz w:val="16"/>
                <w:szCs w:val="16"/>
              </w:rPr>
              <w:t xml:space="preserve">      (</w:t>
            </w:r>
            <w:r w:rsidR="001B0D87">
              <w:rPr>
                <w:rFonts w:ascii="Times New Roman" w:hAnsi="Times New Roman" w:cs="Times New Roman"/>
                <w:smallCaps/>
                <w:sz w:val="16"/>
                <w:szCs w:val="16"/>
              </w:rPr>
              <w:t>0</w:t>
            </w:r>
            <w:r w:rsidRPr="001301F4">
              <w:rPr>
                <w:rFonts w:ascii="Times New Roman" w:hAnsi="Times New Roman" w:cs="Times New Roman"/>
                <w:smallCaps/>
                <w:sz w:val="16"/>
                <w:szCs w:val="16"/>
              </w:rPr>
              <w:t>.08</w:t>
            </w:r>
            <w:r w:rsidR="001B0D87">
              <w:rPr>
                <w:rFonts w:ascii="Times New Roman" w:hAnsi="Times New Roman" w:cs="Times New Roman"/>
                <w:smallCaps/>
                <w:sz w:val="16"/>
                <w:szCs w:val="16"/>
              </w:rPr>
              <w:t>9</w:t>
            </w:r>
            <w:r w:rsidRPr="001301F4">
              <w:rPr>
                <w:rFonts w:ascii="Times New Roman" w:hAnsi="Times New Roman" w:cs="Times New Roman"/>
                <w:smallCaps/>
                <w:sz w:val="16"/>
                <w:szCs w:val="16"/>
              </w:rPr>
              <w:t>)</w:t>
            </w:r>
          </w:p>
        </w:tc>
        <w:tc>
          <w:tcPr>
            <w:tcW w:w="1242" w:type="dxa"/>
            <w:vAlign w:val="center"/>
          </w:tcPr>
          <w:p w:rsidR="007306DF" w:rsidRDefault="007306DF" w:rsidP="007306DF">
            <w:pPr>
              <w:spacing w:line="360" w:lineRule="auto"/>
              <w:jc w:val="center"/>
              <w:rPr>
                <w:rFonts w:ascii="Times New Roman" w:hAnsi="Times New Roman" w:cs="Times New Roman"/>
                <w:smallCaps/>
                <w:sz w:val="16"/>
                <w:szCs w:val="16"/>
              </w:rPr>
            </w:pPr>
            <w:r w:rsidRPr="007306DF">
              <w:rPr>
                <w:rFonts w:ascii="Times New Roman" w:hAnsi="Times New Roman" w:cs="Times New Roman"/>
                <w:smallCaps/>
                <w:sz w:val="16"/>
                <w:szCs w:val="16"/>
              </w:rPr>
              <w:t>-</w:t>
            </w:r>
            <w:r>
              <w:rPr>
                <w:rFonts w:ascii="Times New Roman" w:hAnsi="Times New Roman" w:cs="Times New Roman"/>
                <w:smallCaps/>
                <w:sz w:val="16"/>
                <w:szCs w:val="16"/>
              </w:rPr>
              <w:t>0</w:t>
            </w:r>
            <w:r w:rsidRPr="007306DF">
              <w:rPr>
                <w:rFonts w:ascii="Times New Roman" w:hAnsi="Times New Roman" w:cs="Times New Roman"/>
                <w:smallCaps/>
                <w:sz w:val="16"/>
                <w:szCs w:val="16"/>
              </w:rPr>
              <w:t>.00</w:t>
            </w:r>
            <w:r>
              <w:rPr>
                <w:rFonts w:ascii="Times New Roman" w:hAnsi="Times New Roman" w:cs="Times New Roman"/>
                <w:smallCaps/>
                <w:sz w:val="16"/>
                <w:szCs w:val="16"/>
              </w:rPr>
              <w:t>4</w:t>
            </w:r>
          </w:p>
          <w:p w:rsidR="00BA63F1" w:rsidRPr="006542D6" w:rsidRDefault="007306DF" w:rsidP="007306DF">
            <w:pPr>
              <w:spacing w:line="360" w:lineRule="auto"/>
              <w:jc w:val="center"/>
              <w:rPr>
                <w:rFonts w:ascii="Times New Roman" w:hAnsi="Times New Roman" w:cs="Times New Roman"/>
                <w:smallCaps/>
                <w:sz w:val="16"/>
                <w:szCs w:val="16"/>
              </w:rPr>
            </w:pPr>
            <w:r w:rsidRPr="007306DF">
              <w:rPr>
                <w:rFonts w:ascii="Times New Roman" w:hAnsi="Times New Roman" w:cs="Times New Roman"/>
                <w:smallCaps/>
                <w:sz w:val="16"/>
                <w:szCs w:val="16"/>
              </w:rPr>
              <w:t>(</w:t>
            </w:r>
            <w:r>
              <w:rPr>
                <w:rFonts w:ascii="Times New Roman" w:hAnsi="Times New Roman" w:cs="Times New Roman"/>
                <w:smallCaps/>
                <w:sz w:val="16"/>
                <w:szCs w:val="16"/>
              </w:rPr>
              <w:t>0</w:t>
            </w:r>
            <w:r w:rsidRPr="007306DF">
              <w:rPr>
                <w:rFonts w:ascii="Times New Roman" w:hAnsi="Times New Roman" w:cs="Times New Roman"/>
                <w:smallCaps/>
                <w:sz w:val="16"/>
                <w:szCs w:val="16"/>
              </w:rPr>
              <w:t>.083)</w:t>
            </w:r>
          </w:p>
        </w:tc>
        <w:tc>
          <w:tcPr>
            <w:tcW w:w="1242" w:type="dxa"/>
            <w:vAlign w:val="center"/>
          </w:tcPr>
          <w:p w:rsidR="00BA63F1" w:rsidRPr="006542D6" w:rsidRDefault="00396738" w:rsidP="00396738">
            <w:pPr>
              <w:spacing w:line="360" w:lineRule="auto"/>
              <w:jc w:val="center"/>
              <w:rPr>
                <w:rFonts w:ascii="Times New Roman" w:hAnsi="Times New Roman" w:cs="Times New Roman"/>
                <w:smallCaps/>
                <w:sz w:val="16"/>
                <w:szCs w:val="16"/>
              </w:rPr>
            </w:pPr>
            <w:r w:rsidRPr="00396738">
              <w:rPr>
                <w:rFonts w:ascii="Times New Roman" w:hAnsi="Times New Roman" w:cs="Times New Roman"/>
                <w:smallCaps/>
                <w:sz w:val="16"/>
                <w:szCs w:val="16"/>
              </w:rPr>
              <w:t>-</w:t>
            </w:r>
            <w:r>
              <w:rPr>
                <w:rFonts w:ascii="Times New Roman" w:hAnsi="Times New Roman" w:cs="Times New Roman"/>
                <w:smallCaps/>
                <w:sz w:val="16"/>
                <w:szCs w:val="16"/>
              </w:rPr>
              <w:t>0</w:t>
            </w:r>
            <w:r w:rsidRPr="00396738">
              <w:rPr>
                <w:rFonts w:ascii="Times New Roman" w:hAnsi="Times New Roman" w:cs="Times New Roman"/>
                <w:smallCaps/>
                <w:sz w:val="16"/>
                <w:szCs w:val="16"/>
              </w:rPr>
              <w:t>.470*</w:t>
            </w:r>
            <w:r>
              <w:rPr>
                <w:rFonts w:ascii="Times New Roman" w:hAnsi="Times New Roman" w:cs="Times New Roman"/>
                <w:smallCaps/>
                <w:sz w:val="16"/>
                <w:szCs w:val="16"/>
              </w:rPr>
              <w:t>*</w:t>
            </w:r>
            <w:r w:rsidRPr="00396738">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396738">
              <w:rPr>
                <w:rFonts w:ascii="Times New Roman" w:hAnsi="Times New Roman" w:cs="Times New Roman"/>
                <w:smallCaps/>
                <w:sz w:val="16"/>
                <w:szCs w:val="16"/>
              </w:rPr>
              <w:t>.20</w:t>
            </w:r>
            <w:r>
              <w:rPr>
                <w:rFonts w:ascii="Times New Roman" w:hAnsi="Times New Roman" w:cs="Times New Roman"/>
                <w:smallCaps/>
                <w:sz w:val="16"/>
                <w:szCs w:val="16"/>
              </w:rPr>
              <w:t>7</w:t>
            </w:r>
            <w:r w:rsidRPr="00396738">
              <w:rPr>
                <w:rFonts w:ascii="Times New Roman" w:hAnsi="Times New Roman" w:cs="Times New Roman"/>
                <w:smallCaps/>
                <w:sz w:val="16"/>
                <w:szCs w:val="16"/>
              </w:rPr>
              <w:t>)</w:t>
            </w:r>
          </w:p>
        </w:tc>
        <w:tc>
          <w:tcPr>
            <w:tcW w:w="1242" w:type="dxa"/>
            <w:vAlign w:val="center"/>
          </w:tcPr>
          <w:p w:rsidR="00BA63F1" w:rsidRPr="006542D6" w:rsidRDefault="0058408C" w:rsidP="0058408C">
            <w:pPr>
              <w:spacing w:line="360" w:lineRule="auto"/>
              <w:jc w:val="center"/>
              <w:rPr>
                <w:rFonts w:ascii="Times New Roman" w:hAnsi="Times New Roman" w:cs="Times New Roman"/>
                <w:smallCaps/>
                <w:sz w:val="16"/>
                <w:szCs w:val="16"/>
              </w:rPr>
            </w:pPr>
            <w:r w:rsidRPr="0058408C">
              <w:rPr>
                <w:rFonts w:ascii="Times New Roman" w:hAnsi="Times New Roman" w:cs="Times New Roman"/>
                <w:smallCaps/>
                <w:sz w:val="16"/>
                <w:szCs w:val="16"/>
              </w:rPr>
              <w:t>-</w:t>
            </w:r>
            <w:r>
              <w:rPr>
                <w:rFonts w:ascii="Times New Roman" w:hAnsi="Times New Roman" w:cs="Times New Roman"/>
                <w:smallCaps/>
                <w:sz w:val="16"/>
                <w:szCs w:val="16"/>
              </w:rPr>
              <w:t>0</w:t>
            </w:r>
            <w:r w:rsidRPr="0058408C">
              <w:rPr>
                <w:rFonts w:ascii="Times New Roman" w:hAnsi="Times New Roman" w:cs="Times New Roman"/>
                <w:smallCaps/>
                <w:sz w:val="16"/>
                <w:szCs w:val="16"/>
              </w:rPr>
              <w:t>.44</w:t>
            </w:r>
            <w:r>
              <w:rPr>
                <w:rFonts w:ascii="Times New Roman" w:hAnsi="Times New Roman" w:cs="Times New Roman"/>
                <w:smallCaps/>
                <w:sz w:val="16"/>
                <w:szCs w:val="16"/>
              </w:rPr>
              <w:t>7*</w:t>
            </w:r>
            <w:r w:rsidRPr="0058408C">
              <w:rPr>
                <w:rFonts w:ascii="Times New Roman" w:hAnsi="Times New Roman" w:cs="Times New Roman"/>
                <w:smallCaps/>
                <w:sz w:val="16"/>
                <w:szCs w:val="16"/>
              </w:rPr>
              <w:t>**    (</w:t>
            </w:r>
            <w:r>
              <w:rPr>
                <w:rFonts w:ascii="Times New Roman" w:hAnsi="Times New Roman" w:cs="Times New Roman"/>
                <w:smallCaps/>
                <w:sz w:val="16"/>
                <w:szCs w:val="16"/>
              </w:rPr>
              <w:t>0</w:t>
            </w:r>
            <w:r w:rsidRPr="0058408C">
              <w:rPr>
                <w:rFonts w:ascii="Times New Roman" w:hAnsi="Times New Roman" w:cs="Times New Roman"/>
                <w:smallCaps/>
                <w:sz w:val="16"/>
                <w:szCs w:val="16"/>
              </w:rPr>
              <w:t>.137)</w:t>
            </w:r>
          </w:p>
        </w:tc>
      </w:tr>
      <w:tr w:rsidR="00BA63F1" w:rsidRPr="006542D6" w:rsidTr="00473A5D">
        <w:tc>
          <w:tcPr>
            <w:tcW w:w="1800" w:type="dxa"/>
            <w:vAlign w:val="center"/>
          </w:tcPr>
          <w:p w:rsidR="00BA63F1" w:rsidRPr="006542D6" w:rsidRDefault="00BA63F1" w:rsidP="00473A5D">
            <w:pPr>
              <w:spacing w:line="360" w:lineRule="auto"/>
              <w:rPr>
                <w:rFonts w:ascii="Times New Roman" w:hAnsi="Times New Roman" w:cs="Times New Roman"/>
                <w:sz w:val="16"/>
                <w:szCs w:val="16"/>
              </w:rPr>
            </w:pPr>
            <w:r>
              <w:rPr>
                <w:rFonts w:ascii="Times New Roman" w:hAnsi="Times New Roman" w:cs="Times New Roman"/>
                <w:sz w:val="16"/>
                <w:szCs w:val="16"/>
              </w:rPr>
              <w:t>1-Year Lag Dummy</w:t>
            </w:r>
          </w:p>
        </w:tc>
        <w:tc>
          <w:tcPr>
            <w:tcW w:w="1242" w:type="dxa"/>
            <w:vAlign w:val="center"/>
          </w:tcPr>
          <w:p w:rsidR="00BA63F1" w:rsidRPr="006542D6" w:rsidRDefault="001301F4" w:rsidP="001301F4">
            <w:pPr>
              <w:spacing w:line="360" w:lineRule="auto"/>
              <w:jc w:val="center"/>
              <w:rPr>
                <w:rFonts w:ascii="Times New Roman" w:hAnsi="Times New Roman" w:cs="Times New Roman"/>
                <w:smallCaps/>
                <w:sz w:val="16"/>
                <w:szCs w:val="16"/>
              </w:rPr>
            </w:pPr>
            <w:r w:rsidRPr="001301F4">
              <w:rPr>
                <w:rFonts w:ascii="Times New Roman" w:hAnsi="Times New Roman" w:cs="Times New Roman"/>
                <w:smallCaps/>
                <w:sz w:val="16"/>
                <w:szCs w:val="16"/>
              </w:rPr>
              <w:t>-</w:t>
            </w:r>
            <w:r>
              <w:rPr>
                <w:rFonts w:ascii="Times New Roman" w:hAnsi="Times New Roman" w:cs="Times New Roman"/>
                <w:smallCaps/>
                <w:sz w:val="16"/>
                <w:szCs w:val="16"/>
              </w:rPr>
              <w:t>0</w:t>
            </w:r>
            <w:r w:rsidRPr="001301F4">
              <w:rPr>
                <w:rFonts w:ascii="Times New Roman" w:hAnsi="Times New Roman" w:cs="Times New Roman"/>
                <w:smallCaps/>
                <w:sz w:val="16"/>
                <w:szCs w:val="16"/>
              </w:rPr>
              <w:t>.03</w:t>
            </w:r>
            <w:r>
              <w:rPr>
                <w:rFonts w:ascii="Times New Roman" w:hAnsi="Times New Roman" w:cs="Times New Roman"/>
                <w:smallCaps/>
                <w:sz w:val="16"/>
                <w:szCs w:val="16"/>
              </w:rPr>
              <w:t>2</w:t>
            </w:r>
            <w:r w:rsidRPr="001301F4">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1301F4">
              <w:rPr>
                <w:rFonts w:ascii="Times New Roman" w:hAnsi="Times New Roman" w:cs="Times New Roman"/>
                <w:smallCaps/>
                <w:sz w:val="16"/>
                <w:szCs w:val="16"/>
              </w:rPr>
              <w:t>.07</w:t>
            </w:r>
            <w:r>
              <w:rPr>
                <w:rFonts w:ascii="Times New Roman" w:hAnsi="Times New Roman" w:cs="Times New Roman"/>
                <w:smallCaps/>
                <w:sz w:val="16"/>
                <w:szCs w:val="16"/>
              </w:rPr>
              <w:t>9</w:t>
            </w:r>
            <w:r w:rsidRPr="001301F4">
              <w:rPr>
                <w:rFonts w:ascii="Times New Roman" w:hAnsi="Times New Roman" w:cs="Times New Roman"/>
                <w:smallCaps/>
                <w:sz w:val="16"/>
                <w:szCs w:val="16"/>
              </w:rPr>
              <w:t>)</w:t>
            </w:r>
          </w:p>
        </w:tc>
        <w:tc>
          <w:tcPr>
            <w:tcW w:w="1242" w:type="dxa"/>
            <w:vAlign w:val="center"/>
          </w:tcPr>
          <w:p w:rsidR="00BA63F1" w:rsidRPr="006542D6" w:rsidRDefault="001301F4" w:rsidP="001B0D87">
            <w:pPr>
              <w:spacing w:line="360" w:lineRule="auto"/>
              <w:jc w:val="center"/>
              <w:rPr>
                <w:rFonts w:ascii="Times New Roman" w:hAnsi="Times New Roman" w:cs="Times New Roman"/>
                <w:smallCaps/>
                <w:sz w:val="16"/>
                <w:szCs w:val="16"/>
              </w:rPr>
            </w:pPr>
            <w:r w:rsidRPr="001301F4">
              <w:rPr>
                <w:rFonts w:ascii="Times New Roman" w:hAnsi="Times New Roman" w:cs="Times New Roman"/>
                <w:smallCaps/>
                <w:sz w:val="16"/>
                <w:szCs w:val="16"/>
              </w:rPr>
              <w:t>-</w:t>
            </w:r>
            <w:r w:rsidR="001B0D87">
              <w:rPr>
                <w:rFonts w:ascii="Times New Roman" w:hAnsi="Times New Roman" w:cs="Times New Roman"/>
                <w:smallCaps/>
                <w:sz w:val="16"/>
                <w:szCs w:val="16"/>
              </w:rPr>
              <w:t>0</w:t>
            </w:r>
            <w:r w:rsidRPr="001301F4">
              <w:rPr>
                <w:rFonts w:ascii="Times New Roman" w:hAnsi="Times New Roman" w:cs="Times New Roman"/>
                <w:smallCaps/>
                <w:sz w:val="16"/>
                <w:szCs w:val="16"/>
              </w:rPr>
              <w:t>.23</w:t>
            </w:r>
            <w:r w:rsidR="001B0D87">
              <w:rPr>
                <w:rFonts w:ascii="Times New Roman" w:hAnsi="Times New Roman" w:cs="Times New Roman"/>
                <w:smallCaps/>
                <w:sz w:val="16"/>
                <w:szCs w:val="16"/>
              </w:rPr>
              <w:t>3</w:t>
            </w:r>
            <w:r w:rsidRPr="001301F4">
              <w:rPr>
                <w:rFonts w:ascii="Times New Roman" w:hAnsi="Times New Roman" w:cs="Times New Roman"/>
                <w:smallCaps/>
                <w:sz w:val="16"/>
                <w:szCs w:val="16"/>
              </w:rPr>
              <w:t xml:space="preserve">      (</w:t>
            </w:r>
            <w:r w:rsidR="001B0D87">
              <w:rPr>
                <w:rFonts w:ascii="Times New Roman" w:hAnsi="Times New Roman" w:cs="Times New Roman"/>
                <w:smallCaps/>
                <w:sz w:val="16"/>
                <w:szCs w:val="16"/>
              </w:rPr>
              <w:t>0</w:t>
            </w:r>
            <w:r w:rsidRPr="001301F4">
              <w:rPr>
                <w:rFonts w:ascii="Times New Roman" w:hAnsi="Times New Roman" w:cs="Times New Roman"/>
                <w:smallCaps/>
                <w:sz w:val="16"/>
                <w:szCs w:val="16"/>
              </w:rPr>
              <w:t>.139)</w:t>
            </w:r>
          </w:p>
        </w:tc>
        <w:tc>
          <w:tcPr>
            <w:tcW w:w="1242" w:type="dxa"/>
            <w:vAlign w:val="center"/>
          </w:tcPr>
          <w:p w:rsidR="00BA63F1" w:rsidRPr="006542D6" w:rsidRDefault="007306DF" w:rsidP="007306DF">
            <w:pPr>
              <w:spacing w:line="360" w:lineRule="auto"/>
              <w:jc w:val="center"/>
              <w:rPr>
                <w:rFonts w:ascii="Times New Roman" w:hAnsi="Times New Roman" w:cs="Times New Roman"/>
                <w:smallCaps/>
                <w:sz w:val="16"/>
                <w:szCs w:val="16"/>
              </w:rPr>
            </w:pPr>
            <w:r w:rsidRPr="007306DF">
              <w:rPr>
                <w:rFonts w:ascii="Times New Roman" w:hAnsi="Times New Roman" w:cs="Times New Roman"/>
                <w:smallCaps/>
                <w:sz w:val="16"/>
                <w:szCs w:val="16"/>
              </w:rPr>
              <w:t>-</w:t>
            </w:r>
            <w:r>
              <w:rPr>
                <w:rFonts w:ascii="Times New Roman" w:hAnsi="Times New Roman" w:cs="Times New Roman"/>
                <w:smallCaps/>
                <w:sz w:val="16"/>
                <w:szCs w:val="16"/>
              </w:rPr>
              <w:t>0</w:t>
            </w:r>
            <w:r w:rsidRPr="007306DF">
              <w:rPr>
                <w:rFonts w:ascii="Times New Roman" w:hAnsi="Times New Roman" w:cs="Times New Roman"/>
                <w:smallCaps/>
                <w:sz w:val="16"/>
                <w:szCs w:val="16"/>
              </w:rPr>
              <w:t>.257</w:t>
            </w:r>
            <w:r w:rsidR="00F67F00">
              <w:rPr>
                <w:rFonts w:ascii="Times New Roman" w:hAnsi="Times New Roman" w:cs="Times New Roman"/>
                <w:smallCaps/>
                <w:sz w:val="16"/>
                <w:szCs w:val="16"/>
              </w:rPr>
              <w:t>*</w:t>
            </w:r>
            <w:r w:rsidRPr="007306DF">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7306DF">
              <w:rPr>
                <w:rFonts w:ascii="Times New Roman" w:hAnsi="Times New Roman" w:cs="Times New Roman"/>
                <w:smallCaps/>
                <w:sz w:val="16"/>
                <w:szCs w:val="16"/>
              </w:rPr>
              <w:t>.141</w:t>
            </w:r>
            <w:r>
              <w:rPr>
                <w:rFonts w:ascii="Times New Roman" w:hAnsi="Times New Roman" w:cs="Times New Roman"/>
                <w:smallCaps/>
                <w:sz w:val="16"/>
                <w:szCs w:val="16"/>
              </w:rPr>
              <w:t>)</w:t>
            </w:r>
          </w:p>
        </w:tc>
        <w:tc>
          <w:tcPr>
            <w:tcW w:w="1242" w:type="dxa"/>
            <w:vAlign w:val="center"/>
          </w:tcPr>
          <w:p w:rsidR="00396738" w:rsidRDefault="00396738" w:rsidP="00396738">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0.048</w:t>
            </w:r>
            <w:r w:rsidRPr="00396738">
              <w:rPr>
                <w:rFonts w:ascii="Times New Roman" w:hAnsi="Times New Roman" w:cs="Times New Roman"/>
                <w:smallCaps/>
                <w:sz w:val="16"/>
                <w:szCs w:val="16"/>
              </w:rPr>
              <w:t xml:space="preserve">     </w:t>
            </w:r>
          </w:p>
          <w:p w:rsidR="00BA63F1" w:rsidRPr="006542D6" w:rsidRDefault="00396738" w:rsidP="00396738">
            <w:pPr>
              <w:spacing w:line="360" w:lineRule="auto"/>
              <w:jc w:val="center"/>
              <w:rPr>
                <w:rFonts w:ascii="Times New Roman" w:hAnsi="Times New Roman" w:cs="Times New Roman"/>
                <w:smallCaps/>
                <w:sz w:val="16"/>
                <w:szCs w:val="16"/>
              </w:rPr>
            </w:pPr>
            <w:r w:rsidRPr="00396738">
              <w:rPr>
                <w:rFonts w:ascii="Times New Roman" w:hAnsi="Times New Roman" w:cs="Times New Roman"/>
                <w:smallCaps/>
                <w:sz w:val="16"/>
                <w:szCs w:val="16"/>
              </w:rPr>
              <w:t>(</w:t>
            </w:r>
            <w:r>
              <w:rPr>
                <w:rFonts w:ascii="Times New Roman" w:hAnsi="Times New Roman" w:cs="Times New Roman"/>
                <w:smallCaps/>
                <w:sz w:val="16"/>
                <w:szCs w:val="16"/>
              </w:rPr>
              <w:t>0</w:t>
            </w:r>
            <w:r w:rsidRPr="00396738">
              <w:rPr>
                <w:rFonts w:ascii="Times New Roman" w:hAnsi="Times New Roman" w:cs="Times New Roman"/>
                <w:smallCaps/>
                <w:sz w:val="16"/>
                <w:szCs w:val="16"/>
              </w:rPr>
              <w:t>.32</w:t>
            </w:r>
            <w:r>
              <w:rPr>
                <w:rFonts w:ascii="Times New Roman" w:hAnsi="Times New Roman" w:cs="Times New Roman"/>
                <w:smallCaps/>
                <w:sz w:val="16"/>
                <w:szCs w:val="16"/>
              </w:rPr>
              <w:t>7</w:t>
            </w:r>
            <w:r w:rsidRPr="00396738">
              <w:rPr>
                <w:rFonts w:ascii="Times New Roman" w:hAnsi="Times New Roman" w:cs="Times New Roman"/>
                <w:smallCaps/>
                <w:sz w:val="16"/>
                <w:szCs w:val="16"/>
              </w:rPr>
              <w:t>)</w:t>
            </w:r>
          </w:p>
        </w:tc>
        <w:tc>
          <w:tcPr>
            <w:tcW w:w="1242" w:type="dxa"/>
            <w:vAlign w:val="center"/>
          </w:tcPr>
          <w:p w:rsidR="00BA63F1" w:rsidRPr="006542D6" w:rsidRDefault="0058408C" w:rsidP="00B94AA8">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0.283</w:t>
            </w:r>
            <w:r w:rsidRPr="0058408C">
              <w:rPr>
                <w:rFonts w:ascii="Times New Roman" w:hAnsi="Times New Roman" w:cs="Times New Roman"/>
                <w:smallCaps/>
                <w:sz w:val="16"/>
                <w:szCs w:val="16"/>
              </w:rPr>
              <w:t>*</w:t>
            </w:r>
            <w:r>
              <w:rPr>
                <w:rFonts w:ascii="Times New Roman" w:hAnsi="Times New Roman" w:cs="Times New Roman"/>
                <w:smallCaps/>
                <w:sz w:val="16"/>
                <w:szCs w:val="16"/>
              </w:rPr>
              <w:t>*</w:t>
            </w:r>
            <w:r w:rsidRPr="0058408C">
              <w:rPr>
                <w:rFonts w:ascii="Times New Roman" w:hAnsi="Times New Roman" w:cs="Times New Roman"/>
                <w:smallCaps/>
                <w:sz w:val="16"/>
                <w:szCs w:val="16"/>
              </w:rPr>
              <w:t xml:space="preserve">     (</w:t>
            </w:r>
            <w:r>
              <w:rPr>
                <w:rFonts w:ascii="Times New Roman" w:hAnsi="Times New Roman" w:cs="Times New Roman"/>
                <w:smallCaps/>
                <w:sz w:val="16"/>
                <w:szCs w:val="16"/>
              </w:rPr>
              <w:t>0.136</w:t>
            </w:r>
            <w:r w:rsidRPr="0058408C">
              <w:rPr>
                <w:rFonts w:ascii="Times New Roman" w:hAnsi="Times New Roman" w:cs="Times New Roman"/>
                <w:smallCaps/>
                <w:sz w:val="16"/>
                <w:szCs w:val="16"/>
              </w:rPr>
              <w:t>)</w:t>
            </w:r>
          </w:p>
        </w:tc>
      </w:tr>
      <w:tr w:rsidR="00BA63F1" w:rsidRPr="006542D6" w:rsidTr="00473A5D">
        <w:tc>
          <w:tcPr>
            <w:tcW w:w="1800" w:type="dxa"/>
            <w:vAlign w:val="center"/>
          </w:tcPr>
          <w:p w:rsidR="00BA63F1" w:rsidRPr="006542D6" w:rsidRDefault="00BA63F1" w:rsidP="00473A5D">
            <w:pPr>
              <w:spacing w:line="360" w:lineRule="auto"/>
              <w:rPr>
                <w:rFonts w:ascii="Times New Roman" w:hAnsi="Times New Roman" w:cs="Times New Roman"/>
                <w:sz w:val="16"/>
                <w:szCs w:val="16"/>
              </w:rPr>
            </w:pPr>
            <w:r>
              <w:rPr>
                <w:rFonts w:ascii="Times New Roman" w:hAnsi="Times New Roman" w:cs="Times New Roman"/>
                <w:sz w:val="16"/>
                <w:szCs w:val="16"/>
              </w:rPr>
              <w:t>2-Year Lag Dummy</w:t>
            </w:r>
          </w:p>
        </w:tc>
        <w:tc>
          <w:tcPr>
            <w:tcW w:w="1242" w:type="dxa"/>
            <w:vAlign w:val="center"/>
          </w:tcPr>
          <w:p w:rsidR="00BA63F1" w:rsidRPr="006542D6" w:rsidRDefault="001301F4" w:rsidP="001301F4">
            <w:pPr>
              <w:spacing w:line="360" w:lineRule="auto"/>
              <w:jc w:val="center"/>
              <w:rPr>
                <w:rFonts w:ascii="Times New Roman" w:hAnsi="Times New Roman" w:cs="Times New Roman"/>
                <w:smallCaps/>
                <w:sz w:val="16"/>
                <w:szCs w:val="16"/>
              </w:rPr>
            </w:pPr>
            <w:r w:rsidRPr="001301F4">
              <w:rPr>
                <w:rFonts w:ascii="Times New Roman" w:hAnsi="Times New Roman" w:cs="Times New Roman"/>
                <w:smallCaps/>
                <w:sz w:val="16"/>
                <w:szCs w:val="16"/>
              </w:rPr>
              <w:t>-</w:t>
            </w:r>
            <w:r>
              <w:rPr>
                <w:rFonts w:ascii="Times New Roman" w:hAnsi="Times New Roman" w:cs="Times New Roman"/>
                <w:smallCaps/>
                <w:sz w:val="16"/>
                <w:szCs w:val="16"/>
              </w:rPr>
              <w:t>0</w:t>
            </w:r>
            <w:r w:rsidRPr="001301F4">
              <w:rPr>
                <w:rFonts w:ascii="Times New Roman" w:hAnsi="Times New Roman" w:cs="Times New Roman"/>
                <w:smallCaps/>
                <w:sz w:val="16"/>
                <w:szCs w:val="16"/>
              </w:rPr>
              <w:t>.077      (</w:t>
            </w:r>
            <w:r>
              <w:rPr>
                <w:rFonts w:ascii="Times New Roman" w:hAnsi="Times New Roman" w:cs="Times New Roman"/>
                <w:smallCaps/>
                <w:sz w:val="16"/>
                <w:szCs w:val="16"/>
              </w:rPr>
              <w:t>0</w:t>
            </w:r>
            <w:r w:rsidRPr="001301F4">
              <w:rPr>
                <w:rFonts w:ascii="Times New Roman" w:hAnsi="Times New Roman" w:cs="Times New Roman"/>
                <w:smallCaps/>
                <w:sz w:val="16"/>
                <w:szCs w:val="16"/>
              </w:rPr>
              <w:t>.12</w:t>
            </w:r>
            <w:r>
              <w:rPr>
                <w:rFonts w:ascii="Times New Roman" w:hAnsi="Times New Roman" w:cs="Times New Roman"/>
                <w:smallCaps/>
                <w:sz w:val="16"/>
                <w:szCs w:val="16"/>
              </w:rPr>
              <w:t>2</w:t>
            </w:r>
            <w:r w:rsidRPr="001301F4">
              <w:rPr>
                <w:rFonts w:ascii="Times New Roman" w:hAnsi="Times New Roman" w:cs="Times New Roman"/>
                <w:smallCaps/>
                <w:sz w:val="16"/>
                <w:szCs w:val="16"/>
              </w:rPr>
              <w:t>)</w:t>
            </w:r>
          </w:p>
        </w:tc>
        <w:tc>
          <w:tcPr>
            <w:tcW w:w="1242" w:type="dxa"/>
            <w:vAlign w:val="center"/>
          </w:tcPr>
          <w:p w:rsidR="001B0D87" w:rsidRDefault="001B0D87" w:rsidP="001B0D87">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0.049</w:t>
            </w:r>
            <w:r w:rsidR="001301F4" w:rsidRPr="001301F4">
              <w:rPr>
                <w:rFonts w:ascii="Times New Roman" w:hAnsi="Times New Roman" w:cs="Times New Roman"/>
                <w:smallCaps/>
                <w:sz w:val="16"/>
                <w:szCs w:val="16"/>
              </w:rPr>
              <w:t xml:space="preserve">      </w:t>
            </w:r>
          </w:p>
          <w:p w:rsidR="00BA63F1" w:rsidRPr="006542D6" w:rsidRDefault="001301F4" w:rsidP="001B0D87">
            <w:pPr>
              <w:spacing w:line="360" w:lineRule="auto"/>
              <w:jc w:val="center"/>
              <w:rPr>
                <w:rFonts w:ascii="Times New Roman" w:hAnsi="Times New Roman" w:cs="Times New Roman"/>
                <w:smallCaps/>
                <w:sz w:val="16"/>
                <w:szCs w:val="16"/>
              </w:rPr>
            </w:pPr>
            <w:r w:rsidRPr="001301F4">
              <w:rPr>
                <w:rFonts w:ascii="Times New Roman" w:hAnsi="Times New Roman" w:cs="Times New Roman"/>
                <w:smallCaps/>
                <w:sz w:val="16"/>
                <w:szCs w:val="16"/>
              </w:rPr>
              <w:t>(</w:t>
            </w:r>
            <w:r w:rsidR="001B0D87">
              <w:rPr>
                <w:rFonts w:ascii="Times New Roman" w:hAnsi="Times New Roman" w:cs="Times New Roman"/>
                <w:smallCaps/>
                <w:sz w:val="16"/>
                <w:szCs w:val="16"/>
              </w:rPr>
              <w:t>0</w:t>
            </w:r>
            <w:r w:rsidRPr="001301F4">
              <w:rPr>
                <w:rFonts w:ascii="Times New Roman" w:hAnsi="Times New Roman" w:cs="Times New Roman"/>
                <w:smallCaps/>
                <w:sz w:val="16"/>
                <w:szCs w:val="16"/>
              </w:rPr>
              <w:t>.066)</w:t>
            </w:r>
          </w:p>
        </w:tc>
        <w:tc>
          <w:tcPr>
            <w:tcW w:w="1242" w:type="dxa"/>
            <w:vAlign w:val="center"/>
          </w:tcPr>
          <w:p w:rsidR="007306DF" w:rsidRDefault="007306DF" w:rsidP="007306DF">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7306DF">
              <w:rPr>
                <w:rFonts w:ascii="Times New Roman" w:hAnsi="Times New Roman" w:cs="Times New Roman"/>
                <w:smallCaps/>
                <w:sz w:val="16"/>
                <w:szCs w:val="16"/>
              </w:rPr>
              <w:t>.02</w:t>
            </w:r>
            <w:r>
              <w:rPr>
                <w:rFonts w:ascii="Times New Roman" w:hAnsi="Times New Roman" w:cs="Times New Roman"/>
                <w:smallCaps/>
                <w:sz w:val="16"/>
                <w:szCs w:val="16"/>
              </w:rPr>
              <w:t>7</w:t>
            </w:r>
            <w:r w:rsidRPr="007306DF">
              <w:rPr>
                <w:rFonts w:ascii="Times New Roman" w:hAnsi="Times New Roman" w:cs="Times New Roman"/>
                <w:smallCaps/>
                <w:sz w:val="16"/>
                <w:szCs w:val="16"/>
              </w:rPr>
              <w:t xml:space="preserve">      </w:t>
            </w:r>
          </w:p>
          <w:p w:rsidR="00BA63F1" w:rsidRPr="006542D6" w:rsidRDefault="007306DF" w:rsidP="007306DF">
            <w:pPr>
              <w:spacing w:line="360" w:lineRule="auto"/>
              <w:jc w:val="center"/>
              <w:rPr>
                <w:rFonts w:ascii="Times New Roman" w:hAnsi="Times New Roman" w:cs="Times New Roman"/>
                <w:smallCaps/>
                <w:sz w:val="16"/>
                <w:szCs w:val="16"/>
              </w:rPr>
            </w:pPr>
            <w:r w:rsidRPr="007306DF">
              <w:rPr>
                <w:rFonts w:ascii="Times New Roman" w:hAnsi="Times New Roman" w:cs="Times New Roman"/>
                <w:smallCaps/>
                <w:sz w:val="16"/>
                <w:szCs w:val="16"/>
              </w:rPr>
              <w:t>(</w:t>
            </w:r>
            <w:r>
              <w:rPr>
                <w:rFonts w:ascii="Times New Roman" w:hAnsi="Times New Roman" w:cs="Times New Roman"/>
                <w:smallCaps/>
                <w:sz w:val="16"/>
                <w:szCs w:val="16"/>
              </w:rPr>
              <w:t>0</w:t>
            </w:r>
            <w:r w:rsidRPr="007306DF">
              <w:rPr>
                <w:rFonts w:ascii="Times New Roman" w:hAnsi="Times New Roman" w:cs="Times New Roman"/>
                <w:smallCaps/>
                <w:sz w:val="16"/>
                <w:szCs w:val="16"/>
              </w:rPr>
              <w:t>.07</w:t>
            </w:r>
            <w:r>
              <w:rPr>
                <w:rFonts w:ascii="Times New Roman" w:hAnsi="Times New Roman" w:cs="Times New Roman"/>
                <w:smallCaps/>
                <w:sz w:val="16"/>
                <w:szCs w:val="16"/>
              </w:rPr>
              <w:t>2</w:t>
            </w:r>
            <w:r w:rsidRPr="007306DF">
              <w:rPr>
                <w:rFonts w:ascii="Times New Roman" w:hAnsi="Times New Roman" w:cs="Times New Roman"/>
                <w:smallCaps/>
                <w:sz w:val="16"/>
                <w:szCs w:val="16"/>
              </w:rPr>
              <w:t>)</w:t>
            </w:r>
          </w:p>
        </w:tc>
        <w:tc>
          <w:tcPr>
            <w:tcW w:w="1242" w:type="dxa"/>
            <w:vAlign w:val="center"/>
          </w:tcPr>
          <w:p w:rsidR="00396738" w:rsidRDefault="00396738" w:rsidP="00396738">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396738">
              <w:rPr>
                <w:rFonts w:ascii="Times New Roman" w:hAnsi="Times New Roman" w:cs="Times New Roman"/>
                <w:smallCaps/>
                <w:sz w:val="16"/>
                <w:szCs w:val="16"/>
              </w:rPr>
              <w:t xml:space="preserve">.141      </w:t>
            </w:r>
          </w:p>
          <w:p w:rsidR="00BA63F1" w:rsidRPr="006542D6" w:rsidRDefault="00396738" w:rsidP="00396738">
            <w:pPr>
              <w:spacing w:line="360" w:lineRule="auto"/>
              <w:jc w:val="center"/>
              <w:rPr>
                <w:rFonts w:ascii="Times New Roman" w:hAnsi="Times New Roman" w:cs="Times New Roman"/>
                <w:smallCaps/>
                <w:sz w:val="16"/>
                <w:szCs w:val="16"/>
              </w:rPr>
            </w:pPr>
            <w:r w:rsidRPr="00396738">
              <w:rPr>
                <w:rFonts w:ascii="Times New Roman" w:hAnsi="Times New Roman" w:cs="Times New Roman"/>
                <w:smallCaps/>
                <w:sz w:val="16"/>
                <w:szCs w:val="16"/>
              </w:rPr>
              <w:t>(</w:t>
            </w:r>
            <w:r>
              <w:rPr>
                <w:rFonts w:ascii="Times New Roman" w:hAnsi="Times New Roman" w:cs="Times New Roman"/>
                <w:smallCaps/>
                <w:sz w:val="16"/>
                <w:szCs w:val="16"/>
              </w:rPr>
              <w:t>0</w:t>
            </w:r>
            <w:r w:rsidRPr="00396738">
              <w:rPr>
                <w:rFonts w:ascii="Times New Roman" w:hAnsi="Times New Roman" w:cs="Times New Roman"/>
                <w:smallCaps/>
                <w:sz w:val="16"/>
                <w:szCs w:val="16"/>
              </w:rPr>
              <w:t>.165)</w:t>
            </w:r>
          </w:p>
        </w:tc>
        <w:tc>
          <w:tcPr>
            <w:tcW w:w="1242" w:type="dxa"/>
            <w:vAlign w:val="center"/>
          </w:tcPr>
          <w:p w:rsidR="00BA63F1" w:rsidRPr="006542D6" w:rsidRDefault="0058408C" w:rsidP="00B94AA8">
            <w:pPr>
              <w:spacing w:line="360" w:lineRule="auto"/>
              <w:jc w:val="center"/>
              <w:rPr>
                <w:rFonts w:ascii="Times New Roman" w:hAnsi="Times New Roman" w:cs="Times New Roman"/>
                <w:smallCaps/>
                <w:sz w:val="16"/>
                <w:szCs w:val="16"/>
              </w:rPr>
            </w:pPr>
            <w:r w:rsidRPr="0058408C">
              <w:rPr>
                <w:rFonts w:ascii="Times New Roman" w:hAnsi="Times New Roman" w:cs="Times New Roman"/>
                <w:smallCaps/>
                <w:sz w:val="16"/>
                <w:szCs w:val="16"/>
              </w:rPr>
              <w:t>-</w:t>
            </w:r>
            <w:r>
              <w:rPr>
                <w:rFonts w:ascii="Times New Roman" w:hAnsi="Times New Roman" w:cs="Times New Roman"/>
                <w:smallCaps/>
                <w:sz w:val="16"/>
                <w:szCs w:val="16"/>
              </w:rPr>
              <w:t>0.152</w:t>
            </w:r>
            <w:r w:rsidRPr="0058408C">
              <w:rPr>
                <w:rFonts w:ascii="Times New Roman" w:hAnsi="Times New Roman" w:cs="Times New Roman"/>
                <w:smallCaps/>
                <w:sz w:val="16"/>
                <w:szCs w:val="16"/>
              </w:rPr>
              <w:t xml:space="preserve">      (</w:t>
            </w:r>
            <w:r>
              <w:rPr>
                <w:rFonts w:ascii="Times New Roman" w:hAnsi="Times New Roman" w:cs="Times New Roman"/>
                <w:smallCaps/>
                <w:sz w:val="16"/>
                <w:szCs w:val="16"/>
              </w:rPr>
              <w:t>0.092</w:t>
            </w:r>
            <w:r w:rsidRPr="0058408C">
              <w:rPr>
                <w:rFonts w:ascii="Times New Roman" w:hAnsi="Times New Roman" w:cs="Times New Roman"/>
                <w:smallCaps/>
                <w:sz w:val="16"/>
                <w:szCs w:val="16"/>
              </w:rPr>
              <w:t>)</w:t>
            </w:r>
          </w:p>
        </w:tc>
      </w:tr>
      <w:tr w:rsidR="00BA63F1" w:rsidRPr="006542D6" w:rsidTr="00473A5D">
        <w:tc>
          <w:tcPr>
            <w:tcW w:w="1800" w:type="dxa"/>
            <w:vAlign w:val="center"/>
          </w:tcPr>
          <w:p w:rsidR="00BA63F1" w:rsidRPr="006542D6" w:rsidRDefault="00BA63F1" w:rsidP="00473A5D">
            <w:pPr>
              <w:spacing w:line="360" w:lineRule="auto"/>
              <w:rPr>
                <w:rFonts w:ascii="Times New Roman" w:hAnsi="Times New Roman" w:cs="Times New Roman"/>
                <w:sz w:val="16"/>
                <w:szCs w:val="16"/>
              </w:rPr>
            </w:pPr>
            <w:r>
              <w:rPr>
                <w:rFonts w:ascii="Times New Roman" w:hAnsi="Times New Roman" w:cs="Times New Roman"/>
                <w:sz w:val="16"/>
                <w:szCs w:val="16"/>
              </w:rPr>
              <w:t>3-Year Lag Dummy</w:t>
            </w:r>
          </w:p>
        </w:tc>
        <w:tc>
          <w:tcPr>
            <w:tcW w:w="1242" w:type="dxa"/>
            <w:vAlign w:val="center"/>
          </w:tcPr>
          <w:p w:rsidR="001301F4" w:rsidRDefault="001301F4" w:rsidP="001301F4">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1301F4">
              <w:rPr>
                <w:rFonts w:ascii="Times New Roman" w:hAnsi="Times New Roman" w:cs="Times New Roman"/>
                <w:smallCaps/>
                <w:sz w:val="16"/>
                <w:szCs w:val="16"/>
              </w:rPr>
              <w:t>.08</w:t>
            </w:r>
            <w:r>
              <w:rPr>
                <w:rFonts w:ascii="Times New Roman" w:hAnsi="Times New Roman" w:cs="Times New Roman"/>
                <w:smallCaps/>
                <w:sz w:val="16"/>
                <w:szCs w:val="16"/>
              </w:rPr>
              <w:t>4</w:t>
            </w:r>
            <w:r w:rsidRPr="001301F4">
              <w:rPr>
                <w:rFonts w:ascii="Times New Roman" w:hAnsi="Times New Roman" w:cs="Times New Roman"/>
                <w:smallCaps/>
                <w:sz w:val="16"/>
                <w:szCs w:val="16"/>
              </w:rPr>
              <w:t xml:space="preserve">     </w:t>
            </w:r>
          </w:p>
          <w:p w:rsidR="00BA63F1" w:rsidRPr="006542D6" w:rsidRDefault="001301F4" w:rsidP="001301F4">
            <w:pPr>
              <w:spacing w:line="360" w:lineRule="auto"/>
              <w:jc w:val="center"/>
              <w:rPr>
                <w:rFonts w:ascii="Times New Roman" w:hAnsi="Times New Roman" w:cs="Times New Roman"/>
                <w:smallCaps/>
                <w:sz w:val="16"/>
                <w:szCs w:val="16"/>
              </w:rPr>
            </w:pPr>
            <w:r w:rsidRPr="001301F4">
              <w:rPr>
                <w:rFonts w:ascii="Times New Roman" w:hAnsi="Times New Roman" w:cs="Times New Roman"/>
                <w:smallCaps/>
                <w:sz w:val="16"/>
                <w:szCs w:val="16"/>
              </w:rPr>
              <w:t>(</w:t>
            </w:r>
            <w:r>
              <w:rPr>
                <w:rFonts w:ascii="Times New Roman" w:hAnsi="Times New Roman" w:cs="Times New Roman"/>
                <w:smallCaps/>
                <w:sz w:val="16"/>
                <w:szCs w:val="16"/>
              </w:rPr>
              <w:t>0</w:t>
            </w:r>
            <w:r w:rsidRPr="001301F4">
              <w:rPr>
                <w:rFonts w:ascii="Times New Roman" w:hAnsi="Times New Roman" w:cs="Times New Roman"/>
                <w:smallCaps/>
                <w:sz w:val="16"/>
                <w:szCs w:val="16"/>
              </w:rPr>
              <w:t>.15</w:t>
            </w:r>
            <w:r>
              <w:rPr>
                <w:rFonts w:ascii="Times New Roman" w:hAnsi="Times New Roman" w:cs="Times New Roman"/>
                <w:smallCaps/>
                <w:sz w:val="16"/>
                <w:szCs w:val="16"/>
              </w:rPr>
              <w:t>3</w:t>
            </w:r>
            <w:r w:rsidRPr="001301F4">
              <w:rPr>
                <w:rFonts w:ascii="Times New Roman" w:hAnsi="Times New Roman" w:cs="Times New Roman"/>
                <w:smallCaps/>
                <w:sz w:val="16"/>
                <w:szCs w:val="16"/>
              </w:rPr>
              <w:t>)</w:t>
            </w:r>
          </w:p>
        </w:tc>
        <w:tc>
          <w:tcPr>
            <w:tcW w:w="1242" w:type="dxa"/>
            <w:vAlign w:val="center"/>
          </w:tcPr>
          <w:p w:rsidR="00BA63F1" w:rsidRPr="006542D6" w:rsidRDefault="001301F4" w:rsidP="001B0D87">
            <w:pPr>
              <w:spacing w:line="360" w:lineRule="auto"/>
              <w:jc w:val="center"/>
              <w:rPr>
                <w:rFonts w:ascii="Times New Roman" w:hAnsi="Times New Roman" w:cs="Times New Roman"/>
                <w:smallCaps/>
                <w:sz w:val="16"/>
                <w:szCs w:val="16"/>
              </w:rPr>
            </w:pPr>
            <w:r w:rsidRPr="001301F4">
              <w:rPr>
                <w:rFonts w:ascii="Times New Roman" w:hAnsi="Times New Roman" w:cs="Times New Roman"/>
                <w:smallCaps/>
                <w:sz w:val="16"/>
                <w:szCs w:val="16"/>
              </w:rPr>
              <w:t>-</w:t>
            </w:r>
            <w:r w:rsidR="001B0D87">
              <w:rPr>
                <w:rFonts w:ascii="Times New Roman" w:hAnsi="Times New Roman" w:cs="Times New Roman"/>
                <w:smallCaps/>
                <w:sz w:val="16"/>
                <w:szCs w:val="16"/>
              </w:rPr>
              <w:t>0</w:t>
            </w:r>
            <w:r w:rsidRPr="001301F4">
              <w:rPr>
                <w:rFonts w:ascii="Times New Roman" w:hAnsi="Times New Roman" w:cs="Times New Roman"/>
                <w:smallCaps/>
                <w:sz w:val="16"/>
                <w:szCs w:val="16"/>
              </w:rPr>
              <w:t>.13</w:t>
            </w:r>
            <w:r w:rsidR="001B0D87">
              <w:rPr>
                <w:rFonts w:ascii="Times New Roman" w:hAnsi="Times New Roman" w:cs="Times New Roman"/>
                <w:smallCaps/>
                <w:sz w:val="16"/>
                <w:szCs w:val="16"/>
              </w:rPr>
              <w:t>5</w:t>
            </w:r>
            <w:r w:rsidRPr="001301F4">
              <w:rPr>
                <w:rFonts w:ascii="Times New Roman" w:hAnsi="Times New Roman" w:cs="Times New Roman"/>
                <w:smallCaps/>
                <w:sz w:val="16"/>
                <w:szCs w:val="16"/>
              </w:rPr>
              <w:t xml:space="preserve">      (</w:t>
            </w:r>
            <w:r w:rsidR="001B0D87">
              <w:rPr>
                <w:rFonts w:ascii="Times New Roman" w:hAnsi="Times New Roman" w:cs="Times New Roman"/>
                <w:smallCaps/>
                <w:sz w:val="16"/>
                <w:szCs w:val="16"/>
              </w:rPr>
              <w:t>0</w:t>
            </w:r>
            <w:r w:rsidRPr="001301F4">
              <w:rPr>
                <w:rFonts w:ascii="Times New Roman" w:hAnsi="Times New Roman" w:cs="Times New Roman"/>
                <w:smallCaps/>
                <w:sz w:val="16"/>
                <w:szCs w:val="16"/>
              </w:rPr>
              <w:t>.10</w:t>
            </w:r>
            <w:r w:rsidR="001B0D87">
              <w:rPr>
                <w:rFonts w:ascii="Times New Roman" w:hAnsi="Times New Roman" w:cs="Times New Roman"/>
                <w:smallCaps/>
                <w:sz w:val="16"/>
                <w:szCs w:val="16"/>
              </w:rPr>
              <w:t>2</w:t>
            </w:r>
            <w:r w:rsidRPr="001301F4">
              <w:rPr>
                <w:rFonts w:ascii="Times New Roman" w:hAnsi="Times New Roman" w:cs="Times New Roman"/>
                <w:smallCaps/>
                <w:sz w:val="16"/>
                <w:szCs w:val="16"/>
              </w:rPr>
              <w:t>)</w:t>
            </w:r>
          </w:p>
        </w:tc>
        <w:tc>
          <w:tcPr>
            <w:tcW w:w="1242" w:type="dxa"/>
            <w:vAlign w:val="center"/>
          </w:tcPr>
          <w:p w:rsidR="007306DF" w:rsidRDefault="007306DF" w:rsidP="007306DF">
            <w:pPr>
              <w:spacing w:line="360" w:lineRule="auto"/>
              <w:jc w:val="center"/>
              <w:rPr>
                <w:rFonts w:ascii="Times New Roman" w:hAnsi="Times New Roman" w:cs="Times New Roman"/>
                <w:smallCaps/>
                <w:sz w:val="16"/>
                <w:szCs w:val="16"/>
              </w:rPr>
            </w:pPr>
            <w:r w:rsidRPr="007306DF">
              <w:rPr>
                <w:rFonts w:ascii="Times New Roman" w:hAnsi="Times New Roman" w:cs="Times New Roman"/>
                <w:smallCaps/>
                <w:sz w:val="16"/>
                <w:szCs w:val="16"/>
              </w:rPr>
              <w:t>-</w:t>
            </w:r>
            <w:r>
              <w:rPr>
                <w:rFonts w:ascii="Times New Roman" w:hAnsi="Times New Roman" w:cs="Times New Roman"/>
                <w:smallCaps/>
                <w:sz w:val="16"/>
                <w:szCs w:val="16"/>
              </w:rPr>
              <w:t>0</w:t>
            </w:r>
            <w:r w:rsidRPr="007306DF">
              <w:rPr>
                <w:rFonts w:ascii="Times New Roman" w:hAnsi="Times New Roman" w:cs="Times New Roman"/>
                <w:smallCaps/>
                <w:sz w:val="16"/>
                <w:szCs w:val="16"/>
              </w:rPr>
              <w:t>.13</w:t>
            </w:r>
            <w:r>
              <w:rPr>
                <w:rFonts w:ascii="Times New Roman" w:hAnsi="Times New Roman" w:cs="Times New Roman"/>
                <w:smallCaps/>
                <w:sz w:val="16"/>
                <w:szCs w:val="16"/>
              </w:rPr>
              <w:t>8</w:t>
            </w:r>
          </w:p>
          <w:p w:rsidR="00BA63F1" w:rsidRPr="006542D6" w:rsidRDefault="007306DF" w:rsidP="007306DF">
            <w:pPr>
              <w:spacing w:line="360" w:lineRule="auto"/>
              <w:jc w:val="center"/>
              <w:rPr>
                <w:rFonts w:ascii="Times New Roman" w:hAnsi="Times New Roman" w:cs="Times New Roman"/>
                <w:smallCaps/>
                <w:sz w:val="16"/>
                <w:szCs w:val="16"/>
              </w:rPr>
            </w:pPr>
            <w:r w:rsidRPr="007306DF">
              <w:rPr>
                <w:rFonts w:ascii="Times New Roman" w:hAnsi="Times New Roman" w:cs="Times New Roman"/>
                <w:smallCaps/>
                <w:sz w:val="16"/>
                <w:szCs w:val="16"/>
              </w:rPr>
              <w:t>(</w:t>
            </w:r>
            <w:r>
              <w:rPr>
                <w:rFonts w:ascii="Times New Roman" w:hAnsi="Times New Roman" w:cs="Times New Roman"/>
                <w:smallCaps/>
                <w:sz w:val="16"/>
                <w:szCs w:val="16"/>
              </w:rPr>
              <w:t>0</w:t>
            </w:r>
            <w:r w:rsidRPr="007306DF">
              <w:rPr>
                <w:rFonts w:ascii="Times New Roman" w:hAnsi="Times New Roman" w:cs="Times New Roman"/>
                <w:smallCaps/>
                <w:sz w:val="16"/>
                <w:szCs w:val="16"/>
              </w:rPr>
              <w:t>.100)</w:t>
            </w:r>
          </w:p>
        </w:tc>
        <w:tc>
          <w:tcPr>
            <w:tcW w:w="1242" w:type="dxa"/>
            <w:vAlign w:val="center"/>
          </w:tcPr>
          <w:p w:rsidR="00BA63F1" w:rsidRPr="006542D6" w:rsidRDefault="00396738" w:rsidP="00396738">
            <w:pPr>
              <w:spacing w:line="360" w:lineRule="auto"/>
              <w:jc w:val="center"/>
              <w:rPr>
                <w:rFonts w:ascii="Times New Roman" w:hAnsi="Times New Roman" w:cs="Times New Roman"/>
                <w:smallCaps/>
                <w:sz w:val="16"/>
                <w:szCs w:val="16"/>
              </w:rPr>
            </w:pPr>
            <w:r w:rsidRPr="00396738">
              <w:rPr>
                <w:rFonts w:ascii="Times New Roman" w:hAnsi="Times New Roman" w:cs="Times New Roman"/>
                <w:smallCaps/>
                <w:sz w:val="16"/>
                <w:szCs w:val="16"/>
              </w:rPr>
              <w:t>-</w:t>
            </w:r>
            <w:r>
              <w:rPr>
                <w:rFonts w:ascii="Times New Roman" w:hAnsi="Times New Roman" w:cs="Times New Roman"/>
                <w:smallCaps/>
                <w:sz w:val="16"/>
                <w:szCs w:val="16"/>
              </w:rPr>
              <w:t>0</w:t>
            </w:r>
            <w:r w:rsidRPr="00396738">
              <w:rPr>
                <w:rFonts w:ascii="Times New Roman" w:hAnsi="Times New Roman" w:cs="Times New Roman"/>
                <w:smallCaps/>
                <w:sz w:val="16"/>
                <w:szCs w:val="16"/>
              </w:rPr>
              <w:t>.18</w:t>
            </w:r>
            <w:r>
              <w:rPr>
                <w:rFonts w:ascii="Times New Roman" w:hAnsi="Times New Roman" w:cs="Times New Roman"/>
                <w:smallCaps/>
                <w:sz w:val="16"/>
                <w:szCs w:val="16"/>
              </w:rPr>
              <w:t>9</w:t>
            </w:r>
            <w:r w:rsidRPr="00396738">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396738">
              <w:rPr>
                <w:rFonts w:ascii="Times New Roman" w:hAnsi="Times New Roman" w:cs="Times New Roman"/>
                <w:smallCaps/>
                <w:sz w:val="16"/>
                <w:szCs w:val="16"/>
              </w:rPr>
              <w:t>.180)</w:t>
            </w:r>
          </w:p>
        </w:tc>
        <w:tc>
          <w:tcPr>
            <w:tcW w:w="1242" w:type="dxa"/>
            <w:vAlign w:val="center"/>
          </w:tcPr>
          <w:p w:rsidR="0058408C" w:rsidRDefault="0058408C" w:rsidP="0058408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58408C">
              <w:rPr>
                <w:rFonts w:ascii="Times New Roman" w:hAnsi="Times New Roman" w:cs="Times New Roman"/>
                <w:smallCaps/>
                <w:sz w:val="16"/>
                <w:szCs w:val="16"/>
              </w:rPr>
              <w:t xml:space="preserve">.159      </w:t>
            </w:r>
          </w:p>
          <w:p w:rsidR="00BA63F1" w:rsidRPr="006542D6" w:rsidRDefault="0058408C" w:rsidP="0058408C">
            <w:pPr>
              <w:spacing w:line="360" w:lineRule="auto"/>
              <w:jc w:val="center"/>
              <w:rPr>
                <w:rFonts w:ascii="Times New Roman" w:hAnsi="Times New Roman" w:cs="Times New Roman"/>
                <w:smallCaps/>
                <w:sz w:val="16"/>
                <w:szCs w:val="16"/>
              </w:rPr>
            </w:pPr>
            <w:r w:rsidRPr="0058408C">
              <w:rPr>
                <w:rFonts w:ascii="Times New Roman" w:hAnsi="Times New Roman" w:cs="Times New Roman"/>
                <w:smallCaps/>
                <w:sz w:val="16"/>
                <w:szCs w:val="16"/>
              </w:rPr>
              <w:t>(</w:t>
            </w:r>
            <w:r>
              <w:rPr>
                <w:rFonts w:ascii="Times New Roman" w:hAnsi="Times New Roman" w:cs="Times New Roman"/>
                <w:smallCaps/>
                <w:sz w:val="16"/>
                <w:szCs w:val="16"/>
              </w:rPr>
              <w:t>0</w:t>
            </w:r>
            <w:r w:rsidRPr="0058408C">
              <w:rPr>
                <w:rFonts w:ascii="Times New Roman" w:hAnsi="Times New Roman" w:cs="Times New Roman"/>
                <w:smallCaps/>
                <w:sz w:val="16"/>
                <w:szCs w:val="16"/>
              </w:rPr>
              <w:t>.147)</w:t>
            </w:r>
          </w:p>
        </w:tc>
      </w:tr>
      <w:tr w:rsidR="00BA63F1" w:rsidRPr="006542D6" w:rsidTr="00473A5D">
        <w:tc>
          <w:tcPr>
            <w:tcW w:w="1800" w:type="dxa"/>
            <w:tcBorders>
              <w:bottom w:val="single" w:sz="12" w:space="0" w:color="auto"/>
            </w:tcBorders>
            <w:vAlign w:val="center"/>
          </w:tcPr>
          <w:p w:rsidR="00BA63F1" w:rsidRPr="006542D6" w:rsidRDefault="00BA63F1" w:rsidP="00473A5D">
            <w:pPr>
              <w:spacing w:line="360" w:lineRule="auto"/>
              <w:rPr>
                <w:rFonts w:ascii="Times New Roman" w:hAnsi="Times New Roman" w:cs="Times New Roman"/>
                <w:sz w:val="16"/>
                <w:szCs w:val="16"/>
              </w:rPr>
            </w:pPr>
            <w:r>
              <w:rPr>
                <w:rFonts w:ascii="Times New Roman" w:hAnsi="Times New Roman" w:cs="Times New Roman"/>
                <w:sz w:val="16"/>
                <w:szCs w:val="16"/>
              </w:rPr>
              <w:t>4-Year Lag Dummy</w:t>
            </w:r>
          </w:p>
        </w:tc>
        <w:tc>
          <w:tcPr>
            <w:tcW w:w="1242" w:type="dxa"/>
            <w:tcBorders>
              <w:bottom w:val="single" w:sz="12" w:space="0" w:color="auto"/>
            </w:tcBorders>
            <w:vAlign w:val="center"/>
          </w:tcPr>
          <w:p w:rsidR="00BA63F1" w:rsidRPr="006542D6" w:rsidRDefault="001301F4" w:rsidP="001301F4">
            <w:pPr>
              <w:spacing w:line="360" w:lineRule="auto"/>
              <w:jc w:val="center"/>
              <w:rPr>
                <w:rFonts w:ascii="Times New Roman" w:hAnsi="Times New Roman" w:cs="Times New Roman"/>
                <w:smallCaps/>
                <w:sz w:val="16"/>
                <w:szCs w:val="16"/>
              </w:rPr>
            </w:pPr>
            <w:r w:rsidRPr="001301F4">
              <w:rPr>
                <w:rFonts w:ascii="Times New Roman" w:hAnsi="Times New Roman" w:cs="Times New Roman"/>
                <w:smallCaps/>
                <w:sz w:val="16"/>
                <w:szCs w:val="16"/>
              </w:rPr>
              <w:t>-</w:t>
            </w:r>
            <w:r>
              <w:rPr>
                <w:rFonts w:ascii="Times New Roman" w:hAnsi="Times New Roman" w:cs="Times New Roman"/>
                <w:smallCaps/>
                <w:sz w:val="16"/>
                <w:szCs w:val="16"/>
              </w:rPr>
              <w:t>0</w:t>
            </w:r>
            <w:r w:rsidRPr="001301F4">
              <w:rPr>
                <w:rFonts w:ascii="Times New Roman" w:hAnsi="Times New Roman" w:cs="Times New Roman"/>
                <w:smallCaps/>
                <w:sz w:val="16"/>
                <w:szCs w:val="16"/>
              </w:rPr>
              <w:t>.130      (</w:t>
            </w:r>
            <w:r>
              <w:rPr>
                <w:rFonts w:ascii="Times New Roman" w:hAnsi="Times New Roman" w:cs="Times New Roman"/>
                <w:smallCaps/>
                <w:sz w:val="16"/>
                <w:szCs w:val="16"/>
              </w:rPr>
              <w:t>0</w:t>
            </w:r>
            <w:r w:rsidRPr="001301F4">
              <w:rPr>
                <w:rFonts w:ascii="Times New Roman" w:hAnsi="Times New Roman" w:cs="Times New Roman"/>
                <w:smallCaps/>
                <w:sz w:val="16"/>
                <w:szCs w:val="16"/>
              </w:rPr>
              <w:t>.09</w:t>
            </w:r>
            <w:r>
              <w:rPr>
                <w:rFonts w:ascii="Times New Roman" w:hAnsi="Times New Roman" w:cs="Times New Roman"/>
                <w:smallCaps/>
                <w:sz w:val="16"/>
                <w:szCs w:val="16"/>
              </w:rPr>
              <w:t>5</w:t>
            </w:r>
            <w:r w:rsidRPr="001301F4">
              <w:rPr>
                <w:rFonts w:ascii="Times New Roman" w:hAnsi="Times New Roman" w:cs="Times New Roman"/>
                <w:smallCaps/>
                <w:sz w:val="16"/>
                <w:szCs w:val="16"/>
              </w:rPr>
              <w:t>)</w:t>
            </w:r>
          </w:p>
        </w:tc>
        <w:tc>
          <w:tcPr>
            <w:tcW w:w="1242" w:type="dxa"/>
            <w:tcBorders>
              <w:bottom w:val="single" w:sz="12" w:space="0" w:color="auto"/>
            </w:tcBorders>
            <w:vAlign w:val="center"/>
          </w:tcPr>
          <w:p w:rsidR="00BA63F1" w:rsidRPr="006542D6" w:rsidRDefault="001301F4" w:rsidP="001B0D87">
            <w:pPr>
              <w:spacing w:line="360" w:lineRule="auto"/>
              <w:jc w:val="center"/>
              <w:rPr>
                <w:rFonts w:ascii="Times New Roman" w:hAnsi="Times New Roman" w:cs="Times New Roman"/>
                <w:smallCaps/>
                <w:sz w:val="16"/>
                <w:szCs w:val="16"/>
              </w:rPr>
            </w:pPr>
            <w:r w:rsidRPr="001301F4">
              <w:rPr>
                <w:rFonts w:ascii="Times New Roman" w:hAnsi="Times New Roman" w:cs="Times New Roman"/>
                <w:smallCaps/>
                <w:sz w:val="16"/>
                <w:szCs w:val="16"/>
              </w:rPr>
              <w:t>-</w:t>
            </w:r>
            <w:r w:rsidR="001B0D87">
              <w:rPr>
                <w:rFonts w:ascii="Times New Roman" w:hAnsi="Times New Roman" w:cs="Times New Roman"/>
                <w:smallCaps/>
                <w:sz w:val="16"/>
                <w:szCs w:val="16"/>
              </w:rPr>
              <w:t>0.165</w:t>
            </w:r>
            <w:r w:rsidRPr="001301F4">
              <w:rPr>
                <w:rFonts w:ascii="Times New Roman" w:hAnsi="Times New Roman" w:cs="Times New Roman"/>
                <w:smallCaps/>
                <w:sz w:val="16"/>
                <w:szCs w:val="16"/>
              </w:rPr>
              <w:t xml:space="preserve">       (</w:t>
            </w:r>
            <w:r w:rsidR="001B0D87">
              <w:rPr>
                <w:rFonts w:ascii="Times New Roman" w:hAnsi="Times New Roman" w:cs="Times New Roman"/>
                <w:smallCaps/>
                <w:sz w:val="16"/>
                <w:szCs w:val="16"/>
              </w:rPr>
              <w:t>0</w:t>
            </w:r>
            <w:r w:rsidRPr="001301F4">
              <w:rPr>
                <w:rFonts w:ascii="Times New Roman" w:hAnsi="Times New Roman" w:cs="Times New Roman"/>
                <w:smallCaps/>
                <w:sz w:val="16"/>
                <w:szCs w:val="16"/>
              </w:rPr>
              <w:t>.13</w:t>
            </w:r>
            <w:r w:rsidR="001B0D87">
              <w:rPr>
                <w:rFonts w:ascii="Times New Roman" w:hAnsi="Times New Roman" w:cs="Times New Roman"/>
                <w:smallCaps/>
                <w:sz w:val="16"/>
                <w:szCs w:val="16"/>
              </w:rPr>
              <w:t>5</w:t>
            </w:r>
            <w:r w:rsidRPr="001301F4">
              <w:rPr>
                <w:rFonts w:ascii="Times New Roman" w:hAnsi="Times New Roman" w:cs="Times New Roman"/>
                <w:smallCaps/>
                <w:sz w:val="16"/>
                <w:szCs w:val="16"/>
              </w:rPr>
              <w:t>)</w:t>
            </w:r>
          </w:p>
        </w:tc>
        <w:tc>
          <w:tcPr>
            <w:tcW w:w="1242" w:type="dxa"/>
            <w:tcBorders>
              <w:bottom w:val="single" w:sz="12" w:space="0" w:color="auto"/>
            </w:tcBorders>
            <w:vAlign w:val="center"/>
          </w:tcPr>
          <w:p w:rsidR="00BA63F1" w:rsidRPr="006542D6" w:rsidRDefault="007306DF" w:rsidP="007306DF">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-0.183      (0.137</w:t>
            </w:r>
            <w:r w:rsidRPr="007306DF">
              <w:rPr>
                <w:rFonts w:ascii="Times New Roman" w:hAnsi="Times New Roman" w:cs="Times New Roman"/>
                <w:smallCaps/>
                <w:sz w:val="16"/>
                <w:szCs w:val="16"/>
              </w:rPr>
              <w:t>)</w:t>
            </w:r>
          </w:p>
        </w:tc>
        <w:tc>
          <w:tcPr>
            <w:tcW w:w="1242" w:type="dxa"/>
            <w:tcBorders>
              <w:bottom w:val="single" w:sz="12" w:space="0" w:color="auto"/>
            </w:tcBorders>
            <w:vAlign w:val="center"/>
          </w:tcPr>
          <w:p w:rsidR="00BA63F1" w:rsidRPr="006542D6" w:rsidRDefault="00396738" w:rsidP="00396738">
            <w:pPr>
              <w:spacing w:line="360" w:lineRule="auto"/>
              <w:jc w:val="center"/>
              <w:rPr>
                <w:rFonts w:ascii="Times New Roman" w:hAnsi="Times New Roman" w:cs="Times New Roman"/>
                <w:smallCaps/>
                <w:sz w:val="16"/>
                <w:szCs w:val="16"/>
              </w:rPr>
            </w:pPr>
            <w:r w:rsidRPr="00396738">
              <w:rPr>
                <w:rFonts w:ascii="Times New Roman" w:hAnsi="Times New Roman" w:cs="Times New Roman"/>
                <w:smallCaps/>
                <w:sz w:val="16"/>
                <w:szCs w:val="16"/>
              </w:rPr>
              <w:t>-</w:t>
            </w:r>
            <w:r>
              <w:rPr>
                <w:rFonts w:ascii="Times New Roman" w:hAnsi="Times New Roman" w:cs="Times New Roman"/>
                <w:smallCaps/>
                <w:sz w:val="16"/>
                <w:szCs w:val="16"/>
              </w:rPr>
              <w:t>0</w:t>
            </w:r>
            <w:r w:rsidRPr="00396738">
              <w:rPr>
                <w:rFonts w:ascii="Times New Roman" w:hAnsi="Times New Roman" w:cs="Times New Roman"/>
                <w:smallCaps/>
                <w:sz w:val="16"/>
                <w:szCs w:val="16"/>
              </w:rPr>
              <w:t>.116      (</w:t>
            </w:r>
            <w:r>
              <w:rPr>
                <w:rFonts w:ascii="Times New Roman" w:hAnsi="Times New Roman" w:cs="Times New Roman"/>
                <w:smallCaps/>
                <w:sz w:val="16"/>
                <w:szCs w:val="16"/>
              </w:rPr>
              <w:t>0</w:t>
            </w:r>
            <w:r w:rsidRPr="00396738">
              <w:rPr>
                <w:rFonts w:ascii="Times New Roman" w:hAnsi="Times New Roman" w:cs="Times New Roman"/>
                <w:smallCaps/>
                <w:sz w:val="16"/>
                <w:szCs w:val="16"/>
              </w:rPr>
              <w:t>.1</w:t>
            </w:r>
            <w:r>
              <w:rPr>
                <w:rFonts w:ascii="Times New Roman" w:hAnsi="Times New Roman" w:cs="Times New Roman"/>
                <w:smallCaps/>
                <w:sz w:val="16"/>
                <w:szCs w:val="16"/>
              </w:rPr>
              <w:t>60</w:t>
            </w:r>
            <w:r w:rsidRPr="00396738">
              <w:rPr>
                <w:rFonts w:ascii="Times New Roman" w:hAnsi="Times New Roman" w:cs="Times New Roman"/>
                <w:smallCaps/>
                <w:sz w:val="16"/>
                <w:szCs w:val="16"/>
              </w:rPr>
              <w:t>)</w:t>
            </w:r>
          </w:p>
        </w:tc>
        <w:tc>
          <w:tcPr>
            <w:tcW w:w="1242" w:type="dxa"/>
            <w:tcBorders>
              <w:bottom w:val="single" w:sz="12" w:space="0" w:color="auto"/>
            </w:tcBorders>
            <w:vAlign w:val="center"/>
          </w:tcPr>
          <w:p w:rsidR="0058408C" w:rsidRDefault="0058408C" w:rsidP="0058408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58408C">
              <w:rPr>
                <w:rFonts w:ascii="Times New Roman" w:hAnsi="Times New Roman" w:cs="Times New Roman"/>
                <w:smallCaps/>
                <w:sz w:val="16"/>
                <w:szCs w:val="16"/>
              </w:rPr>
              <w:t xml:space="preserve">.011     </w:t>
            </w:r>
          </w:p>
          <w:p w:rsidR="00BA63F1" w:rsidRPr="006542D6" w:rsidRDefault="0058408C" w:rsidP="0058408C">
            <w:pPr>
              <w:spacing w:line="360" w:lineRule="auto"/>
              <w:jc w:val="center"/>
              <w:rPr>
                <w:rFonts w:ascii="Times New Roman" w:hAnsi="Times New Roman" w:cs="Times New Roman"/>
                <w:smallCaps/>
                <w:sz w:val="16"/>
                <w:szCs w:val="16"/>
              </w:rPr>
            </w:pPr>
            <w:r w:rsidRPr="0058408C">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58408C">
              <w:rPr>
                <w:rFonts w:ascii="Times New Roman" w:hAnsi="Times New Roman" w:cs="Times New Roman"/>
                <w:smallCaps/>
                <w:sz w:val="16"/>
                <w:szCs w:val="16"/>
              </w:rPr>
              <w:t>.126)</w:t>
            </w:r>
          </w:p>
        </w:tc>
      </w:tr>
      <w:tr w:rsidR="00BA63F1" w:rsidRPr="006542D6" w:rsidTr="00473A5D">
        <w:tc>
          <w:tcPr>
            <w:tcW w:w="8010" w:type="dxa"/>
            <w:gridSpan w:val="6"/>
            <w:tcBorders>
              <w:top w:val="single" w:sz="12" w:space="0" w:color="auto"/>
            </w:tcBorders>
            <w:vAlign w:val="center"/>
          </w:tcPr>
          <w:p w:rsidR="00BA63F1" w:rsidRDefault="00BA63F1" w:rsidP="00473A5D">
            <w:pPr>
              <w:jc w:val="both"/>
              <w:rPr>
                <w:rFonts w:ascii="Times New Roman" w:hAnsi="Times New Roman" w:cs="Times New Roman"/>
                <w:sz w:val="16"/>
                <w:szCs w:val="16"/>
              </w:rPr>
            </w:pPr>
            <w:r w:rsidRPr="007B49C5">
              <w:rPr>
                <w:rFonts w:ascii="Times New Roman" w:hAnsi="Times New Roman" w:cs="Times New Roman"/>
                <w:i/>
                <w:sz w:val="16"/>
                <w:szCs w:val="16"/>
              </w:rPr>
              <w:t>Notes</w:t>
            </w:r>
            <w:r>
              <w:rPr>
                <w:rFonts w:ascii="Times New Roman" w:hAnsi="Times New Roman" w:cs="Times New Roman"/>
                <w:sz w:val="16"/>
                <w:szCs w:val="16"/>
              </w:rPr>
              <w:t>: r</w:t>
            </w:r>
            <w:r w:rsidRPr="006542D6">
              <w:rPr>
                <w:rFonts w:ascii="Times New Roman" w:hAnsi="Times New Roman" w:cs="Times New Roman"/>
                <w:sz w:val="16"/>
                <w:szCs w:val="16"/>
              </w:rPr>
              <w:t xml:space="preserve">obust standard errors corrected for within-state correlation in the error term are reported in parentheses.  </w:t>
            </w:r>
            <w:r>
              <w:rPr>
                <w:rFonts w:ascii="Times New Roman" w:hAnsi="Times New Roman" w:cs="Times New Roman"/>
                <w:sz w:val="16"/>
                <w:szCs w:val="16"/>
              </w:rPr>
              <w:t>Each specification controls for state fixed effects, year fixed effects</w:t>
            </w:r>
            <w:r w:rsidR="005C58CF">
              <w:rPr>
                <w:rFonts w:ascii="Times New Roman" w:hAnsi="Times New Roman" w:cs="Times New Roman"/>
                <w:sz w:val="16"/>
                <w:szCs w:val="16"/>
              </w:rPr>
              <w:t>, various covariates</w:t>
            </w:r>
            <w:r>
              <w:rPr>
                <w:rFonts w:ascii="Times New Roman" w:hAnsi="Times New Roman" w:cs="Times New Roman"/>
                <w:sz w:val="16"/>
                <w:szCs w:val="16"/>
              </w:rPr>
              <w:t xml:space="preserve"> and a set of state specific linear time trends.</w:t>
            </w:r>
            <w:r w:rsidR="00363827">
              <w:rPr>
                <w:rFonts w:ascii="Times New Roman" w:hAnsi="Times New Roman" w:cs="Times New Roman"/>
                <w:sz w:val="16"/>
                <w:szCs w:val="16"/>
              </w:rPr>
              <w:t xml:space="preserve">  Specifications are weighted per their counterparts in Tables 9-12 of the text.  Dependent variables are logged.</w:t>
            </w:r>
            <w:r>
              <w:rPr>
                <w:rFonts w:ascii="Times New Roman" w:hAnsi="Times New Roman" w:cs="Times New Roman"/>
                <w:sz w:val="16"/>
                <w:szCs w:val="16"/>
              </w:rPr>
              <w:t xml:space="preserve">  </w:t>
            </w:r>
          </w:p>
          <w:p w:rsidR="00BA63F1" w:rsidRDefault="00BA63F1" w:rsidP="00473A5D">
            <w:pPr>
              <w:pStyle w:val="TableNotes"/>
              <w:spacing w:before="0" w:line="240" w:lineRule="auto"/>
            </w:pPr>
            <w:r>
              <w:t xml:space="preserve">*** Significant at the 1 percent level. </w:t>
            </w:r>
          </w:p>
          <w:p w:rsidR="00BA63F1" w:rsidRDefault="00BA63F1" w:rsidP="00473A5D">
            <w:pPr>
              <w:pStyle w:val="TableNotes"/>
              <w:spacing w:before="0" w:line="240" w:lineRule="auto"/>
            </w:pPr>
            <w:r>
              <w:t>** Significant at the 5 percent level.</w:t>
            </w:r>
          </w:p>
          <w:p w:rsidR="00BA63F1" w:rsidRDefault="00BA63F1" w:rsidP="00473A5D">
            <w:pPr>
              <w:rPr>
                <w:rFonts w:ascii="Times New Roman" w:hAnsi="Times New Roman" w:cs="Times New Roman"/>
                <w:sz w:val="24"/>
                <w:szCs w:val="24"/>
              </w:rPr>
            </w:pPr>
            <w:r w:rsidRPr="007B49C5">
              <w:rPr>
                <w:rFonts w:ascii="Times New Roman" w:hAnsi="Times New Roman" w:cs="Times New Roman"/>
                <w:sz w:val="16"/>
                <w:szCs w:val="16"/>
              </w:rPr>
              <w:t>* Significant at the 10 percent level.</w:t>
            </w:r>
          </w:p>
          <w:p w:rsidR="00BA63F1" w:rsidRDefault="00BA63F1" w:rsidP="00473A5D">
            <w:pPr>
              <w:spacing w:line="360" w:lineRule="auto"/>
              <w:rPr>
                <w:rFonts w:ascii="Times New Roman" w:hAnsi="Times New Roman" w:cs="Times New Roman"/>
                <w:smallCaps/>
                <w:sz w:val="16"/>
                <w:szCs w:val="16"/>
              </w:rPr>
            </w:pPr>
          </w:p>
          <w:p w:rsidR="00BA63F1" w:rsidRDefault="00BA63F1" w:rsidP="00473A5D">
            <w:pPr>
              <w:spacing w:line="360" w:lineRule="auto"/>
              <w:rPr>
                <w:rFonts w:ascii="Times New Roman" w:hAnsi="Times New Roman" w:cs="Times New Roman"/>
                <w:smallCaps/>
                <w:sz w:val="16"/>
                <w:szCs w:val="16"/>
              </w:rPr>
            </w:pPr>
          </w:p>
          <w:p w:rsidR="00BA63F1" w:rsidRDefault="00BA63F1" w:rsidP="00473A5D">
            <w:pPr>
              <w:spacing w:line="360" w:lineRule="auto"/>
              <w:rPr>
                <w:rFonts w:ascii="Times New Roman" w:hAnsi="Times New Roman" w:cs="Times New Roman"/>
                <w:smallCaps/>
                <w:sz w:val="16"/>
                <w:szCs w:val="16"/>
              </w:rPr>
            </w:pPr>
          </w:p>
          <w:p w:rsidR="00BA63F1" w:rsidRDefault="00BA63F1" w:rsidP="00473A5D">
            <w:pPr>
              <w:spacing w:line="360" w:lineRule="auto"/>
              <w:rPr>
                <w:rFonts w:ascii="Times New Roman" w:hAnsi="Times New Roman" w:cs="Times New Roman"/>
                <w:smallCaps/>
                <w:sz w:val="16"/>
                <w:szCs w:val="16"/>
              </w:rPr>
            </w:pPr>
          </w:p>
          <w:p w:rsidR="00BA63F1" w:rsidRPr="00800EDB" w:rsidRDefault="00BA63F1" w:rsidP="00473A5D">
            <w:pPr>
              <w:spacing w:line="360" w:lineRule="auto"/>
              <w:rPr>
                <w:rFonts w:ascii="Times New Roman" w:hAnsi="Times New Roman" w:cs="Times New Roman"/>
                <w:smallCaps/>
                <w:sz w:val="16"/>
                <w:szCs w:val="16"/>
              </w:rPr>
            </w:pPr>
          </w:p>
        </w:tc>
      </w:tr>
    </w:tbl>
    <w:p w:rsidR="00C931D3" w:rsidRDefault="00C931D3" w:rsidP="00533070">
      <w:pPr>
        <w:jc w:val="center"/>
        <w:rPr>
          <w:rFonts w:ascii="Times New Roman" w:hAnsi="Times New Roman" w:cs="Times New Roman"/>
          <w:sz w:val="16"/>
          <w:szCs w:val="16"/>
        </w:rPr>
      </w:pPr>
    </w:p>
    <w:p w:rsidR="00C931D3" w:rsidRDefault="00C931D3">
      <w:pPr>
        <w:rPr>
          <w:rFonts w:ascii="Times New Roman" w:hAnsi="Times New Roman" w:cs="Times New Roman"/>
          <w:sz w:val="16"/>
          <w:szCs w:val="16"/>
        </w:rPr>
      </w:pPr>
      <w:r>
        <w:rPr>
          <w:rFonts w:ascii="Times New Roman" w:hAnsi="Times New Roman" w:cs="Times New Roman"/>
          <w:sz w:val="16"/>
          <w:szCs w:val="16"/>
        </w:rPr>
        <w:br w:type="page"/>
      </w:r>
    </w:p>
    <w:p w:rsidR="00533070" w:rsidRDefault="00533070" w:rsidP="00533070">
      <w:pPr>
        <w:jc w:val="center"/>
        <w:rPr>
          <w:rFonts w:ascii="Times New Roman" w:hAnsi="Times New Roman" w:cs="Times New Roman"/>
          <w:sz w:val="16"/>
          <w:szCs w:val="16"/>
        </w:rPr>
      </w:pPr>
      <w:r>
        <w:rPr>
          <w:rFonts w:ascii="Times New Roman" w:hAnsi="Times New Roman" w:cs="Times New Roman"/>
          <w:sz w:val="16"/>
          <w:szCs w:val="16"/>
        </w:rPr>
        <w:lastRenderedPageBreak/>
        <w:t xml:space="preserve">Table C4.  </w:t>
      </w:r>
      <w:r w:rsidRPr="00D5221C">
        <w:rPr>
          <w:rFonts w:ascii="Times New Roman" w:hAnsi="Times New Roman" w:cs="Times New Roman"/>
          <w:sz w:val="16"/>
          <w:szCs w:val="16"/>
        </w:rPr>
        <w:t xml:space="preserve">Relationship between </w:t>
      </w:r>
      <w:r>
        <w:rPr>
          <w:rFonts w:ascii="Times New Roman" w:hAnsi="Times New Roman" w:cs="Times New Roman"/>
          <w:sz w:val="16"/>
          <w:szCs w:val="16"/>
        </w:rPr>
        <w:t xml:space="preserve">National Standard Laws and </w:t>
      </w:r>
      <w:r w:rsidRPr="00D5221C">
        <w:rPr>
          <w:rFonts w:ascii="Times New Roman" w:hAnsi="Times New Roman" w:cs="Times New Roman"/>
          <w:sz w:val="16"/>
          <w:szCs w:val="16"/>
        </w:rPr>
        <w:t xml:space="preserve">the </w:t>
      </w:r>
      <w:r>
        <w:rPr>
          <w:rFonts w:ascii="Times New Roman" w:hAnsi="Times New Roman" w:cs="Times New Roman"/>
          <w:sz w:val="16"/>
          <w:szCs w:val="16"/>
        </w:rPr>
        <w:t>AHRQ-Inspired Quality Indicators in Initially High-Quality Areas: Dynamic</w:t>
      </w:r>
    </w:p>
    <w:p w:rsidR="00533070" w:rsidRDefault="00533070" w:rsidP="00533070">
      <w:pPr>
        <w:jc w:val="center"/>
        <w:rPr>
          <w:rFonts w:ascii="Times New Roman" w:hAnsi="Times New Roman" w:cs="Times New Roman"/>
          <w:sz w:val="24"/>
          <w:szCs w:val="24"/>
        </w:rPr>
      </w:pPr>
      <w:r>
        <w:rPr>
          <w:rFonts w:ascii="Times New Roman" w:hAnsi="Times New Roman" w:cs="Times New Roman"/>
          <w:sz w:val="16"/>
          <w:szCs w:val="16"/>
        </w:rPr>
        <w:t>Difference-in-Difference Regression Results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242"/>
        <w:gridCol w:w="1242"/>
        <w:gridCol w:w="1242"/>
        <w:gridCol w:w="1242"/>
        <w:gridCol w:w="1242"/>
      </w:tblGrid>
      <w:tr w:rsidR="00533070" w:rsidRPr="006542D6" w:rsidTr="00473A5D">
        <w:tc>
          <w:tcPr>
            <w:tcW w:w="1800" w:type="dxa"/>
            <w:tcBorders>
              <w:top w:val="thinThickLargeGap" w:sz="24" w:space="0" w:color="auto"/>
              <w:bottom w:val="single" w:sz="4" w:space="0" w:color="auto"/>
            </w:tcBorders>
          </w:tcPr>
          <w:p w:rsidR="00533070" w:rsidRPr="006542D6" w:rsidRDefault="00533070" w:rsidP="00473A5D">
            <w:pPr>
              <w:jc w:val="center"/>
              <w:rPr>
                <w:rFonts w:ascii="Times New Roman" w:hAnsi="Times New Roman" w:cs="Times New Roman"/>
                <w:smallCaps/>
                <w:sz w:val="16"/>
                <w:szCs w:val="16"/>
              </w:rPr>
            </w:pPr>
          </w:p>
        </w:tc>
        <w:tc>
          <w:tcPr>
            <w:tcW w:w="1242" w:type="dxa"/>
            <w:tcBorders>
              <w:top w:val="thinThickLargeGap" w:sz="24" w:space="0" w:color="auto"/>
              <w:bottom w:val="single" w:sz="4" w:space="0" w:color="auto"/>
            </w:tcBorders>
            <w:vAlign w:val="center"/>
          </w:tcPr>
          <w:p w:rsidR="00533070" w:rsidRPr="006542D6" w:rsidRDefault="00533070" w:rsidP="00473A5D">
            <w:pPr>
              <w:jc w:val="center"/>
              <w:rPr>
                <w:rFonts w:ascii="Times New Roman" w:hAnsi="Times New Roman" w:cs="Times New Roman"/>
                <w:smallCaps/>
                <w:sz w:val="16"/>
                <w:szCs w:val="16"/>
              </w:rPr>
            </w:pPr>
            <w:r w:rsidRPr="006542D6">
              <w:rPr>
                <w:rFonts w:ascii="Times New Roman" w:hAnsi="Times New Roman" w:cs="Times New Roman"/>
                <w:smallCaps/>
                <w:sz w:val="16"/>
                <w:szCs w:val="16"/>
              </w:rPr>
              <w:t>(1)</w:t>
            </w:r>
          </w:p>
        </w:tc>
        <w:tc>
          <w:tcPr>
            <w:tcW w:w="1242" w:type="dxa"/>
            <w:tcBorders>
              <w:top w:val="thinThickLargeGap" w:sz="24" w:space="0" w:color="auto"/>
              <w:bottom w:val="single" w:sz="4" w:space="0" w:color="auto"/>
            </w:tcBorders>
            <w:vAlign w:val="center"/>
          </w:tcPr>
          <w:p w:rsidR="00533070" w:rsidRPr="006542D6" w:rsidRDefault="00533070" w:rsidP="00473A5D">
            <w:pPr>
              <w:jc w:val="center"/>
              <w:rPr>
                <w:rFonts w:ascii="Times New Roman" w:hAnsi="Times New Roman" w:cs="Times New Roman"/>
                <w:smallCaps/>
                <w:sz w:val="16"/>
                <w:szCs w:val="16"/>
              </w:rPr>
            </w:pPr>
            <w:r w:rsidRPr="006542D6">
              <w:rPr>
                <w:rFonts w:ascii="Times New Roman" w:hAnsi="Times New Roman" w:cs="Times New Roman"/>
                <w:smallCaps/>
                <w:sz w:val="16"/>
                <w:szCs w:val="16"/>
              </w:rPr>
              <w:t>(2)</w:t>
            </w:r>
          </w:p>
        </w:tc>
        <w:tc>
          <w:tcPr>
            <w:tcW w:w="1242" w:type="dxa"/>
            <w:tcBorders>
              <w:top w:val="thinThickLargeGap" w:sz="24" w:space="0" w:color="auto"/>
              <w:bottom w:val="single" w:sz="4" w:space="0" w:color="auto"/>
            </w:tcBorders>
            <w:vAlign w:val="center"/>
          </w:tcPr>
          <w:p w:rsidR="00533070" w:rsidRPr="006542D6" w:rsidRDefault="00533070" w:rsidP="00473A5D">
            <w:pPr>
              <w:jc w:val="center"/>
              <w:rPr>
                <w:rFonts w:ascii="Times New Roman" w:hAnsi="Times New Roman" w:cs="Times New Roman"/>
                <w:smallCaps/>
                <w:sz w:val="16"/>
                <w:szCs w:val="16"/>
              </w:rPr>
            </w:pPr>
            <w:r w:rsidRPr="006542D6">
              <w:rPr>
                <w:rFonts w:ascii="Times New Roman" w:hAnsi="Times New Roman" w:cs="Times New Roman"/>
                <w:smallCaps/>
                <w:sz w:val="16"/>
                <w:szCs w:val="16"/>
              </w:rPr>
              <w:t>(3)</w:t>
            </w:r>
          </w:p>
        </w:tc>
        <w:tc>
          <w:tcPr>
            <w:tcW w:w="1242" w:type="dxa"/>
            <w:tcBorders>
              <w:top w:val="thinThickLargeGap" w:sz="24" w:space="0" w:color="auto"/>
              <w:bottom w:val="single" w:sz="4" w:space="0" w:color="auto"/>
            </w:tcBorders>
            <w:vAlign w:val="center"/>
          </w:tcPr>
          <w:p w:rsidR="00533070" w:rsidRPr="006542D6" w:rsidRDefault="00533070" w:rsidP="00473A5D">
            <w:pPr>
              <w:jc w:val="center"/>
              <w:rPr>
                <w:rFonts w:ascii="Times New Roman" w:hAnsi="Times New Roman" w:cs="Times New Roman"/>
                <w:smallCaps/>
                <w:sz w:val="16"/>
                <w:szCs w:val="16"/>
              </w:rPr>
            </w:pPr>
            <w:r w:rsidRPr="006542D6">
              <w:rPr>
                <w:rFonts w:ascii="Times New Roman" w:hAnsi="Times New Roman" w:cs="Times New Roman"/>
                <w:smallCaps/>
                <w:sz w:val="16"/>
                <w:szCs w:val="16"/>
              </w:rPr>
              <w:t>(4)</w:t>
            </w:r>
          </w:p>
        </w:tc>
        <w:tc>
          <w:tcPr>
            <w:tcW w:w="1242" w:type="dxa"/>
            <w:tcBorders>
              <w:top w:val="thinThickLargeGap" w:sz="24" w:space="0" w:color="auto"/>
              <w:bottom w:val="single" w:sz="4" w:space="0" w:color="auto"/>
            </w:tcBorders>
            <w:vAlign w:val="center"/>
          </w:tcPr>
          <w:p w:rsidR="00533070" w:rsidRPr="006542D6" w:rsidRDefault="00533070" w:rsidP="00473A5D">
            <w:pPr>
              <w:jc w:val="center"/>
              <w:rPr>
                <w:rFonts w:ascii="Times New Roman" w:hAnsi="Times New Roman" w:cs="Times New Roman"/>
                <w:smallCaps/>
                <w:sz w:val="16"/>
                <w:szCs w:val="16"/>
              </w:rPr>
            </w:pPr>
            <w:r>
              <w:rPr>
                <w:rFonts w:ascii="Times New Roman" w:hAnsi="Times New Roman" w:cs="Times New Roman"/>
                <w:smallCaps/>
                <w:sz w:val="16"/>
                <w:szCs w:val="16"/>
              </w:rPr>
              <w:t>(5)</w:t>
            </w:r>
          </w:p>
        </w:tc>
      </w:tr>
      <w:tr w:rsidR="00533070" w:rsidRPr="006542D6" w:rsidTr="00473A5D">
        <w:tc>
          <w:tcPr>
            <w:tcW w:w="1800" w:type="dxa"/>
            <w:vAlign w:val="center"/>
          </w:tcPr>
          <w:p w:rsidR="00533070" w:rsidRPr="006542D6" w:rsidRDefault="00533070" w:rsidP="00473A5D">
            <w:pPr>
              <w:spacing w:line="360" w:lineRule="auto"/>
              <w:rPr>
                <w:rFonts w:ascii="Times New Roman" w:hAnsi="Times New Roman" w:cs="Times New Roman"/>
                <w:sz w:val="16"/>
                <w:szCs w:val="16"/>
              </w:rPr>
            </w:pPr>
          </w:p>
        </w:tc>
        <w:tc>
          <w:tcPr>
            <w:tcW w:w="1242" w:type="dxa"/>
            <w:vAlign w:val="center"/>
          </w:tcPr>
          <w:p w:rsidR="00533070" w:rsidRPr="006542D6" w:rsidRDefault="00533070"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Inpatient Mortality Rate</w:t>
            </w:r>
          </w:p>
        </w:tc>
        <w:tc>
          <w:tcPr>
            <w:tcW w:w="1242" w:type="dxa"/>
            <w:vAlign w:val="center"/>
          </w:tcPr>
          <w:p w:rsidR="00533070" w:rsidRPr="006542D6" w:rsidRDefault="00533070"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AH RATE</w:t>
            </w:r>
          </w:p>
        </w:tc>
        <w:tc>
          <w:tcPr>
            <w:tcW w:w="1242" w:type="dxa"/>
            <w:vAlign w:val="center"/>
          </w:tcPr>
          <w:p w:rsidR="00533070" w:rsidRDefault="00533070"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Low-discretion</w:t>
            </w:r>
          </w:p>
          <w:p w:rsidR="00533070" w:rsidRPr="006542D6" w:rsidRDefault="00533070"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AH Rate</w:t>
            </w:r>
          </w:p>
        </w:tc>
        <w:tc>
          <w:tcPr>
            <w:tcW w:w="1242" w:type="dxa"/>
            <w:vAlign w:val="center"/>
          </w:tcPr>
          <w:p w:rsidR="00533070" w:rsidRPr="006542D6" w:rsidRDefault="00533070"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Maternal Trauma Rate</w:t>
            </w:r>
          </w:p>
        </w:tc>
        <w:tc>
          <w:tcPr>
            <w:tcW w:w="1242" w:type="dxa"/>
            <w:vAlign w:val="center"/>
          </w:tcPr>
          <w:p w:rsidR="00533070" w:rsidRPr="006542D6" w:rsidRDefault="00533070"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 xml:space="preserve">Preventable Delivery </w:t>
            </w:r>
            <w:proofErr w:type="spellStart"/>
            <w:r>
              <w:rPr>
                <w:rFonts w:ascii="Times New Roman" w:hAnsi="Times New Roman" w:cs="Times New Roman"/>
                <w:smallCaps/>
                <w:sz w:val="16"/>
                <w:szCs w:val="16"/>
              </w:rPr>
              <w:t>Complica-tions</w:t>
            </w:r>
            <w:proofErr w:type="spellEnd"/>
          </w:p>
        </w:tc>
      </w:tr>
      <w:tr w:rsidR="00533070" w:rsidRPr="006542D6" w:rsidTr="00473A5D">
        <w:tc>
          <w:tcPr>
            <w:tcW w:w="1800" w:type="dxa"/>
            <w:vAlign w:val="center"/>
          </w:tcPr>
          <w:p w:rsidR="00533070" w:rsidRPr="00CE6AA4" w:rsidRDefault="00533070" w:rsidP="00473A5D">
            <w:pPr>
              <w:spacing w:line="360" w:lineRule="auto"/>
              <w:rPr>
                <w:rFonts w:ascii="Times New Roman" w:hAnsi="Times New Roman" w:cs="Times New Roman"/>
                <w:sz w:val="16"/>
                <w:szCs w:val="16"/>
                <w:u w:val="single"/>
              </w:rPr>
            </w:pPr>
            <w:r w:rsidRPr="00CE6AA4">
              <w:rPr>
                <w:rFonts w:ascii="Times New Roman" w:hAnsi="Times New Roman" w:cs="Times New Roman"/>
                <w:sz w:val="16"/>
                <w:szCs w:val="16"/>
                <w:u w:val="single"/>
              </w:rPr>
              <w:t>Non-Economic Damage Cap</w:t>
            </w:r>
          </w:p>
        </w:tc>
        <w:tc>
          <w:tcPr>
            <w:tcW w:w="1242" w:type="dxa"/>
            <w:vAlign w:val="center"/>
          </w:tcPr>
          <w:p w:rsidR="00533070" w:rsidRPr="006542D6" w:rsidRDefault="00533070" w:rsidP="00473A5D">
            <w:pPr>
              <w:spacing w:line="360" w:lineRule="auto"/>
              <w:jc w:val="center"/>
              <w:rPr>
                <w:rFonts w:ascii="Times New Roman" w:hAnsi="Times New Roman" w:cs="Times New Roman"/>
                <w:smallCaps/>
                <w:sz w:val="16"/>
                <w:szCs w:val="16"/>
              </w:rPr>
            </w:pPr>
          </w:p>
        </w:tc>
        <w:tc>
          <w:tcPr>
            <w:tcW w:w="1242" w:type="dxa"/>
            <w:vAlign w:val="center"/>
          </w:tcPr>
          <w:p w:rsidR="00533070" w:rsidRPr="006542D6" w:rsidRDefault="00533070" w:rsidP="00473A5D">
            <w:pPr>
              <w:spacing w:line="360" w:lineRule="auto"/>
              <w:rPr>
                <w:rFonts w:ascii="Times New Roman" w:hAnsi="Times New Roman" w:cs="Times New Roman"/>
                <w:smallCaps/>
                <w:sz w:val="16"/>
                <w:szCs w:val="16"/>
              </w:rPr>
            </w:pPr>
          </w:p>
        </w:tc>
        <w:tc>
          <w:tcPr>
            <w:tcW w:w="1242" w:type="dxa"/>
            <w:vAlign w:val="center"/>
          </w:tcPr>
          <w:p w:rsidR="00533070" w:rsidRPr="006542D6" w:rsidRDefault="00533070" w:rsidP="00473A5D">
            <w:pPr>
              <w:spacing w:line="360" w:lineRule="auto"/>
              <w:jc w:val="center"/>
              <w:rPr>
                <w:rFonts w:ascii="Times New Roman" w:hAnsi="Times New Roman" w:cs="Times New Roman"/>
                <w:smallCaps/>
                <w:sz w:val="16"/>
                <w:szCs w:val="16"/>
              </w:rPr>
            </w:pPr>
          </w:p>
        </w:tc>
        <w:tc>
          <w:tcPr>
            <w:tcW w:w="1242" w:type="dxa"/>
            <w:vAlign w:val="center"/>
          </w:tcPr>
          <w:p w:rsidR="00533070" w:rsidRPr="006542D6" w:rsidRDefault="00533070" w:rsidP="00473A5D">
            <w:pPr>
              <w:spacing w:line="360" w:lineRule="auto"/>
              <w:jc w:val="center"/>
              <w:rPr>
                <w:rFonts w:ascii="Times New Roman" w:hAnsi="Times New Roman" w:cs="Times New Roman"/>
                <w:smallCaps/>
                <w:sz w:val="16"/>
                <w:szCs w:val="16"/>
              </w:rPr>
            </w:pPr>
          </w:p>
        </w:tc>
        <w:tc>
          <w:tcPr>
            <w:tcW w:w="1242" w:type="dxa"/>
            <w:vAlign w:val="center"/>
          </w:tcPr>
          <w:p w:rsidR="00533070" w:rsidRPr="006542D6" w:rsidRDefault="00533070" w:rsidP="00473A5D">
            <w:pPr>
              <w:spacing w:line="360" w:lineRule="auto"/>
              <w:jc w:val="center"/>
              <w:rPr>
                <w:rFonts w:ascii="Times New Roman" w:hAnsi="Times New Roman" w:cs="Times New Roman"/>
                <w:smallCaps/>
                <w:sz w:val="16"/>
                <w:szCs w:val="16"/>
              </w:rPr>
            </w:pPr>
          </w:p>
        </w:tc>
      </w:tr>
      <w:tr w:rsidR="00533070" w:rsidRPr="006542D6" w:rsidTr="00473A5D">
        <w:tc>
          <w:tcPr>
            <w:tcW w:w="1800" w:type="dxa"/>
            <w:vAlign w:val="center"/>
          </w:tcPr>
          <w:p w:rsidR="00533070" w:rsidRPr="006542D6" w:rsidRDefault="00533070" w:rsidP="00473A5D">
            <w:pPr>
              <w:spacing w:line="360" w:lineRule="auto"/>
              <w:rPr>
                <w:rFonts w:ascii="Times New Roman" w:hAnsi="Times New Roman" w:cs="Times New Roman"/>
                <w:sz w:val="16"/>
                <w:szCs w:val="16"/>
              </w:rPr>
            </w:pPr>
            <w:r>
              <w:rPr>
                <w:rFonts w:ascii="Times New Roman" w:hAnsi="Times New Roman" w:cs="Times New Roman"/>
                <w:sz w:val="16"/>
                <w:szCs w:val="16"/>
              </w:rPr>
              <w:t>4-Year Lead Dummy</w:t>
            </w:r>
          </w:p>
        </w:tc>
        <w:tc>
          <w:tcPr>
            <w:tcW w:w="1242" w:type="dxa"/>
            <w:vAlign w:val="center"/>
          </w:tcPr>
          <w:p w:rsidR="00533070" w:rsidRDefault="000571CC"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-0.172</w:t>
            </w:r>
          </w:p>
          <w:p w:rsidR="000571CC" w:rsidRPr="006542D6" w:rsidRDefault="000571CC"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(0.103)</w:t>
            </w:r>
          </w:p>
        </w:tc>
        <w:tc>
          <w:tcPr>
            <w:tcW w:w="1242" w:type="dxa"/>
            <w:vAlign w:val="center"/>
          </w:tcPr>
          <w:p w:rsidR="00533070" w:rsidRPr="006542D6" w:rsidRDefault="005C6EAC" w:rsidP="005C6EAC">
            <w:pPr>
              <w:spacing w:line="360" w:lineRule="auto"/>
              <w:jc w:val="center"/>
              <w:rPr>
                <w:rFonts w:ascii="Times New Roman" w:hAnsi="Times New Roman" w:cs="Times New Roman"/>
                <w:smallCaps/>
                <w:sz w:val="16"/>
                <w:szCs w:val="16"/>
              </w:rPr>
            </w:pPr>
            <w:r w:rsidRPr="005C6EAC">
              <w:rPr>
                <w:rFonts w:ascii="Times New Roman" w:hAnsi="Times New Roman" w:cs="Times New Roman"/>
                <w:smallCaps/>
                <w:sz w:val="16"/>
                <w:szCs w:val="16"/>
              </w:rPr>
              <w:t>-</w:t>
            </w:r>
            <w:r>
              <w:rPr>
                <w:rFonts w:ascii="Times New Roman" w:hAnsi="Times New Roman" w:cs="Times New Roman"/>
                <w:smallCaps/>
                <w:sz w:val="16"/>
                <w:szCs w:val="16"/>
              </w:rPr>
              <w:t>0</w:t>
            </w:r>
            <w:r w:rsidRPr="005C6EAC">
              <w:rPr>
                <w:rFonts w:ascii="Times New Roman" w:hAnsi="Times New Roman" w:cs="Times New Roman"/>
                <w:smallCaps/>
                <w:sz w:val="16"/>
                <w:szCs w:val="16"/>
              </w:rPr>
              <w:t>.084      (</w:t>
            </w:r>
            <w:r>
              <w:rPr>
                <w:rFonts w:ascii="Times New Roman" w:hAnsi="Times New Roman" w:cs="Times New Roman"/>
                <w:smallCaps/>
                <w:sz w:val="16"/>
                <w:szCs w:val="16"/>
              </w:rPr>
              <w:t>0</w:t>
            </w:r>
            <w:r w:rsidRPr="005C6EAC">
              <w:rPr>
                <w:rFonts w:ascii="Times New Roman" w:hAnsi="Times New Roman" w:cs="Times New Roman"/>
                <w:smallCaps/>
                <w:sz w:val="16"/>
                <w:szCs w:val="16"/>
              </w:rPr>
              <w:t>.055)</w:t>
            </w:r>
          </w:p>
        </w:tc>
        <w:tc>
          <w:tcPr>
            <w:tcW w:w="1242" w:type="dxa"/>
            <w:vAlign w:val="center"/>
          </w:tcPr>
          <w:p w:rsidR="00533070" w:rsidRDefault="002F396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-0.059</w:t>
            </w:r>
          </w:p>
          <w:p w:rsidR="002F396B" w:rsidRPr="006542D6" w:rsidRDefault="002F396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(0.051)</w:t>
            </w:r>
          </w:p>
        </w:tc>
        <w:tc>
          <w:tcPr>
            <w:tcW w:w="1242" w:type="dxa"/>
            <w:vAlign w:val="center"/>
          </w:tcPr>
          <w:p w:rsidR="00A16CBB" w:rsidRDefault="00A16CBB" w:rsidP="00A16CBB">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A16CBB">
              <w:rPr>
                <w:rFonts w:ascii="Times New Roman" w:hAnsi="Times New Roman" w:cs="Times New Roman"/>
                <w:smallCaps/>
                <w:sz w:val="16"/>
                <w:szCs w:val="16"/>
              </w:rPr>
              <w:t xml:space="preserve">.124      </w:t>
            </w:r>
          </w:p>
          <w:p w:rsidR="00533070" w:rsidRPr="006542D6" w:rsidRDefault="00A16CBB" w:rsidP="00A16CBB">
            <w:pPr>
              <w:spacing w:line="360" w:lineRule="auto"/>
              <w:jc w:val="center"/>
              <w:rPr>
                <w:rFonts w:ascii="Times New Roman" w:hAnsi="Times New Roman" w:cs="Times New Roman"/>
                <w:smallCaps/>
                <w:sz w:val="16"/>
                <w:szCs w:val="16"/>
              </w:rPr>
            </w:pPr>
            <w:r w:rsidRPr="00A16CBB">
              <w:rPr>
                <w:rFonts w:ascii="Times New Roman" w:hAnsi="Times New Roman" w:cs="Times New Roman"/>
                <w:smallCaps/>
                <w:sz w:val="16"/>
                <w:szCs w:val="16"/>
              </w:rPr>
              <w:t>(</w:t>
            </w:r>
            <w:r>
              <w:rPr>
                <w:rFonts w:ascii="Times New Roman" w:hAnsi="Times New Roman" w:cs="Times New Roman"/>
                <w:smallCaps/>
                <w:sz w:val="16"/>
                <w:szCs w:val="16"/>
              </w:rPr>
              <w:t>0</w:t>
            </w:r>
            <w:r w:rsidRPr="00A16CBB">
              <w:rPr>
                <w:rFonts w:ascii="Times New Roman" w:hAnsi="Times New Roman" w:cs="Times New Roman"/>
                <w:smallCaps/>
                <w:sz w:val="16"/>
                <w:szCs w:val="16"/>
              </w:rPr>
              <w:t>.19</w:t>
            </w:r>
            <w:r>
              <w:rPr>
                <w:rFonts w:ascii="Times New Roman" w:hAnsi="Times New Roman" w:cs="Times New Roman"/>
                <w:smallCaps/>
                <w:sz w:val="16"/>
                <w:szCs w:val="16"/>
              </w:rPr>
              <w:t>6</w:t>
            </w:r>
            <w:r w:rsidRPr="00A16CBB">
              <w:rPr>
                <w:rFonts w:ascii="Times New Roman" w:hAnsi="Times New Roman" w:cs="Times New Roman"/>
                <w:smallCaps/>
                <w:sz w:val="16"/>
                <w:szCs w:val="16"/>
              </w:rPr>
              <w:t>)</w:t>
            </w:r>
          </w:p>
        </w:tc>
        <w:tc>
          <w:tcPr>
            <w:tcW w:w="1242" w:type="dxa"/>
            <w:vAlign w:val="center"/>
          </w:tcPr>
          <w:p w:rsidR="00533070" w:rsidRDefault="00BF28B2"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-0.041</w:t>
            </w:r>
          </w:p>
          <w:p w:rsidR="00BF28B2" w:rsidRPr="006542D6" w:rsidRDefault="00BF28B2"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(0.137)</w:t>
            </w:r>
          </w:p>
        </w:tc>
      </w:tr>
      <w:tr w:rsidR="00533070" w:rsidRPr="006542D6" w:rsidTr="00473A5D">
        <w:tc>
          <w:tcPr>
            <w:tcW w:w="1800" w:type="dxa"/>
            <w:vAlign w:val="center"/>
          </w:tcPr>
          <w:p w:rsidR="00533070" w:rsidRPr="006542D6" w:rsidRDefault="00533070" w:rsidP="00473A5D">
            <w:pPr>
              <w:spacing w:line="360" w:lineRule="auto"/>
              <w:rPr>
                <w:rFonts w:ascii="Times New Roman" w:hAnsi="Times New Roman" w:cs="Times New Roman"/>
                <w:sz w:val="16"/>
                <w:szCs w:val="16"/>
              </w:rPr>
            </w:pPr>
            <w:r>
              <w:rPr>
                <w:rFonts w:ascii="Times New Roman" w:hAnsi="Times New Roman" w:cs="Times New Roman"/>
                <w:sz w:val="16"/>
                <w:szCs w:val="16"/>
              </w:rPr>
              <w:t>3-Year Lead Dummy</w:t>
            </w:r>
          </w:p>
        </w:tc>
        <w:tc>
          <w:tcPr>
            <w:tcW w:w="1242" w:type="dxa"/>
            <w:vAlign w:val="center"/>
          </w:tcPr>
          <w:p w:rsidR="00533070" w:rsidRDefault="000571CC"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0.000</w:t>
            </w:r>
          </w:p>
          <w:p w:rsidR="000571CC" w:rsidRPr="006542D6" w:rsidRDefault="000571CC"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(0.111)</w:t>
            </w:r>
          </w:p>
        </w:tc>
        <w:tc>
          <w:tcPr>
            <w:tcW w:w="1242" w:type="dxa"/>
            <w:vAlign w:val="center"/>
          </w:tcPr>
          <w:p w:rsidR="00533070" w:rsidRPr="006542D6" w:rsidRDefault="005C6EAC" w:rsidP="005C6EAC">
            <w:pPr>
              <w:spacing w:line="360" w:lineRule="auto"/>
              <w:jc w:val="center"/>
              <w:rPr>
                <w:rFonts w:ascii="Times New Roman" w:hAnsi="Times New Roman" w:cs="Times New Roman"/>
                <w:smallCaps/>
                <w:sz w:val="16"/>
                <w:szCs w:val="16"/>
              </w:rPr>
            </w:pPr>
            <w:r w:rsidRPr="005C6EAC">
              <w:rPr>
                <w:rFonts w:ascii="Times New Roman" w:hAnsi="Times New Roman" w:cs="Times New Roman"/>
                <w:smallCaps/>
                <w:sz w:val="16"/>
                <w:szCs w:val="16"/>
              </w:rPr>
              <w:t>-</w:t>
            </w:r>
            <w:r>
              <w:rPr>
                <w:rFonts w:ascii="Times New Roman" w:hAnsi="Times New Roman" w:cs="Times New Roman"/>
                <w:smallCaps/>
                <w:sz w:val="16"/>
                <w:szCs w:val="16"/>
              </w:rPr>
              <w:t>0</w:t>
            </w:r>
            <w:r w:rsidRPr="005C6EAC">
              <w:rPr>
                <w:rFonts w:ascii="Times New Roman" w:hAnsi="Times New Roman" w:cs="Times New Roman"/>
                <w:smallCaps/>
                <w:sz w:val="16"/>
                <w:szCs w:val="16"/>
              </w:rPr>
              <w:t>.06</w:t>
            </w:r>
            <w:r>
              <w:rPr>
                <w:rFonts w:ascii="Times New Roman" w:hAnsi="Times New Roman" w:cs="Times New Roman"/>
                <w:smallCaps/>
                <w:sz w:val="16"/>
                <w:szCs w:val="16"/>
              </w:rPr>
              <w:t>7</w:t>
            </w:r>
            <w:r w:rsidRPr="005C6EAC">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5C6EAC">
              <w:rPr>
                <w:rFonts w:ascii="Times New Roman" w:hAnsi="Times New Roman" w:cs="Times New Roman"/>
                <w:smallCaps/>
                <w:sz w:val="16"/>
                <w:szCs w:val="16"/>
              </w:rPr>
              <w:t>.10</w:t>
            </w:r>
            <w:r>
              <w:rPr>
                <w:rFonts w:ascii="Times New Roman" w:hAnsi="Times New Roman" w:cs="Times New Roman"/>
                <w:smallCaps/>
                <w:sz w:val="16"/>
                <w:szCs w:val="16"/>
              </w:rPr>
              <w:t>5</w:t>
            </w:r>
            <w:r w:rsidRPr="005C6EAC">
              <w:rPr>
                <w:rFonts w:ascii="Times New Roman" w:hAnsi="Times New Roman" w:cs="Times New Roman"/>
                <w:smallCaps/>
                <w:sz w:val="16"/>
                <w:szCs w:val="16"/>
              </w:rPr>
              <w:t>)</w:t>
            </w:r>
          </w:p>
        </w:tc>
        <w:tc>
          <w:tcPr>
            <w:tcW w:w="1242" w:type="dxa"/>
            <w:vAlign w:val="center"/>
          </w:tcPr>
          <w:p w:rsidR="00533070" w:rsidRDefault="002F396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-0.142</w:t>
            </w:r>
          </w:p>
          <w:p w:rsidR="002F396B" w:rsidRPr="006542D6" w:rsidRDefault="002F396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(0.135)</w:t>
            </w:r>
          </w:p>
        </w:tc>
        <w:tc>
          <w:tcPr>
            <w:tcW w:w="1242" w:type="dxa"/>
            <w:vAlign w:val="center"/>
          </w:tcPr>
          <w:p w:rsidR="00533070" w:rsidRPr="00D71ED9" w:rsidRDefault="00A16CBB" w:rsidP="00A16CBB">
            <w:pPr>
              <w:spacing w:line="360" w:lineRule="auto"/>
              <w:jc w:val="center"/>
              <w:rPr>
                <w:rFonts w:ascii="Times New Roman" w:hAnsi="Times New Roman" w:cs="Times New Roman"/>
                <w:smallCaps/>
                <w:sz w:val="16"/>
                <w:szCs w:val="16"/>
              </w:rPr>
            </w:pPr>
            <w:r w:rsidRPr="00A16CBB">
              <w:rPr>
                <w:rFonts w:ascii="Times New Roman" w:hAnsi="Times New Roman" w:cs="Times New Roman"/>
                <w:smallCaps/>
                <w:sz w:val="16"/>
                <w:szCs w:val="16"/>
              </w:rPr>
              <w:t>-</w:t>
            </w:r>
            <w:r>
              <w:rPr>
                <w:rFonts w:ascii="Times New Roman" w:hAnsi="Times New Roman" w:cs="Times New Roman"/>
                <w:smallCaps/>
                <w:sz w:val="16"/>
                <w:szCs w:val="16"/>
              </w:rPr>
              <w:t>0</w:t>
            </w:r>
            <w:r w:rsidRPr="00A16CBB">
              <w:rPr>
                <w:rFonts w:ascii="Times New Roman" w:hAnsi="Times New Roman" w:cs="Times New Roman"/>
                <w:smallCaps/>
                <w:sz w:val="16"/>
                <w:szCs w:val="16"/>
              </w:rPr>
              <w:t>.197      (</w:t>
            </w:r>
            <w:r>
              <w:rPr>
                <w:rFonts w:ascii="Times New Roman" w:hAnsi="Times New Roman" w:cs="Times New Roman"/>
                <w:smallCaps/>
                <w:sz w:val="16"/>
                <w:szCs w:val="16"/>
              </w:rPr>
              <w:t>0</w:t>
            </w:r>
            <w:r w:rsidRPr="00A16CBB">
              <w:rPr>
                <w:rFonts w:ascii="Times New Roman" w:hAnsi="Times New Roman" w:cs="Times New Roman"/>
                <w:smallCaps/>
                <w:sz w:val="16"/>
                <w:szCs w:val="16"/>
              </w:rPr>
              <w:t>.2</w:t>
            </w:r>
            <w:r>
              <w:rPr>
                <w:rFonts w:ascii="Times New Roman" w:hAnsi="Times New Roman" w:cs="Times New Roman"/>
                <w:smallCaps/>
                <w:sz w:val="16"/>
                <w:szCs w:val="16"/>
              </w:rPr>
              <w:t>30</w:t>
            </w:r>
            <w:r w:rsidRPr="00A16CBB">
              <w:rPr>
                <w:rFonts w:ascii="Times New Roman" w:hAnsi="Times New Roman" w:cs="Times New Roman"/>
                <w:smallCaps/>
                <w:sz w:val="16"/>
                <w:szCs w:val="16"/>
              </w:rPr>
              <w:t>)</w:t>
            </w:r>
          </w:p>
        </w:tc>
        <w:tc>
          <w:tcPr>
            <w:tcW w:w="1242" w:type="dxa"/>
            <w:vAlign w:val="center"/>
          </w:tcPr>
          <w:p w:rsidR="00533070" w:rsidRDefault="00BF28B2"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-0.134</w:t>
            </w:r>
          </w:p>
          <w:p w:rsidR="00BF28B2" w:rsidRPr="006542D6" w:rsidRDefault="00BF28B2"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(0.139)</w:t>
            </w:r>
          </w:p>
        </w:tc>
      </w:tr>
      <w:tr w:rsidR="00533070" w:rsidRPr="006542D6" w:rsidTr="00473A5D">
        <w:tc>
          <w:tcPr>
            <w:tcW w:w="1800" w:type="dxa"/>
            <w:vAlign w:val="center"/>
          </w:tcPr>
          <w:p w:rsidR="00533070" w:rsidRPr="006542D6" w:rsidRDefault="00533070" w:rsidP="00473A5D">
            <w:pPr>
              <w:spacing w:line="360" w:lineRule="auto"/>
              <w:rPr>
                <w:rFonts w:ascii="Times New Roman" w:hAnsi="Times New Roman" w:cs="Times New Roman"/>
                <w:sz w:val="16"/>
                <w:szCs w:val="16"/>
              </w:rPr>
            </w:pPr>
            <w:r>
              <w:rPr>
                <w:rFonts w:ascii="Times New Roman" w:hAnsi="Times New Roman" w:cs="Times New Roman"/>
                <w:sz w:val="16"/>
                <w:szCs w:val="16"/>
              </w:rPr>
              <w:t>2-Year Lead Dummy</w:t>
            </w:r>
          </w:p>
        </w:tc>
        <w:tc>
          <w:tcPr>
            <w:tcW w:w="1242" w:type="dxa"/>
            <w:vAlign w:val="center"/>
          </w:tcPr>
          <w:p w:rsidR="00533070" w:rsidRDefault="000571CC"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0.286</w:t>
            </w:r>
          </w:p>
          <w:p w:rsidR="000571CC" w:rsidRPr="006542D6" w:rsidRDefault="000571CC"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(0.284)</w:t>
            </w:r>
          </w:p>
        </w:tc>
        <w:tc>
          <w:tcPr>
            <w:tcW w:w="1242" w:type="dxa"/>
            <w:vAlign w:val="center"/>
          </w:tcPr>
          <w:p w:rsidR="005C6EAC" w:rsidRDefault="005C6EAC" w:rsidP="005C6EAC">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5C6EAC">
              <w:rPr>
                <w:rFonts w:ascii="Times New Roman" w:hAnsi="Times New Roman" w:cs="Times New Roman"/>
                <w:smallCaps/>
                <w:sz w:val="16"/>
                <w:szCs w:val="16"/>
              </w:rPr>
              <w:t xml:space="preserve">.102      </w:t>
            </w:r>
          </w:p>
          <w:p w:rsidR="00533070" w:rsidRPr="006542D6" w:rsidRDefault="005C6EAC" w:rsidP="005C6EAC">
            <w:pPr>
              <w:spacing w:line="360" w:lineRule="auto"/>
              <w:jc w:val="center"/>
              <w:rPr>
                <w:rFonts w:ascii="Times New Roman" w:hAnsi="Times New Roman" w:cs="Times New Roman"/>
                <w:smallCaps/>
                <w:sz w:val="16"/>
                <w:szCs w:val="16"/>
              </w:rPr>
            </w:pPr>
            <w:r w:rsidRPr="005C6EAC">
              <w:rPr>
                <w:rFonts w:ascii="Times New Roman" w:hAnsi="Times New Roman" w:cs="Times New Roman"/>
                <w:smallCaps/>
                <w:sz w:val="16"/>
                <w:szCs w:val="16"/>
              </w:rPr>
              <w:t>(</w:t>
            </w:r>
            <w:r>
              <w:rPr>
                <w:rFonts w:ascii="Times New Roman" w:hAnsi="Times New Roman" w:cs="Times New Roman"/>
                <w:smallCaps/>
                <w:sz w:val="16"/>
                <w:szCs w:val="16"/>
              </w:rPr>
              <w:t>0</w:t>
            </w:r>
            <w:r w:rsidRPr="005C6EAC">
              <w:rPr>
                <w:rFonts w:ascii="Times New Roman" w:hAnsi="Times New Roman" w:cs="Times New Roman"/>
                <w:smallCaps/>
                <w:sz w:val="16"/>
                <w:szCs w:val="16"/>
              </w:rPr>
              <w:t>.05</w:t>
            </w:r>
            <w:r>
              <w:rPr>
                <w:rFonts w:ascii="Times New Roman" w:hAnsi="Times New Roman" w:cs="Times New Roman"/>
                <w:smallCaps/>
                <w:sz w:val="16"/>
                <w:szCs w:val="16"/>
              </w:rPr>
              <w:t>9</w:t>
            </w:r>
            <w:r w:rsidRPr="005C6EAC">
              <w:rPr>
                <w:rFonts w:ascii="Times New Roman" w:hAnsi="Times New Roman" w:cs="Times New Roman"/>
                <w:smallCaps/>
                <w:sz w:val="16"/>
                <w:szCs w:val="16"/>
              </w:rPr>
              <w:t>)</w:t>
            </w:r>
          </w:p>
        </w:tc>
        <w:tc>
          <w:tcPr>
            <w:tcW w:w="1242" w:type="dxa"/>
            <w:vAlign w:val="center"/>
          </w:tcPr>
          <w:p w:rsidR="00533070" w:rsidRDefault="002F396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0.127</w:t>
            </w:r>
          </w:p>
          <w:p w:rsidR="002F396B" w:rsidRPr="006542D6" w:rsidRDefault="002F396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(.0.078)</w:t>
            </w:r>
          </w:p>
        </w:tc>
        <w:tc>
          <w:tcPr>
            <w:tcW w:w="1242" w:type="dxa"/>
            <w:vAlign w:val="center"/>
          </w:tcPr>
          <w:p w:rsidR="00533070" w:rsidRPr="006542D6" w:rsidRDefault="00A16CBB" w:rsidP="00A16CBB">
            <w:pPr>
              <w:spacing w:line="360" w:lineRule="auto"/>
              <w:jc w:val="center"/>
              <w:rPr>
                <w:rFonts w:ascii="Times New Roman" w:hAnsi="Times New Roman" w:cs="Times New Roman"/>
                <w:smallCaps/>
                <w:sz w:val="16"/>
                <w:szCs w:val="16"/>
              </w:rPr>
            </w:pPr>
            <w:r w:rsidRPr="00A16CBB">
              <w:rPr>
                <w:rFonts w:ascii="Times New Roman" w:hAnsi="Times New Roman" w:cs="Times New Roman"/>
                <w:smallCaps/>
                <w:sz w:val="16"/>
                <w:szCs w:val="16"/>
              </w:rPr>
              <w:t>-</w:t>
            </w:r>
            <w:r>
              <w:rPr>
                <w:rFonts w:ascii="Times New Roman" w:hAnsi="Times New Roman" w:cs="Times New Roman"/>
                <w:smallCaps/>
                <w:sz w:val="16"/>
                <w:szCs w:val="16"/>
              </w:rPr>
              <w:t>0</w:t>
            </w:r>
            <w:r w:rsidRPr="00A16CBB">
              <w:rPr>
                <w:rFonts w:ascii="Times New Roman" w:hAnsi="Times New Roman" w:cs="Times New Roman"/>
                <w:smallCaps/>
                <w:sz w:val="16"/>
                <w:szCs w:val="16"/>
              </w:rPr>
              <w:t>.11</w:t>
            </w:r>
            <w:r>
              <w:rPr>
                <w:rFonts w:ascii="Times New Roman" w:hAnsi="Times New Roman" w:cs="Times New Roman"/>
                <w:smallCaps/>
                <w:sz w:val="16"/>
                <w:szCs w:val="16"/>
              </w:rPr>
              <w:t>5</w:t>
            </w:r>
            <w:r w:rsidRPr="00A16CBB">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A16CBB">
              <w:rPr>
                <w:rFonts w:ascii="Times New Roman" w:hAnsi="Times New Roman" w:cs="Times New Roman"/>
                <w:smallCaps/>
                <w:sz w:val="16"/>
                <w:szCs w:val="16"/>
              </w:rPr>
              <w:t>.13</w:t>
            </w:r>
            <w:r>
              <w:rPr>
                <w:rFonts w:ascii="Times New Roman" w:hAnsi="Times New Roman" w:cs="Times New Roman"/>
                <w:smallCaps/>
                <w:sz w:val="16"/>
                <w:szCs w:val="16"/>
              </w:rPr>
              <w:t>4</w:t>
            </w:r>
            <w:r w:rsidRPr="00A16CBB">
              <w:rPr>
                <w:rFonts w:ascii="Times New Roman" w:hAnsi="Times New Roman" w:cs="Times New Roman"/>
                <w:smallCaps/>
                <w:sz w:val="16"/>
                <w:szCs w:val="16"/>
              </w:rPr>
              <w:t>)</w:t>
            </w:r>
          </w:p>
        </w:tc>
        <w:tc>
          <w:tcPr>
            <w:tcW w:w="1242" w:type="dxa"/>
            <w:vAlign w:val="center"/>
          </w:tcPr>
          <w:p w:rsidR="00533070" w:rsidRDefault="00BF28B2"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-0.000</w:t>
            </w:r>
          </w:p>
          <w:p w:rsidR="00BF28B2" w:rsidRPr="006542D6" w:rsidRDefault="00BF28B2"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(0.091)</w:t>
            </w:r>
          </w:p>
        </w:tc>
      </w:tr>
      <w:tr w:rsidR="00533070" w:rsidRPr="006542D6" w:rsidTr="00473A5D">
        <w:tc>
          <w:tcPr>
            <w:tcW w:w="1800" w:type="dxa"/>
            <w:vAlign w:val="center"/>
          </w:tcPr>
          <w:p w:rsidR="00533070" w:rsidRPr="006542D6" w:rsidRDefault="00533070" w:rsidP="00473A5D">
            <w:pPr>
              <w:spacing w:line="360" w:lineRule="auto"/>
              <w:rPr>
                <w:rFonts w:ascii="Times New Roman" w:hAnsi="Times New Roman" w:cs="Times New Roman"/>
                <w:sz w:val="16"/>
                <w:szCs w:val="16"/>
              </w:rPr>
            </w:pPr>
            <w:r>
              <w:rPr>
                <w:rFonts w:ascii="Times New Roman" w:hAnsi="Times New Roman" w:cs="Times New Roman"/>
                <w:sz w:val="16"/>
                <w:szCs w:val="16"/>
              </w:rPr>
              <w:t>1-Year Lead Dummy</w:t>
            </w:r>
          </w:p>
        </w:tc>
        <w:tc>
          <w:tcPr>
            <w:tcW w:w="1242" w:type="dxa"/>
            <w:vAlign w:val="center"/>
          </w:tcPr>
          <w:p w:rsidR="00533070" w:rsidRDefault="000571CC"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-0.058</w:t>
            </w:r>
          </w:p>
          <w:p w:rsidR="000571CC" w:rsidRPr="006542D6" w:rsidRDefault="000571CC"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(0.147)</w:t>
            </w:r>
          </w:p>
        </w:tc>
        <w:tc>
          <w:tcPr>
            <w:tcW w:w="1242" w:type="dxa"/>
            <w:vAlign w:val="center"/>
          </w:tcPr>
          <w:p w:rsidR="00533070" w:rsidRPr="006542D6" w:rsidRDefault="005C6EAC" w:rsidP="00273769">
            <w:pPr>
              <w:spacing w:line="360" w:lineRule="auto"/>
              <w:jc w:val="center"/>
              <w:rPr>
                <w:rFonts w:ascii="Times New Roman" w:hAnsi="Times New Roman" w:cs="Times New Roman"/>
                <w:smallCaps/>
                <w:sz w:val="16"/>
                <w:szCs w:val="16"/>
              </w:rPr>
            </w:pPr>
            <w:r w:rsidRPr="005C6EAC">
              <w:rPr>
                <w:rFonts w:ascii="Times New Roman" w:hAnsi="Times New Roman" w:cs="Times New Roman"/>
                <w:smallCaps/>
                <w:sz w:val="16"/>
                <w:szCs w:val="16"/>
              </w:rPr>
              <w:t>-</w:t>
            </w:r>
            <w:r>
              <w:rPr>
                <w:rFonts w:ascii="Times New Roman" w:hAnsi="Times New Roman" w:cs="Times New Roman"/>
                <w:smallCaps/>
                <w:sz w:val="16"/>
                <w:szCs w:val="16"/>
              </w:rPr>
              <w:t>0</w:t>
            </w:r>
            <w:r w:rsidRPr="005C6EAC">
              <w:rPr>
                <w:rFonts w:ascii="Times New Roman" w:hAnsi="Times New Roman" w:cs="Times New Roman"/>
                <w:smallCaps/>
                <w:sz w:val="16"/>
                <w:szCs w:val="16"/>
              </w:rPr>
              <w:t>.086      (</w:t>
            </w:r>
            <w:r>
              <w:rPr>
                <w:rFonts w:ascii="Times New Roman" w:hAnsi="Times New Roman" w:cs="Times New Roman"/>
                <w:smallCaps/>
                <w:sz w:val="16"/>
                <w:szCs w:val="16"/>
              </w:rPr>
              <w:t>0</w:t>
            </w:r>
            <w:r w:rsidRPr="005C6EAC">
              <w:rPr>
                <w:rFonts w:ascii="Times New Roman" w:hAnsi="Times New Roman" w:cs="Times New Roman"/>
                <w:smallCaps/>
                <w:sz w:val="16"/>
                <w:szCs w:val="16"/>
              </w:rPr>
              <w:t>.07</w:t>
            </w:r>
            <w:r w:rsidR="00273769">
              <w:rPr>
                <w:rFonts w:ascii="Times New Roman" w:hAnsi="Times New Roman" w:cs="Times New Roman"/>
                <w:smallCaps/>
                <w:sz w:val="16"/>
                <w:szCs w:val="16"/>
              </w:rPr>
              <w:t>5</w:t>
            </w:r>
            <w:r w:rsidRPr="005C6EAC">
              <w:rPr>
                <w:rFonts w:ascii="Times New Roman" w:hAnsi="Times New Roman" w:cs="Times New Roman"/>
                <w:smallCaps/>
                <w:sz w:val="16"/>
                <w:szCs w:val="16"/>
              </w:rPr>
              <w:t>)</w:t>
            </w:r>
          </w:p>
        </w:tc>
        <w:tc>
          <w:tcPr>
            <w:tcW w:w="1242" w:type="dxa"/>
            <w:vAlign w:val="center"/>
          </w:tcPr>
          <w:p w:rsidR="00533070" w:rsidRDefault="002F396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-0.082</w:t>
            </w:r>
          </w:p>
          <w:p w:rsidR="002F396B" w:rsidRPr="006542D6" w:rsidRDefault="002F396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(0.082)</w:t>
            </w:r>
          </w:p>
        </w:tc>
        <w:tc>
          <w:tcPr>
            <w:tcW w:w="1242" w:type="dxa"/>
            <w:vAlign w:val="center"/>
          </w:tcPr>
          <w:p w:rsidR="00A16CBB" w:rsidRDefault="00A16CBB" w:rsidP="00A16CBB">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A16CBB">
              <w:rPr>
                <w:rFonts w:ascii="Times New Roman" w:hAnsi="Times New Roman" w:cs="Times New Roman"/>
                <w:smallCaps/>
                <w:sz w:val="16"/>
                <w:szCs w:val="16"/>
              </w:rPr>
              <w:t>.34</w:t>
            </w:r>
            <w:r>
              <w:rPr>
                <w:rFonts w:ascii="Times New Roman" w:hAnsi="Times New Roman" w:cs="Times New Roman"/>
                <w:smallCaps/>
                <w:sz w:val="16"/>
                <w:szCs w:val="16"/>
              </w:rPr>
              <w:t>6</w:t>
            </w:r>
            <w:r w:rsidR="004D7289">
              <w:rPr>
                <w:rFonts w:ascii="Times New Roman" w:hAnsi="Times New Roman" w:cs="Times New Roman"/>
                <w:smallCaps/>
                <w:sz w:val="16"/>
                <w:szCs w:val="16"/>
              </w:rPr>
              <w:t>*</w:t>
            </w:r>
            <w:r w:rsidRPr="00A16CBB">
              <w:rPr>
                <w:rFonts w:ascii="Times New Roman" w:hAnsi="Times New Roman" w:cs="Times New Roman"/>
                <w:smallCaps/>
                <w:sz w:val="16"/>
                <w:szCs w:val="16"/>
              </w:rPr>
              <w:t xml:space="preserve">      </w:t>
            </w:r>
          </w:p>
          <w:p w:rsidR="00533070" w:rsidRPr="006542D6" w:rsidRDefault="00A16CBB" w:rsidP="00A16CBB">
            <w:pPr>
              <w:spacing w:line="360" w:lineRule="auto"/>
              <w:jc w:val="center"/>
              <w:rPr>
                <w:rFonts w:ascii="Times New Roman" w:hAnsi="Times New Roman" w:cs="Times New Roman"/>
                <w:smallCaps/>
                <w:sz w:val="16"/>
                <w:szCs w:val="16"/>
              </w:rPr>
            </w:pPr>
            <w:r w:rsidRPr="00A16CBB">
              <w:rPr>
                <w:rFonts w:ascii="Times New Roman" w:hAnsi="Times New Roman" w:cs="Times New Roman"/>
                <w:smallCaps/>
                <w:sz w:val="16"/>
                <w:szCs w:val="16"/>
              </w:rPr>
              <w:t>(</w:t>
            </w:r>
            <w:r>
              <w:rPr>
                <w:rFonts w:ascii="Times New Roman" w:hAnsi="Times New Roman" w:cs="Times New Roman"/>
                <w:smallCaps/>
                <w:sz w:val="16"/>
                <w:szCs w:val="16"/>
              </w:rPr>
              <w:t>0</w:t>
            </w:r>
            <w:r w:rsidRPr="00A16CBB">
              <w:rPr>
                <w:rFonts w:ascii="Times New Roman" w:hAnsi="Times New Roman" w:cs="Times New Roman"/>
                <w:smallCaps/>
                <w:sz w:val="16"/>
                <w:szCs w:val="16"/>
              </w:rPr>
              <w:t>.20</w:t>
            </w:r>
            <w:r>
              <w:rPr>
                <w:rFonts w:ascii="Times New Roman" w:hAnsi="Times New Roman" w:cs="Times New Roman"/>
                <w:smallCaps/>
                <w:sz w:val="16"/>
                <w:szCs w:val="16"/>
              </w:rPr>
              <w:t>2</w:t>
            </w:r>
            <w:r w:rsidRPr="00A16CBB">
              <w:rPr>
                <w:rFonts w:ascii="Times New Roman" w:hAnsi="Times New Roman" w:cs="Times New Roman"/>
                <w:smallCaps/>
                <w:sz w:val="16"/>
                <w:szCs w:val="16"/>
              </w:rPr>
              <w:t>)</w:t>
            </w:r>
          </w:p>
        </w:tc>
        <w:tc>
          <w:tcPr>
            <w:tcW w:w="1242" w:type="dxa"/>
            <w:vAlign w:val="center"/>
          </w:tcPr>
          <w:p w:rsidR="00533070" w:rsidRDefault="00BF28B2"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0.020</w:t>
            </w:r>
          </w:p>
          <w:p w:rsidR="00BF28B2" w:rsidRPr="006542D6" w:rsidRDefault="00BF28B2"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(0.151)</w:t>
            </w:r>
          </w:p>
        </w:tc>
      </w:tr>
      <w:tr w:rsidR="00533070" w:rsidRPr="006542D6" w:rsidTr="00473A5D">
        <w:tc>
          <w:tcPr>
            <w:tcW w:w="1800" w:type="dxa"/>
            <w:vAlign w:val="center"/>
          </w:tcPr>
          <w:p w:rsidR="00533070" w:rsidRPr="006542D6" w:rsidRDefault="00533070" w:rsidP="00473A5D">
            <w:pPr>
              <w:spacing w:line="360" w:lineRule="auto"/>
              <w:rPr>
                <w:rFonts w:ascii="Times New Roman" w:hAnsi="Times New Roman" w:cs="Times New Roman"/>
                <w:sz w:val="16"/>
                <w:szCs w:val="16"/>
              </w:rPr>
            </w:pPr>
            <w:r>
              <w:rPr>
                <w:rFonts w:ascii="Times New Roman" w:hAnsi="Times New Roman" w:cs="Times New Roman"/>
                <w:sz w:val="16"/>
                <w:szCs w:val="16"/>
              </w:rPr>
              <w:t>Contemporaneous Dummy</w:t>
            </w:r>
          </w:p>
        </w:tc>
        <w:tc>
          <w:tcPr>
            <w:tcW w:w="1242" w:type="dxa"/>
            <w:vAlign w:val="center"/>
          </w:tcPr>
          <w:p w:rsidR="00533070" w:rsidRDefault="005855D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0.098</w:t>
            </w:r>
          </w:p>
          <w:p w:rsidR="005855DB" w:rsidRPr="006542D6" w:rsidRDefault="005855D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(0.269)</w:t>
            </w:r>
          </w:p>
        </w:tc>
        <w:tc>
          <w:tcPr>
            <w:tcW w:w="1242" w:type="dxa"/>
            <w:vAlign w:val="center"/>
          </w:tcPr>
          <w:p w:rsidR="00273769" w:rsidRDefault="005C6EAC"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00273769">
              <w:rPr>
                <w:rFonts w:ascii="Times New Roman" w:hAnsi="Times New Roman" w:cs="Times New Roman"/>
                <w:smallCaps/>
                <w:sz w:val="16"/>
                <w:szCs w:val="16"/>
              </w:rPr>
              <w:t>.033</w:t>
            </w:r>
          </w:p>
          <w:p w:rsidR="00533070" w:rsidRPr="006542D6" w:rsidRDefault="005C6EAC" w:rsidP="00473A5D">
            <w:pPr>
              <w:spacing w:line="360" w:lineRule="auto"/>
              <w:jc w:val="center"/>
              <w:rPr>
                <w:rFonts w:ascii="Times New Roman" w:hAnsi="Times New Roman" w:cs="Times New Roman"/>
                <w:smallCaps/>
                <w:sz w:val="16"/>
                <w:szCs w:val="16"/>
              </w:rPr>
            </w:pPr>
            <w:r w:rsidRPr="005C6EAC">
              <w:rPr>
                <w:rFonts w:ascii="Times New Roman" w:hAnsi="Times New Roman" w:cs="Times New Roman"/>
                <w:smallCaps/>
                <w:sz w:val="16"/>
                <w:szCs w:val="16"/>
              </w:rPr>
              <w:t>(</w:t>
            </w:r>
            <w:r>
              <w:rPr>
                <w:rFonts w:ascii="Times New Roman" w:hAnsi="Times New Roman" w:cs="Times New Roman"/>
                <w:smallCaps/>
                <w:sz w:val="16"/>
                <w:szCs w:val="16"/>
              </w:rPr>
              <w:t>0</w:t>
            </w:r>
            <w:r w:rsidR="00273769">
              <w:rPr>
                <w:rFonts w:ascii="Times New Roman" w:hAnsi="Times New Roman" w:cs="Times New Roman"/>
                <w:smallCaps/>
                <w:sz w:val="16"/>
                <w:szCs w:val="16"/>
              </w:rPr>
              <w:t>.075</w:t>
            </w:r>
            <w:r w:rsidRPr="005C6EAC">
              <w:rPr>
                <w:rFonts w:ascii="Times New Roman" w:hAnsi="Times New Roman" w:cs="Times New Roman"/>
                <w:smallCaps/>
                <w:sz w:val="16"/>
                <w:szCs w:val="16"/>
              </w:rPr>
              <w:t>)</w:t>
            </w:r>
          </w:p>
        </w:tc>
        <w:tc>
          <w:tcPr>
            <w:tcW w:w="1242" w:type="dxa"/>
            <w:vAlign w:val="center"/>
          </w:tcPr>
          <w:p w:rsidR="00533070" w:rsidRDefault="002F396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-0.017</w:t>
            </w:r>
          </w:p>
          <w:p w:rsidR="002F396B" w:rsidRPr="006542D6" w:rsidRDefault="002F396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(0.098)</w:t>
            </w:r>
          </w:p>
        </w:tc>
        <w:tc>
          <w:tcPr>
            <w:tcW w:w="1242" w:type="dxa"/>
            <w:vAlign w:val="center"/>
          </w:tcPr>
          <w:p w:rsidR="00533070" w:rsidRPr="006542D6" w:rsidRDefault="00A16CBB" w:rsidP="00A16CBB">
            <w:pPr>
              <w:spacing w:line="360" w:lineRule="auto"/>
              <w:jc w:val="center"/>
              <w:rPr>
                <w:rFonts w:ascii="Times New Roman" w:hAnsi="Times New Roman" w:cs="Times New Roman"/>
                <w:smallCaps/>
                <w:sz w:val="16"/>
                <w:szCs w:val="16"/>
              </w:rPr>
            </w:pPr>
            <w:r w:rsidRPr="00A16CBB">
              <w:rPr>
                <w:rFonts w:ascii="Times New Roman" w:hAnsi="Times New Roman" w:cs="Times New Roman"/>
                <w:smallCaps/>
                <w:sz w:val="16"/>
                <w:szCs w:val="16"/>
              </w:rPr>
              <w:t>-</w:t>
            </w:r>
            <w:r>
              <w:rPr>
                <w:rFonts w:ascii="Times New Roman" w:hAnsi="Times New Roman" w:cs="Times New Roman"/>
                <w:smallCaps/>
                <w:sz w:val="16"/>
                <w:szCs w:val="16"/>
              </w:rPr>
              <w:t>0</w:t>
            </w:r>
            <w:r w:rsidRPr="00A16CBB">
              <w:rPr>
                <w:rFonts w:ascii="Times New Roman" w:hAnsi="Times New Roman" w:cs="Times New Roman"/>
                <w:smallCaps/>
                <w:sz w:val="16"/>
                <w:szCs w:val="16"/>
              </w:rPr>
              <w:t>.381**</w:t>
            </w:r>
            <w:r w:rsidR="004D7289">
              <w:rPr>
                <w:rFonts w:ascii="Times New Roman" w:hAnsi="Times New Roman" w:cs="Times New Roman"/>
                <w:smallCaps/>
                <w:sz w:val="16"/>
                <w:szCs w:val="16"/>
              </w:rPr>
              <w:t>*</w:t>
            </w:r>
            <w:r w:rsidRPr="00A16CBB">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A16CBB">
              <w:rPr>
                <w:rFonts w:ascii="Times New Roman" w:hAnsi="Times New Roman" w:cs="Times New Roman"/>
                <w:smallCaps/>
                <w:sz w:val="16"/>
                <w:szCs w:val="16"/>
              </w:rPr>
              <w:t>.1</w:t>
            </w:r>
            <w:r>
              <w:rPr>
                <w:rFonts w:ascii="Times New Roman" w:hAnsi="Times New Roman" w:cs="Times New Roman"/>
                <w:smallCaps/>
                <w:sz w:val="16"/>
                <w:szCs w:val="16"/>
              </w:rPr>
              <w:t>30</w:t>
            </w:r>
            <w:r w:rsidRPr="00A16CBB">
              <w:rPr>
                <w:rFonts w:ascii="Times New Roman" w:hAnsi="Times New Roman" w:cs="Times New Roman"/>
                <w:smallCaps/>
                <w:sz w:val="16"/>
                <w:szCs w:val="16"/>
              </w:rPr>
              <w:t>)</w:t>
            </w:r>
          </w:p>
        </w:tc>
        <w:tc>
          <w:tcPr>
            <w:tcW w:w="1242" w:type="dxa"/>
            <w:vAlign w:val="center"/>
          </w:tcPr>
          <w:p w:rsidR="00533070" w:rsidRDefault="00BF28B2"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-0.059</w:t>
            </w:r>
          </w:p>
          <w:p w:rsidR="00BF28B2" w:rsidRPr="006542D6" w:rsidRDefault="00BF28B2"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(0.273)</w:t>
            </w:r>
          </w:p>
        </w:tc>
      </w:tr>
      <w:tr w:rsidR="00533070" w:rsidRPr="006542D6" w:rsidTr="00473A5D">
        <w:tc>
          <w:tcPr>
            <w:tcW w:w="1800" w:type="dxa"/>
            <w:vAlign w:val="center"/>
          </w:tcPr>
          <w:p w:rsidR="00533070" w:rsidRPr="006542D6" w:rsidRDefault="00533070" w:rsidP="00473A5D">
            <w:pPr>
              <w:spacing w:line="360" w:lineRule="auto"/>
              <w:rPr>
                <w:rFonts w:ascii="Times New Roman" w:hAnsi="Times New Roman" w:cs="Times New Roman"/>
                <w:sz w:val="16"/>
                <w:szCs w:val="16"/>
              </w:rPr>
            </w:pPr>
            <w:r>
              <w:rPr>
                <w:rFonts w:ascii="Times New Roman" w:hAnsi="Times New Roman" w:cs="Times New Roman"/>
                <w:sz w:val="16"/>
                <w:szCs w:val="16"/>
              </w:rPr>
              <w:t>1-Year Lag Dummy</w:t>
            </w:r>
          </w:p>
        </w:tc>
        <w:tc>
          <w:tcPr>
            <w:tcW w:w="1242" w:type="dxa"/>
            <w:vAlign w:val="center"/>
          </w:tcPr>
          <w:p w:rsidR="00533070" w:rsidRDefault="005855D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-0.226</w:t>
            </w:r>
          </w:p>
          <w:p w:rsidR="005855DB" w:rsidRPr="006542D6" w:rsidRDefault="005855D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(0.193)</w:t>
            </w:r>
          </w:p>
        </w:tc>
        <w:tc>
          <w:tcPr>
            <w:tcW w:w="1242" w:type="dxa"/>
            <w:vAlign w:val="center"/>
          </w:tcPr>
          <w:p w:rsidR="00533070" w:rsidRPr="006542D6" w:rsidRDefault="005C6EAC" w:rsidP="00273769">
            <w:pPr>
              <w:spacing w:line="360" w:lineRule="auto"/>
              <w:jc w:val="center"/>
              <w:rPr>
                <w:rFonts w:ascii="Times New Roman" w:hAnsi="Times New Roman" w:cs="Times New Roman"/>
                <w:smallCaps/>
                <w:sz w:val="16"/>
                <w:szCs w:val="16"/>
              </w:rPr>
            </w:pPr>
            <w:r w:rsidRPr="005C6EAC">
              <w:rPr>
                <w:rFonts w:ascii="Times New Roman" w:hAnsi="Times New Roman" w:cs="Times New Roman"/>
                <w:smallCaps/>
                <w:sz w:val="16"/>
                <w:szCs w:val="16"/>
              </w:rPr>
              <w:t>-</w:t>
            </w:r>
            <w:r>
              <w:rPr>
                <w:rFonts w:ascii="Times New Roman" w:hAnsi="Times New Roman" w:cs="Times New Roman"/>
                <w:smallCaps/>
                <w:sz w:val="16"/>
                <w:szCs w:val="16"/>
              </w:rPr>
              <w:t>0</w:t>
            </w:r>
            <w:r w:rsidR="00273769">
              <w:rPr>
                <w:rFonts w:ascii="Times New Roman" w:hAnsi="Times New Roman" w:cs="Times New Roman"/>
                <w:smallCaps/>
                <w:sz w:val="16"/>
                <w:szCs w:val="16"/>
              </w:rPr>
              <w:t>.049</w:t>
            </w:r>
            <w:r w:rsidRPr="005C6EAC">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5C6EAC">
              <w:rPr>
                <w:rFonts w:ascii="Times New Roman" w:hAnsi="Times New Roman" w:cs="Times New Roman"/>
                <w:smallCaps/>
                <w:sz w:val="16"/>
                <w:szCs w:val="16"/>
              </w:rPr>
              <w:t>.07</w:t>
            </w:r>
            <w:r w:rsidR="00273769">
              <w:rPr>
                <w:rFonts w:ascii="Times New Roman" w:hAnsi="Times New Roman" w:cs="Times New Roman"/>
                <w:smallCaps/>
                <w:sz w:val="16"/>
                <w:szCs w:val="16"/>
              </w:rPr>
              <w:t>5</w:t>
            </w:r>
            <w:r w:rsidRPr="005C6EAC">
              <w:rPr>
                <w:rFonts w:ascii="Times New Roman" w:hAnsi="Times New Roman" w:cs="Times New Roman"/>
                <w:smallCaps/>
                <w:sz w:val="16"/>
                <w:szCs w:val="16"/>
              </w:rPr>
              <w:t>)</w:t>
            </w:r>
          </w:p>
        </w:tc>
        <w:tc>
          <w:tcPr>
            <w:tcW w:w="1242" w:type="dxa"/>
            <w:vAlign w:val="center"/>
          </w:tcPr>
          <w:p w:rsidR="00533070" w:rsidRDefault="002F396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0.000</w:t>
            </w:r>
          </w:p>
          <w:p w:rsidR="002F396B" w:rsidRPr="006542D6" w:rsidRDefault="002F396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(0.099)</w:t>
            </w:r>
          </w:p>
        </w:tc>
        <w:tc>
          <w:tcPr>
            <w:tcW w:w="1242" w:type="dxa"/>
            <w:vAlign w:val="center"/>
          </w:tcPr>
          <w:p w:rsidR="00A16CBB" w:rsidRDefault="00A16CBB" w:rsidP="00A16CBB">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A16CBB">
              <w:rPr>
                <w:rFonts w:ascii="Times New Roman" w:hAnsi="Times New Roman" w:cs="Times New Roman"/>
                <w:smallCaps/>
                <w:sz w:val="16"/>
                <w:szCs w:val="16"/>
              </w:rPr>
              <w:t>.12</w:t>
            </w:r>
            <w:r>
              <w:rPr>
                <w:rFonts w:ascii="Times New Roman" w:hAnsi="Times New Roman" w:cs="Times New Roman"/>
                <w:smallCaps/>
                <w:sz w:val="16"/>
                <w:szCs w:val="16"/>
              </w:rPr>
              <w:t>1</w:t>
            </w:r>
            <w:r w:rsidRPr="00A16CBB">
              <w:rPr>
                <w:rFonts w:ascii="Times New Roman" w:hAnsi="Times New Roman" w:cs="Times New Roman"/>
                <w:smallCaps/>
                <w:sz w:val="16"/>
                <w:szCs w:val="16"/>
              </w:rPr>
              <w:t xml:space="preserve">      </w:t>
            </w:r>
          </w:p>
          <w:p w:rsidR="00533070" w:rsidRPr="006542D6" w:rsidRDefault="00A16CBB" w:rsidP="00A16CBB">
            <w:pPr>
              <w:spacing w:line="360" w:lineRule="auto"/>
              <w:jc w:val="center"/>
              <w:rPr>
                <w:rFonts w:ascii="Times New Roman" w:hAnsi="Times New Roman" w:cs="Times New Roman"/>
                <w:smallCaps/>
                <w:sz w:val="16"/>
                <w:szCs w:val="16"/>
              </w:rPr>
            </w:pPr>
            <w:r w:rsidRPr="00A16CBB">
              <w:rPr>
                <w:rFonts w:ascii="Times New Roman" w:hAnsi="Times New Roman" w:cs="Times New Roman"/>
                <w:smallCaps/>
                <w:sz w:val="16"/>
                <w:szCs w:val="16"/>
              </w:rPr>
              <w:t>(</w:t>
            </w:r>
            <w:r>
              <w:rPr>
                <w:rFonts w:ascii="Times New Roman" w:hAnsi="Times New Roman" w:cs="Times New Roman"/>
                <w:smallCaps/>
                <w:sz w:val="16"/>
                <w:szCs w:val="16"/>
              </w:rPr>
              <w:t>0</w:t>
            </w:r>
            <w:r w:rsidRPr="00A16CBB">
              <w:rPr>
                <w:rFonts w:ascii="Times New Roman" w:hAnsi="Times New Roman" w:cs="Times New Roman"/>
                <w:smallCaps/>
                <w:sz w:val="16"/>
                <w:szCs w:val="16"/>
              </w:rPr>
              <w:t>.211)</w:t>
            </w:r>
          </w:p>
        </w:tc>
        <w:tc>
          <w:tcPr>
            <w:tcW w:w="1242" w:type="dxa"/>
            <w:vAlign w:val="center"/>
          </w:tcPr>
          <w:p w:rsidR="00533070" w:rsidRDefault="00BF28B2"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0.012</w:t>
            </w:r>
          </w:p>
          <w:p w:rsidR="00BF28B2" w:rsidRPr="006542D6" w:rsidRDefault="00BF28B2"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(0.168)</w:t>
            </w:r>
          </w:p>
        </w:tc>
      </w:tr>
      <w:tr w:rsidR="00533070" w:rsidRPr="006542D6" w:rsidTr="00473A5D">
        <w:tc>
          <w:tcPr>
            <w:tcW w:w="1800" w:type="dxa"/>
            <w:vAlign w:val="center"/>
          </w:tcPr>
          <w:p w:rsidR="00533070" w:rsidRPr="006542D6" w:rsidRDefault="00533070" w:rsidP="00473A5D">
            <w:pPr>
              <w:spacing w:line="360" w:lineRule="auto"/>
              <w:rPr>
                <w:rFonts w:ascii="Times New Roman" w:hAnsi="Times New Roman" w:cs="Times New Roman"/>
                <w:sz w:val="16"/>
                <w:szCs w:val="16"/>
              </w:rPr>
            </w:pPr>
            <w:r>
              <w:rPr>
                <w:rFonts w:ascii="Times New Roman" w:hAnsi="Times New Roman" w:cs="Times New Roman"/>
                <w:sz w:val="16"/>
                <w:szCs w:val="16"/>
              </w:rPr>
              <w:t>2-Year Lag Dummy</w:t>
            </w:r>
          </w:p>
        </w:tc>
        <w:tc>
          <w:tcPr>
            <w:tcW w:w="1242" w:type="dxa"/>
            <w:vAlign w:val="center"/>
          </w:tcPr>
          <w:p w:rsidR="00533070" w:rsidRDefault="005855D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0.219</w:t>
            </w:r>
          </w:p>
          <w:p w:rsidR="005855DB" w:rsidRPr="006542D6" w:rsidRDefault="005855D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(0.254)</w:t>
            </w:r>
          </w:p>
        </w:tc>
        <w:tc>
          <w:tcPr>
            <w:tcW w:w="1242" w:type="dxa"/>
            <w:vAlign w:val="center"/>
          </w:tcPr>
          <w:p w:rsidR="00273769" w:rsidRDefault="005C6EAC"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00273769">
              <w:rPr>
                <w:rFonts w:ascii="Times New Roman" w:hAnsi="Times New Roman" w:cs="Times New Roman"/>
                <w:smallCaps/>
                <w:sz w:val="16"/>
                <w:szCs w:val="16"/>
              </w:rPr>
              <w:t>.035</w:t>
            </w:r>
          </w:p>
          <w:p w:rsidR="00533070" w:rsidRPr="006542D6" w:rsidRDefault="005C6EAC" w:rsidP="00473A5D">
            <w:pPr>
              <w:spacing w:line="360" w:lineRule="auto"/>
              <w:jc w:val="center"/>
              <w:rPr>
                <w:rFonts w:ascii="Times New Roman" w:hAnsi="Times New Roman" w:cs="Times New Roman"/>
                <w:smallCaps/>
                <w:sz w:val="16"/>
                <w:szCs w:val="16"/>
              </w:rPr>
            </w:pPr>
            <w:r w:rsidRPr="005C6EAC">
              <w:rPr>
                <w:rFonts w:ascii="Times New Roman" w:hAnsi="Times New Roman" w:cs="Times New Roman"/>
                <w:smallCaps/>
                <w:sz w:val="16"/>
                <w:szCs w:val="16"/>
              </w:rPr>
              <w:t>(</w:t>
            </w:r>
            <w:r>
              <w:rPr>
                <w:rFonts w:ascii="Times New Roman" w:hAnsi="Times New Roman" w:cs="Times New Roman"/>
                <w:smallCaps/>
                <w:sz w:val="16"/>
                <w:szCs w:val="16"/>
              </w:rPr>
              <w:t>0</w:t>
            </w:r>
            <w:r w:rsidR="00273769">
              <w:rPr>
                <w:rFonts w:ascii="Times New Roman" w:hAnsi="Times New Roman" w:cs="Times New Roman"/>
                <w:smallCaps/>
                <w:sz w:val="16"/>
                <w:szCs w:val="16"/>
              </w:rPr>
              <w:t>.031</w:t>
            </w:r>
            <w:r w:rsidRPr="005C6EAC">
              <w:rPr>
                <w:rFonts w:ascii="Times New Roman" w:hAnsi="Times New Roman" w:cs="Times New Roman"/>
                <w:smallCaps/>
                <w:sz w:val="16"/>
                <w:szCs w:val="16"/>
              </w:rPr>
              <w:t>)</w:t>
            </w:r>
          </w:p>
        </w:tc>
        <w:tc>
          <w:tcPr>
            <w:tcW w:w="1242" w:type="dxa"/>
            <w:vAlign w:val="center"/>
          </w:tcPr>
          <w:p w:rsidR="00533070" w:rsidRDefault="002F396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0.085**</w:t>
            </w:r>
          </w:p>
          <w:p w:rsidR="002F396B" w:rsidRPr="006542D6" w:rsidRDefault="002F396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(0.033)</w:t>
            </w:r>
          </w:p>
        </w:tc>
        <w:tc>
          <w:tcPr>
            <w:tcW w:w="1242" w:type="dxa"/>
            <w:vAlign w:val="center"/>
          </w:tcPr>
          <w:p w:rsidR="00533070" w:rsidRPr="006542D6" w:rsidRDefault="00A16CBB" w:rsidP="00A16CBB">
            <w:pPr>
              <w:spacing w:line="360" w:lineRule="auto"/>
              <w:jc w:val="center"/>
              <w:rPr>
                <w:rFonts w:ascii="Times New Roman" w:hAnsi="Times New Roman" w:cs="Times New Roman"/>
                <w:smallCaps/>
                <w:sz w:val="16"/>
                <w:szCs w:val="16"/>
              </w:rPr>
            </w:pPr>
            <w:r w:rsidRPr="00A16CBB">
              <w:rPr>
                <w:rFonts w:ascii="Times New Roman" w:hAnsi="Times New Roman" w:cs="Times New Roman"/>
                <w:smallCaps/>
                <w:sz w:val="16"/>
                <w:szCs w:val="16"/>
              </w:rPr>
              <w:t>-</w:t>
            </w:r>
            <w:r>
              <w:rPr>
                <w:rFonts w:ascii="Times New Roman" w:hAnsi="Times New Roman" w:cs="Times New Roman"/>
                <w:smallCaps/>
                <w:sz w:val="16"/>
                <w:szCs w:val="16"/>
              </w:rPr>
              <w:t>0</w:t>
            </w:r>
            <w:r w:rsidRPr="00A16CBB">
              <w:rPr>
                <w:rFonts w:ascii="Times New Roman" w:hAnsi="Times New Roman" w:cs="Times New Roman"/>
                <w:smallCaps/>
                <w:sz w:val="16"/>
                <w:szCs w:val="16"/>
              </w:rPr>
              <w:t>.12</w:t>
            </w:r>
            <w:r>
              <w:rPr>
                <w:rFonts w:ascii="Times New Roman" w:hAnsi="Times New Roman" w:cs="Times New Roman"/>
                <w:smallCaps/>
                <w:sz w:val="16"/>
                <w:szCs w:val="16"/>
              </w:rPr>
              <w:t>4</w:t>
            </w:r>
            <w:r w:rsidRPr="00A16CBB">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A16CBB">
              <w:rPr>
                <w:rFonts w:ascii="Times New Roman" w:hAnsi="Times New Roman" w:cs="Times New Roman"/>
                <w:smallCaps/>
                <w:sz w:val="16"/>
                <w:szCs w:val="16"/>
              </w:rPr>
              <w:t>.12</w:t>
            </w:r>
            <w:r>
              <w:rPr>
                <w:rFonts w:ascii="Times New Roman" w:hAnsi="Times New Roman" w:cs="Times New Roman"/>
                <w:smallCaps/>
                <w:sz w:val="16"/>
                <w:szCs w:val="16"/>
              </w:rPr>
              <w:t>1</w:t>
            </w:r>
            <w:r w:rsidRPr="00A16CBB">
              <w:rPr>
                <w:rFonts w:ascii="Times New Roman" w:hAnsi="Times New Roman" w:cs="Times New Roman"/>
                <w:smallCaps/>
                <w:sz w:val="16"/>
                <w:szCs w:val="16"/>
              </w:rPr>
              <w:t>)</w:t>
            </w:r>
          </w:p>
        </w:tc>
        <w:tc>
          <w:tcPr>
            <w:tcW w:w="1242" w:type="dxa"/>
            <w:vAlign w:val="center"/>
          </w:tcPr>
          <w:p w:rsidR="00533070" w:rsidRDefault="00BF28B2"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0.053</w:t>
            </w:r>
          </w:p>
          <w:p w:rsidR="00BF28B2" w:rsidRPr="006542D6" w:rsidRDefault="00BF28B2"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(0.128)</w:t>
            </w:r>
          </w:p>
        </w:tc>
      </w:tr>
      <w:tr w:rsidR="00533070" w:rsidRPr="006542D6" w:rsidTr="00473A5D">
        <w:tc>
          <w:tcPr>
            <w:tcW w:w="1800" w:type="dxa"/>
            <w:vAlign w:val="center"/>
          </w:tcPr>
          <w:p w:rsidR="00533070" w:rsidRPr="006542D6" w:rsidRDefault="00533070" w:rsidP="00473A5D">
            <w:pPr>
              <w:spacing w:line="360" w:lineRule="auto"/>
              <w:rPr>
                <w:rFonts w:ascii="Times New Roman" w:hAnsi="Times New Roman" w:cs="Times New Roman"/>
                <w:sz w:val="16"/>
                <w:szCs w:val="16"/>
              </w:rPr>
            </w:pPr>
            <w:r>
              <w:rPr>
                <w:rFonts w:ascii="Times New Roman" w:hAnsi="Times New Roman" w:cs="Times New Roman"/>
                <w:sz w:val="16"/>
                <w:szCs w:val="16"/>
              </w:rPr>
              <w:t>3-Year Lag Dummy</w:t>
            </w:r>
          </w:p>
        </w:tc>
        <w:tc>
          <w:tcPr>
            <w:tcW w:w="1242" w:type="dxa"/>
            <w:vAlign w:val="center"/>
          </w:tcPr>
          <w:p w:rsidR="00533070" w:rsidRDefault="005855D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-0.002</w:t>
            </w:r>
          </w:p>
          <w:p w:rsidR="005855DB" w:rsidRPr="006542D6" w:rsidRDefault="005855D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(0.147)</w:t>
            </w:r>
          </w:p>
        </w:tc>
        <w:tc>
          <w:tcPr>
            <w:tcW w:w="1242" w:type="dxa"/>
            <w:vAlign w:val="center"/>
          </w:tcPr>
          <w:p w:rsidR="00533070" w:rsidRPr="006542D6" w:rsidRDefault="005C6EAC" w:rsidP="00473A5D">
            <w:pPr>
              <w:spacing w:line="360" w:lineRule="auto"/>
              <w:jc w:val="center"/>
              <w:rPr>
                <w:rFonts w:ascii="Times New Roman" w:hAnsi="Times New Roman" w:cs="Times New Roman"/>
                <w:smallCaps/>
                <w:sz w:val="16"/>
                <w:szCs w:val="16"/>
              </w:rPr>
            </w:pPr>
            <w:r w:rsidRPr="005C6EAC">
              <w:rPr>
                <w:rFonts w:ascii="Times New Roman" w:hAnsi="Times New Roman" w:cs="Times New Roman"/>
                <w:smallCaps/>
                <w:sz w:val="16"/>
                <w:szCs w:val="16"/>
              </w:rPr>
              <w:t>-</w:t>
            </w:r>
            <w:r>
              <w:rPr>
                <w:rFonts w:ascii="Times New Roman" w:hAnsi="Times New Roman" w:cs="Times New Roman"/>
                <w:smallCaps/>
                <w:sz w:val="16"/>
                <w:szCs w:val="16"/>
              </w:rPr>
              <w:t>0</w:t>
            </w:r>
            <w:r w:rsidR="00273769">
              <w:rPr>
                <w:rFonts w:ascii="Times New Roman" w:hAnsi="Times New Roman" w:cs="Times New Roman"/>
                <w:smallCaps/>
                <w:sz w:val="16"/>
                <w:szCs w:val="16"/>
              </w:rPr>
              <w:t>.063*</w:t>
            </w:r>
            <w:r w:rsidRPr="005C6EAC">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00273769">
              <w:rPr>
                <w:rFonts w:ascii="Times New Roman" w:hAnsi="Times New Roman" w:cs="Times New Roman"/>
                <w:smallCaps/>
                <w:sz w:val="16"/>
                <w:szCs w:val="16"/>
              </w:rPr>
              <w:t>.032</w:t>
            </w:r>
            <w:r w:rsidRPr="005C6EAC">
              <w:rPr>
                <w:rFonts w:ascii="Times New Roman" w:hAnsi="Times New Roman" w:cs="Times New Roman"/>
                <w:smallCaps/>
                <w:sz w:val="16"/>
                <w:szCs w:val="16"/>
              </w:rPr>
              <w:t>)</w:t>
            </w:r>
          </w:p>
        </w:tc>
        <w:tc>
          <w:tcPr>
            <w:tcW w:w="1242" w:type="dxa"/>
            <w:vAlign w:val="center"/>
          </w:tcPr>
          <w:p w:rsidR="00533070" w:rsidRDefault="002F396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-0.108**</w:t>
            </w:r>
          </w:p>
          <w:p w:rsidR="002F396B" w:rsidRPr="006542D6" w:rsidRDefault="002F396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(0.040)</w:t>
            </w:r>
          </w:p>
        </w:tc>
        <w:tc>
          <w:tcPr>
            <w:tcW w:w="1242" w:type="dxa"/>
            <w:vAlign w:val="center"/>
          </w:tcPr>
          <w:p w:rsidR="00533070" w:rsidRPr="006542D6" w:rsidRDefault="00A16CBB" w:rsidP="00A16CBB">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Pr="00A16CBB">
              <w:rPr>
                <w:rFonts w:ascii="Times New Roman" w:hAnsi="Times New Roman" w:cs="Times New Roman"/>
                <w:smallCaps/>
                <w:sz w:val="16"/>
                <w:szCs w:val="16"/>
              </w:rPr>
              <w:t>.3</w:t>
            </w:r>
            <w:r>
              <w:rPr>
                <w:rFonts w:ascii="Times New Roman" w:hAnsi="Times New Roman" w:cs="Times New Roman"/>
                <w:smallCaps/>
                <w:sz w:val="16"/>
                <w:szCs w:val="16"/>
              </w:rPr>
              <w:t>40</w:t>
            </w:r>
            <w:r w:rsidRPr="00A16CBB">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A16CBB">
              <w:rPr>
                <w:rFonts w:ascii="Times New Roman" w:hAnsi="Times New Roman" w:cs="Times New Roman"/>
                <w:smallCaps/>
                <w:sz w:val="16"/>
                <w:szCs w:val="16"/>
              </w:rPr>
              <w:t>.188)</w:t>
            </w:r>
          </w:p>
        </w:tc>
        <w:tc>
          <w:tcPr>
            <w:tcW w:w="1242" w:type="dxa"/>
            <w:vAlign w:val="center"/>
          </w:tcPr>
          <w:p w:rsidR="00533070" w:rsidRDefault="00BF28B2"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-0.053</w:t>
            </w:r>
          </w:p>
          <w:p w:rsidR="00BF28B2" w:rsidRPr="006542D6" w:rsidRDefault="00BF28B2"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(0.125)</w:t>
            </w:r>
          </w:p>
        </w:tc>
      </w:tr>
      <w:tr w:rsidR="00533070" w:rsidRPr="006542D6" w:rsidTr="00473A5D">
        <w:tc>
          <w:tcPr>
            <w:tcW w:w="1800" w:type="dxa"/>
            <w:tcBorders>
              <w:bottom w:val="single" w:sz="12" w:space="0" w:color="auto"/>
            </w:tcBorders>
            <w:vAlign w:val="center"/>
          </w:tcPr>
          <w:p w:rsidR="00533070" w:rsidRPr="006542D6" w:rsidRDefault="00533070" w:rsidP="00473A5D">
            <w:pPr>
              <w:spacing w:line="360" w:lineRule="auto"/>
              <w:rPr>
                <w:rFonts w:ascii="Times New Roman" w:hAnsi="Times New Roman" w:cs="Times New Roman"/>
                <w:sz w:val="16"/>
                <w:szCs w:val="16"/>
              </w:rPr>
            </w:pPr>
            <w:r>
              <w:rPr>
                <w:rFonts w:ascii="Times New Roman" w:hAnsi="Times New Roman" w:cs="Times New Roman"/>
                <w:sz w:val="16"/>
                <w:szCs w:val="16"/>
              </w:rPr>
              <w:t>4-Year Lag Dummy</w:t>
            </w:r>
          </w:p>
        </w:tc>
        <w:tc>
          <w:tcPr>
            <w:tcW w:w="1242" w:type="dxa"/>
            <w:tcBorders>
              <w:bottom w:val="single" w:sz="12" w:space="0" w:color="auto"/>
            </w:tcBorders>
            <w:vAlign w:val="center"/>
          </w:tcPr>
          <w:p w:rsidR="00533070" w:rsidRDefault="005855D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0.015</w:t>
            </w:r>
          </w:p>
          <w:p w:rsidR="005855DB" w:rsidRPr="006542D6" w:rsidRDefault="005855D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(0.112)</w:t>
            </w:r>
          </w:p>
        </w:tc>
        <w:tc>
          <w:tcPr>
            <w:tcW w:w="1242" w:type="dxa"/>
            <w:tcBorders>
              <w:bottom w:val="single" w:sz="12" w:space="0" w:color="auto"/>
            </w:tcBorders>
            <w:vAlign w:val="center"/>
          </w:tcPr>
          <w:p w:rsidR="00533070" w:rsidRPr="006542D6" w:rsidRDefault="005C6EAC"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w:t>
            </w:r>
            <w:r w:rsidR="00273769">
              <w:rPr>
                <w:rFonts w:ascii="Times New Roman" w:hAnsi="Times New Roman" w:cs="Times New Roman"/>
                <w:smallCaps/>
                <w:sz w:val="16"/>
                <w:szCs w:val="16"/>
              </w:rPr>
              <w:t>.018</w:t>
            </w:r>
            <w:r w:rsidRPr="005C6EAC">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00273769">
              <w:rPr>
                <w:rFonts w:ascii="Times New Roman" w:hAnsi="Times New Roman" w:cs="Times New Roman"/>
                <w:smallCaps/>
                <w:sz w:val="16"/>
                <w:szCs w:val="16"/>
              </w:rPr>
              <w:t>.029</w:t>
            </w:r>
            <w:r w:rsidRPr="005C6EAC">
              <w:rPr>
                <w:rFonts w:ascii="Times New Roman" w:hAnsi="Times New Roman" w:cs="Times New Roman"/>
                <w:smallCaps/>
                <w:sz w:val="16"/>
                <w:szCs w:val="16"/>
              </w:rPr>
              <w:t>)</w:t>
            </w:r>
          </w:p>
        </w:tc>
        <w:tc>
          <w:tcPr>
            <w:tcW w:w="1242" w:type="dxa"/>
            <w:tcBorders>
              <w:bottom w:val="single" w:sz="12" w:space="0" w:color="auto"/>
            </w:tcBorders>
            <w:vAlign w:val="center"/>
          </w:tcPr>
          <w:p w:rsidR="00533070" w:rsidRDefault="002F396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0.037</w:t>
            </w:r>
          </w:p>
          <w:p w:rsidR="002F396B" w:rsidRPr="006542D6" w:rsidRDefault="002F396B"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(0.039)</w:t>
            </w:r>
          </w:p>
        </w:tc>
        <w:tc>
          <w:tcPr>
            <w:tcW w:w="1242" w:type="dxa"/>
            <w:tcBorders>
              <w:bottom w:val="single" w:sz="12" w:space="0" w:color="auto"/>
            </w:tcBorders>
            <w:vAlign w:val="center"/>
          </w:tcPr>
          <w:p w:rsidR="00A16CBB" w:rsidRDefault="00A16CBB" w:rsidP="00A16CBB">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0.009</w:t>
            </w:r>
            <w:r w:rsidRPr="00A16CBB">
              <w:rPr>
                <w:rFonts w:ascii="Times New Roman" w:hAnsi="Times New Roman" w:cs="Times New Roman"/>
                <w:smallCaps/>
                <w:sz w:val="16"/>
                <w:szCs w:val="16"/>
              </w:rPr>
              <w:t xml:space="preserve">     </w:t>
            </w:r>
          </w:p>
          <w:p w:rsidR="00533070" w:rsidRPr="006542D6" w:rsidRDefault="00A16CBB" w:rsidP="00A16CBB">
            <w:pPr>
              <w:spacing w:line="360" w:lineRule="auto"/>
              <w:jc w:val="center"/>
              <w:rPr>
                <w:rFonts w:ascii="Times New Roman" w:hAnsi="Times New Roman" w:cs="Times New Roman"/>
                <w:smallCaps/>
                <w:sz w:val="16"/>
                <w:szCs w:val="16"/>
              </w:rPr>
            </w:pPr>
            <w:r w:rsidRPr="00A16CBB">
              <w:rPr>
                <w:rFonts w:ascii="Times New Roman" w:hAnsi="Times New Roman" w:cs="Times New Roman"/>
                <w:smallCaps/>
                <w:sz w:val="16"/>
                <w:szCs w:val="16"/>
              </w:rPr>
              <w:t>(</w:t>
            </w:r>
            <w:r>
              <w:rPr>
                <w:rFonts w:ascii="Times New Roman" w:hAnsi="Times New Roman" w:cs="Times New Roman"/>
                <w:smallCaps/>
                <w:sz w:val="16"/>
                <w:szCs w:val="16"/>
              </w:rPr>
              <w:t>0</w:t>
            </w:r>
            <w:r w:rsidRPr="00A16CBB">
              <w:rPr>
                <w:rFonts w:ascii="Times New Roman" w:hAnsi="Times New Roman" w:cs="Times New Roman"/>
                <w:smallCaps/>
                <w:sz w:val="16"/>
                <w:szCs w:val="16"/>
              </w:rPr>
              <w:t>.231)</w:t>
            </w:r>
          </w:p>
        </w:tc>
        <w:tc>
          <w:tcPr>
            <w:tcW w:w="1242" w:type="dxa"/>
            <w:tcBorders>
              <w:bottom w:val="single" w:sz="12" w:space="0" w:color="auto"/>
            </w:tcBorders>
            <w:vAlign w:val="center"/>
          </w:tcPr>
          <w:p w:rsidR="00533070" w:rsidRDefault="00BF28B2"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0.080</w:t>
            </w:r>
          </w:p>
          <w:p w:rsidR="00BF28B2" w:rsidRPr="006542D6" w:rsidRDefault="00BF28B2" w:rsidP="00473A5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(0.086)</w:t>
            </w:r>
          </w:p>
        </w:tc>
      </w:tr>
      <w:tr w:rsidR="00533070" w:rsidRPr="006542D6" w:rsidTr="00473A5D">
        <w:tc>
          <w:tcPr>
            <w:tcW w:w="8010" w:type="dxa"/>
            <w:gridSpan w:val="6"/>
            <w:tcBorders>
              <w:top w:val="single" w:sz="12" w:space="0" w:color="auto"/>
            </w:tcBorders>
            <w:vAlign w:val="center"/>
          </w:tcPr>
          <w:p w:rsidR="00533070" w:rsidRDefault="00533070" w:rsidP="00473A5D">
            <w:pPr>
              <w:jc w:val="both"/>
              <w:rPr>
                <w:rFonts w:ascii="Times New Roman" w:hAnsi="Times New Roman" w:cs="Times New Roman"/>
                <w:sz w:val="16"/>
                <w:szCs w:val="16"/>
              </w:rPr>
            </w:pPr>
            <w:r w:rsidRPr="007B49C5">
              <w:rPr>
                <w:rFonts w:ascii="Times New Roman" w:hAnsi="Times New Roman" w:cs="Times New Roman"/>
                <w:i/>
                <w:sz w:val="16"/>
                <w:szCs w:val="16"/>
              </w:rPr>
              <w:t>Notes</w:t>
            </w:r>
            <w:r>
              <w:rPr>
                <w:rFonts w:ascii="Times New Roman" w:hAnsi="Times New Roman" w:cs="Times New Roman"/>
                <w:sz w:val="16"/>
                <w:szCs w:val="16"/>
              </w:rPr>
              <w:t>: r</w:t>
            </w:r>
            <w:r w:rsidRPr="006542D6">
              <w:rPr>
                <w:rFonts w:ascii="Times New Roman" w:hAnsi="Times New Roman" w:cs="Times New Roman"/>
                <w:sz w:val="16"/>
                <w:szCs w:val="16"/>
              </w:rPr>
              <w:t xml:space="preserve">obust standard errors corrected for within-state correlation in the error term are reported in parentheses.  </w:t>
            </w:r>
            <w:r>
              <w:rPr>
                <w:rFonts w:ascii="Times New Roman" w:hAnsi="Times New Roman" w:cs="Times New Roman"/>
                <w:sz w:val="16"/>
                <w:szCs w:val="16"/>
              </w:rPr>
              <w:t xml:space="preserve">Each specification controls for state fixed effects, year fixed effects, various covariates and a set of state specific linear time trends.  </w:t>
            </w:r>
            <w:r w:rsidR="002248F5">
              <w:rPr>
                <w:rFonts w:ascii="Times New Roman" w:hAnsi="Times New Roman" w:cs="Times New Roman"/>
                <w:sz w:val="16"/>
                <w:szCs w:val="16"/>
              </w:rPr>
              <w:t>Specifications are weighted per their counterparts in Tables 9-12 of the text.  Dependent variables are logged.</w:t>
            </w:r>
          </w:p>
          <w:p w:rsidR="00533070" w:rsidRDefault="00533070" w:rsidP="00473A5D">
            <w:pPr>
              <w:pStyle w:val="TableNotes"/>
              <w:spacing w:before="0" w:line="240" w:lineRule="auto"/>
            </w:pPr>
            <w:r>
              <w:t xml:space="preserve">*** Significant at the 1 percent level. </w:t>
            </w:r>
          </w:p>
          <w:p w:rsidR="00533070" w:rsidRDefault="00533070" w:rsidP="00473A5D">
            <w:pPr>
              <w:pStyle w:val="TableNotes"/>
              <w:spacing w:before="0" w:line="240" w:lineRule="auto"/>
            </w:pPr>
            <w:r>
              <w:t>** Significant at the 5 percent level.</w:t>
            </w:r>
          </w:p>
          <w:p w:rsidR="00533070" w:rsidRDefault="00533070" w:rsidP="00473A5D">
            <w:pPr>
              <w:rPr>
                <w:rFonts w:ascii="Times New Roman" w:hAnsi="Times New Roman" w:cs="Times New Roman"/>
                <w:sz w:val="24"/>
                <w:szCs w:val="24"/>
              </w:rPr>
            </w:pPr>
            <w:r w:rsidRPr="007B49C5">
              <w:rPr>
                <w:rFonts w:ascii="Times New Roman" w:hAnsi="Times New Roman" w:cs="Times New Roman"/>
                <w:sz w:val="16"/>
                <w:szCs w:val="16"/>
              </w:rPr>
              <w:t>* Significant at the 10 percent level.</w:t>
            </w:r>
          </w:p>
          <w:p w:rsidR="00533070" w:rsidRDefault="00533070" w:rsidP="00473A5D">
            <w:pPr>
              <w:spacing w:line="360" w:lineRule="auto"/>
              <w:rPr>
                <w:rFonts w:ascii="Times New Roman" w:hAnsi="Times New Roman" w:cs="Times New Roman"/>
                <w:smallCaps/>
                <w:sz w:val="16"/>
                <w:szCs w:val="16"/>
              </w:rPr>
            </w:pPr>
          </w:p>
          <w:p w:rsidR="00533070" w:rsidRPr="00800EDB" w:rsidRDefault="00533070" w:rsidP="00473A5D">
            <w:pPr>
              <w:spacing w:line="360" w:lineRule="auto"/>
              <w:rPr>
                <w:rFonts w:ascii="Times New Roman" w:hAnsi="Times New Roman" w:cs="Times New Roman"/>
                <w:smallCaps/>
                <w:sz w:val="16"/>
                <w:szCs w:val="16"/>
              </w:rPr>
            </w:pPr>
          </w:p>
        </w:tc>
      </w:tr>
    </w:tbl>
    <w:p w:rsidR="00C931D3" w:rsidRDefault="00C931D3" w:rsidP="00C931D3">
      <w:pPr>
        <w:rPr>
          <w:rFonts w:ascii="Times New Roman" w:hAnsi="Times New Roman" w:cs="Times New Roman"/>
          <w:sz w:val="24"/>
          <w:szCs w:val="24"/>
        </w:rPr>
      </w:pPr>
      <w:r>
        <w:rPr>
          <w:rFonts w:ascii="Times New Roman" w:hAnsi="Times New Roman" w:cs="Times New Roman"/>
          <w:sz w:val="24"/>
          <w:szCs w:val="24"/>
        </w:rPr>
        <w:t xml:space="preserve">To supplement the above dynamic difference-in-difference tables, we have also produced graphical depictions of the indicated findings.  Rather than presenting the full set of findings graphically, however, we only present those bearing on the hypothesis: physicians will respond to standard-of-care reforms that entail the expectation of higher levels of quality by delivering higher quality care.  </w:t>
      </w:r>
      <w:r w:rsidR="00DE147F">
        <w:rPr>
          <w:rFonts w:ascii="Times New Roman" w:hAnsi="Times New Roman" w:cs="Times New Roman"/>
          <w:sz w:val="24"/>
          <w:szCs w:val="24"/>
        </w:rPr>
        <w:t xml:space="preserve">Note that higher levels of care entail lower levels of the AHRQ quality indicators.  As such, we expect to observe a decline </w:t>
      </w:r>
      <w:proofErr w:type="gramStart"/>
      <w:r w:rsidR="00DE147F">
        <w:rPr>
          <w:rFonts w:ascii="Times New Roman" w:hAnsi="Times New Roman" w:cs="Times New Roman"/>
          <w:sz w:val="24"/>
          <w:szCs w:val="24"/>
        </w:rPr>
        <w:t>in such much measures following national standard adoptions in those states that begin with below-average rates and with respect to which the reform entails a heightening of standards</w:t>
      </w:r>
      <w:proofErr w:type="gramEnd"/>
      <w:r w:rsidR="00DE147F">
        <w:rPr>
          <w:rFonts w:ascii="Times New Roman" w:hAnsi="Times New Roman" w:cs="Times New Roman"/>
          <w:sz w:val="24"/>
          <w:szCs w:val="24"/>
        </w:rPr>
        <w:t>.  For the</w:t>
      </w:r>
      <w:r>
        <w:rPr>
          <w:rFonts w:ascii="Times New Roman" w:hAnsi="Times New Roman" w:cs="Times New Roman"/>
          <w:sz w:val="24"/>
          <w:szCs w:val="24"/>
        </w:rPr>
        <w:t xml:space="preserve"> reasons indicated below (and in the text), we focus this analysis on the AHRQ-inspired indicators.</w:t>
      </w:r>
      <w:r w:rsidR="00DE147F">
        <w:rPr>
          <w:rFonts w:ascii="Times New Roman" w:hAnsi="Times New Roman" w:cs="Times New Roman"/>
          <w:sz w:val="24"/>
          <w:szCs w:val="24"/>
        </w:rPr>
        <w:t xml:space="preserve">  </w:t>
      </w:r>
      <w:r w:rsidR="00BA5405">
        <w:rPr>
          <w:rFonts w:ascii="Times New Roman" w:hAnsi="Times New Roman" w:cs="Times New Roman"/>
          <w:sz w:val="24"/>
          <w:szCs w:val="24"/>
        </w:rPr>
        <w:t xml:space="preserve">The figure effectively plots the time trend in the differential quality rate between treatment and control states on a year-by-year basis, where time is measured with reference to years prior to and subsequent to a national standard </w:t>
      </w:r>
      <w:r w:rsidR="00BA5405">
        <w:rPr>
          <w:rFonts w:ascii="Times New Roman" w:hAnsi="Times New Roman" w:cs="Times New Roman"/>
          <w:sz w:val="24"/>
          <w:szCs w:val="24"/>
        </w:rPr>
        <w:lastRenderedPageBreak/>
        <w:t>adoption, where this differential is normalized to 0 in the base period (the period of time prior to 4 years before the reform).</w:t>
      </w:r>
      <w:r w:rsidR="00BA5405" w:rsidRPr="00BA5405">
        <w:rPr>
          <w:rStyle w:val="FootnoteReference"/>
          <w:rFonts w:ascii="Times New Roman" w:hAnsi="Times New Roman" w:cs="Times New Roman"/>
          <w:sz w:val="24"/>
          <w:szCs w:val="24"/>
        </w:rPr>
        <w:t xml:space="preserve"> </w:t>
      </w:r>
      <w:r w:rsidR="00BA5405">
        <w:rPr>
          <w:rStyle w:val="FootnoteReference"/>
          <w:rFonts w:ascii="Times New Roman" w:hAnsi="Times New Roman" w:cs="Times New Roman"/>
          <w:sz w:val="24"/>
          <w:szCs w:val="24"/>
        </w:rPr>
        <w:footnoteReference w:id="19"/>
      </w:r>
      <w:r w:rsidR="00BA5405">
        <w:rPr>
          <w:rFonts w:ascii="Times New Roman" w:hAnsi="Times New Roman" w:cs="Times New Roman"/>
          <w:sz w:val="24"/>
          <w:szCs w:val="24"/>
        </w:rPr>
        <w:t xml:space="preserve">  </w:t>
      </w:r>
      <w:r w:rsidR="009E4991">
        <w:rPr>
          <w:rFonts w:ascii="Times New Roman" w:hAnsi="Times New Roman" w:cs="Times New Roman"/>
          <w:sz w:val="24"/>
          <w:szCs w:val="24"/>
        </w:rPr>
        <w:t>The dashed lines in the figures represent the top and bottom of the 95 percent confidence intervals for the respective coefficients.</w:t>
      </w:r>
    </w:p>
    <w:p w:rsidR="00BA5405" w:rsidRDefault="00BA5405" w:rsidP="00C931D3">
      <w:pPr>
        <w:rPr>
          <w:rFonts w:ascii="Times New Roman" w:hAnsi="Times New Roman" w:cs="Times New Roman"/>
          <w:sz w:val="24"/>
          <w:szCs w:val="24"/>
        </w:rPr>
      </w:pPr>
    </w:p>
    <w:p w:rsidR="00BA5405" w:rsidRDefault="00BA5405" w:rsidP="00C931D3">
      <w:pPr>
        <w:rPr>
          <w:rFonts w:ascii="Times New Roman" w:hAnsi="Times New Roman" w:cs="Times New Roman"/>
          <w:sz w:val="24"/>
          <w:szCs w:val="24"/>
        </w:rPr>
      </w:pPr>
    </w:p>
    <w:p w:rsidR="00BA5405" w:rsidRDefault="00BA5405" w:rsidP="00C931D3">
      <w:pPr>
        <w:rPr>
          <w:rFonts w:ascii="Times New Roman" w:hAnsi="Times New Roman" w:cs="Times New Roman"/>
          <w:sz w:val="24"/>
          <w:szCs w:val="24"/>
        </w:rPr>
      </w:pPr>
    </w:p>
    <w:p w:rsidR="00BA5405" w:rsidRDefault="00BA5405" w:rsidP="00C931D3">
      <w:pPr>
        <w:rPr>
          <w:rFonts w:ascii="Times New Roman" w:hAnsi="Times New Roman" w:cs="Times New Roman"/>
          <w:sz w:val="24"/>
          <w:szCs w:val="24"/>
        </w:rPr>
      </w:pPr>
    </w:p>
    <w:p w:rsidR="00CE6AA4" w:rsidRDefault="00DE147F" w:rsidP="006E159E">
      <w:pPr>
        <w:rPr>
          <w:rFonts w:ascii="Times New Roman" w:hAnsi="Times New Roman" w:cs="Times New Roman"/>
          <w:sz w:val="24"/>
          <w:szCs w:val="24"/>
        </w:rPr>
      </w:pPr>
      <w:r>
        <w:rPr>
          <w:noProof/>
        </w:rPr>
        <w:drawing>
          <wp:inline distT="0" distB="0" distL="0" distR="0" wp14:anchorId="2278DA02" wp14:editId="4F96C48D">
            <wp:extent cx="5905500" cy="428625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442D" w:rsidRDefault="00BA5405">
      <w:pPr>
        <w:rPr>
          <w:rFonts w:ascii="Times New Roman" w:hAnsi="Times New Roman" w:cs="Times New Roman"/>
          <w:sz w:val="24"/>
          <w:szCs w:val="24"/>
        </w:rPr>
      </w:pPr>
      <w:r>
        <w:rPr>
          <w:rFonts w:ascii="Times New Roman" w:hAnsi="Times New Roman" w:cs="Times New Roman"/>
          <w:sz w:val="24"/>
          <w:szCs w:val="24"/>
        </w:rPr>
        <w:br w:type="page"/>
      </w:r>
      <w:r w:rsidR="0058442D">
        <w:rPr>
          <w:noProof/>
        </w:rPr>
        <w:lastRenderedPageBreak/>
        <w:drawing>
          <wp:inline distT="0" distB="0" distL="0" distR="0" wp14:anchorId="4392F502" wp14:editId="0BE24459">
            <wp:extent cx="5943600" cy="4193540"/>
            <wp:effectExtent l="0" t="0" r="19050" b="165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58442D">
        <w:rPr>
          <w:rFonts w:ascii="Times New Roman" w:hAnsi="Times New Roman" w:cs="Times New Roman"/>
          <w:sz w:val="24"/>
          <w:szCs w:val="24"/>
        </w:rPr>
        <w:br w:type="page"/>
      </w:r>
    </w:p>
    <w:p w:rsidR="00D1339D" w:rsidRDefault="00D1339D" w:rsidP="006E159E">
      <w:pPr>
        <w:rPr>
          <w:rFonts w:ascii="Times New Roman" w:hAnsi="Times New Roman" w:cs="Times New Roman"/>
          <w:sz w:val="24"/>
          <w:szCs w:val="24"/>
        </w:rPr>
      </w:pPr>
    </w:p>
    <w:p w:rsidR="00D1339D" w:rsidRDefault="00130F9D" w:rsidP="006E159E">
      <w:pPr>
        <w:rPr>
          <w:rFonts w:ascii="Times New Roman" w:hAnsi="Times New Roman" w:cs="Times New Roman"/>
          <w:sz w:val="24"/>
          <w:szCs w:val="24"/>
        </w:rPr>
      </w:pPr>
      <w:r>
        <w:rPr>
          <w:noProof/>
        </w:rPr>
        <w:drawing>
          <wp:inline distT="0" distB="0" distL="0" distR="0" wp14:anchorId="76A252B4" wp14:editId="1111762D">
            <wp:extent cx="5924550" cy="443865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1339D" w:rsidRDefault="00D1339D" w:rsidP="006E159E">
      <w:pPr>
        <w:rPr>
          <w:rFonts w:ascii="Times New Roman" w:hAnsi="Times New Roman" w:cs="Times New Roman"/>
          <w:sz w:val="24"/>
          <w:szCs w:val="24"/>
        </w:rPr>
      </w:pPr>
    </w:p>
    <w:p w:rsidR="00130F9D" w:rsidRDefault="00130F9D">
      <w:pPr>
        <w:rPr>
          <w:rFonts w:ascii="Times New Roman" w:hAnsi="Times New Roman" w:cs="Times New Roman"/>
          <w:sz w:val="24"/>
          <w:szCs w:val="24"/>
        </w:rPr>
      </w:pPr>
      <w:r>
        <w:rPr>
          <w:rFonts w:ascii="Times New Roman" w:hAnsi="Times New Roman" w:cs="Times New Roman"/>
          <w:sz w:val="24"/>
          <w:szCs w:val="24"/>
        </w:rPr>
        <w:br w:type="page"/>
      </w:r>
    </w:p>
    <w:p w:rsidR="004E331B" w:rsidRDefault="00782981" w:rsidP="006E159E">
      <w:pPr>
        <w:rPr>
          <w:rFonts w:ascii="Times New Roman" w:hAnsi="Times New Roman" w:cs="Times New Roman"/>
          <w:sz w:val="24"/>
          <w:szCs w:val="24"/>
        </w:rPr>
      </w:pPr>
      <w:r>
        <w:rPr>
          <w:noProof/>
        </w:rPr>
        <w:lastRenderedPageBreak/>
        <w:drawing>
          <wp:inline distT="0" distB="0" distL="0" distR="0" wp14:anchorId="79657B86" wp14:editId="257EAB27">
            <wp:extent cx="5943600" cy="39243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82981" w:rsidRDefault="00782981">
      <w:pPr>
        <w:rPr>
          <w:rFonts w:ascii="Times New Roman" w:hAnsi="Times New Roman" w:cs="Times New Roman"/>
          <w:sz w:val="24"/>
          <w:szCs w:val="24"/>
        </w:rPr>
      </w:pPr>
      <w:r>
        <w:rPr>
          <w:rFonts w:ascii="Times New Roman" w:hAnsi="Times New Roman" w:cs="Times New Roman"/>
          <w:sz w:val="24"/>
          <w:szCs w:val="24"/>
        </w:rPr>
        <w:br w:type="page"/>
      </w:r>
    </w:p>
    <w:p w:rsidR="00782981" w:rsidRDefault="00782981" w:rsidP="006E159E">
      <w:pPr>
        <w:rPr>
          <w:rFonts w:ascii="Times New Roman" w:hAnsi="Times New Roman" w:cs="Times New Roman"/>
          <w:sz w:val="24"/>
          <w:szCs w:val="24"/>
        </w:rPr>
      </w:pPr>
      <w:r>
        <w:rPr>
          <w:noProof/>
        </w:rPr>
        <w:lastRenderedPageBreak/>
        <w:drawing>
          <wp:inline distT="0" distB="0" distL="0" distR="0" wp14:anchorId="3A01F14A" wp14:editId="30C7217A">
            <wp:extent cx="5943600" cy="4150360"/>
            <wp:effectExtent l="0" t="0" r="19050" b="2159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82981" w:rsidRDefault="00782981" w:rsidP="006E159E">
      <w:pPr>
        <w:rPr>
          <w:rFonts w:ascii="Times New Roman" w:hAnsi="Times New Roman" w:cs="Times New Roman"/>
          <w:sz w:val="24"/>
          <w:szCs w:val="24"/>
        </w:rPr>
      </w:pPr>
    </w:p>
    <w:p w:rsidR="004E331B" w:rsidRDefault="004E331B" w:rsidP="006E159E">
      <w:pPr>
        <w:rPr>
          <w:rFonts w:ascii="Times New Roman" w:hAnsi="Times New Roman" w:cs="Times New Roman"/>
          <w:sz w:val="24"/>
          <w:szCs w:val="24"/>
        </w:rPr>
      </w:pPr>
    </w:p>
    <w:p w:rsidR="004E331B" w:rsidRDefault="004E331B" w:rsidP="006E159E">
      <w:pPr>
        <w:rPr>
          <w:rFonts w:ascii="Times New Roman" w:hAnsi="Times New Roman" w:cs="Times New Roman"/>
          <w:sz w:val="24"/>
          <w:szCs w:val="24"/>
        </w:rPr>
      </w:pPr>
    </w:p>
    <w:p w:rsidR="004E331B" w:rsidRDefault="004E331B" w:rsidP="006E159E">
      <w:pPr>
        <w:rPr>
          <w:rFonts w:ascii="Times New Roman" w:hAnsi="Times New Roman" w:cs="Times New Roman"/>
          <w:b/>
          <w:i/>
          <w:sz w:val="24"/>
          <w:szCs w:val="24"/>
          <w:u w:val="single"/>
        </w:rPr>
      </w:pPr>
      <w:r>
        <w:rPr>
          <w:rFonts w:ascii="Times New Roman" w:hAnsi="Times New Roman" w:cs="Times New Roman"/>
          <w:b/>
          <w:i/>
          <w:sz w:val="24"/>
          <w:szCs w:val="24"/>
          <w:u w:val="single"/>
        </w:rPr>
        <w:t>Additional Specification Checks</w:t>
      </w:r>
    </w:p>
    <w:p w:rsidR="004E331B" w:rsidRDefault="004E331B" w:rsidP="00B87146">
      <w:pPr>
        <w:rPr>
          <w:rFonts w:ascii="Times New Roman" w:hAnsi="Times New Roman" w:cs="Times New Roman"/>
          <w:sz w:val="24"/>
          <w:szCs w:val="24"/>
        </w:rPr>
      </w:pPr>
      <w:proofErr w:type="gramStart"/>
      <w:r>
        <w:rPr>
          <w:rFonts w:ascii="Times New Roman" w:hAnsi="Times New Roman" w:cs="Times New Roman"/>
          <w:i/>
          <w:sz w:val="24"/>
          <w:szCs w:val="24"/>
        </w:rPr>
        <w:t>Construction of Avoidable Hospitalization Rates.</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The results presented in the text are </w:t>
      </w:r>
      <w:r w:rsidR="00BE2CEA">
        <w:rPr>
          <w:rFonts w:ascii="Times New Roman" w:hAnsi="Times New Roman" w:cs="Times New Roman"/>
          <w:sz w:val="24"/>
          <w:szCs w:val="24"/>
        </w:rPr>
        <w:t xml:space="preserve">robust to alternative constructions of the AH Rates, including those constructions that (1) flag avoidable hospitalizations using any </w:t>
      </w:r>
      <w:r w:rsidR="004C5BCF">
        <w:rPr>
          <w:rFonts w:ascii="Times New Roman" w:hAnsi="Times New Roman" w:cs="Times New Roman"/>
          <w:sz w:val="24"/>
          <w:szCs w:val="24"/>
        </w:rPr>
        <w:t xml:space="preserve">diagnosis field, not just the primary diagnosis field, (2) </w:t>
      </w:r>
      <w:r w:rsidR="002C463A">
        <w:rPr>
          <w:rFonts w:ascii="Times New Roman" w:hAnsi="Times New Roman" w:cs="Times New Roman"/>
          <w:sz w:val="24"/>
          <w:szCs w:val="24"/>
        </w:rPr>
        <w:t xml:space="preserve">normalize avoidable hospitalization counts by the number of deliveries of children in the associated state-year cell (an alternative measure of the size of the cell that is not itself subject to influence by the prevailing liability environment), (3) normalize avoidable hospitalization counts by the number of acute myocardial infarctions in the associated state-year cell (rather than the low-variations health index that likewise includes strokes, hip fractures and gastro-intestinal bleedings), (4) </w:t>
      </w:r>
      <w:r w:rsidR="00D95095">
        <w:rPr>
          <w:rFonts w:ascii="Times New Roman" w:hAnsi="Times New Roman" w:cs="Times New Roman"/>
          <w:sz w:val="24"/>
          <w:szCs w:val="24"/>
        </w:rPr>
        <w:t>use non-logged AH rates as the dependent variable</w:t>
      </w:r>
      <w:r w:rsidR="00C066D9">
        <w:rPr>
          <w:rFonts w:ascii="Times New Roman" w:hAnsi="Times New Roman" w:cs="Times New Roman"/>
          <w:sz w:val="24"/>
          <w:szCs w:val="24"/>
        </w:rPr>
        <w:t xml:space="preserve"> and (5) focus only on the adult (18-plus) population</w:t>
      </w:r>
      <w:r w:rsidR="00D95095">
        <w:rPr>
          <w:rFonts w:ascii="Times New Roman" w:hAnsi="Times New Roman" w:cs="Times New Roman"/>
          <w:sz w:val="24"/>
          <w:szCs w:val="24"/>
        </w:rPr>
        <w:t xml:space="preserve">.  </w:t>
      </w:r>
      <w:r w:rsidR="000E4DF7">
        <w:rPr>
          <w:rFonts w:ascii="Times New Roman" w:hAnsi="Times New Roman" w:cs="Times New Roman"/>
          <w:sz w:val="24"/>
          <w:szCs w:val="24"/>
        </w:rPr>
        <w:t xml:space="preserve">For instance, when using just acute myocardial infarctions as the denominator in the AH rate, </w:t>
      </w:r>
      <w:r w:rsidR="00C066D9">
        <w:rPr>
          <w:rFonts w:ascii="Times New Roman" w:hAnsi="Times New Roman" w:cs="Times New Roman"/>
          <w:sz w:val="24"/>
          <w:szCs w:val="24"/>
        </w:rPr>
        <w:t>the 95 percent confidence bound for the non-economic damage cap coefficient becomes [-0.092</w:t>
      </w:r>
      <w:proofErr w:type="gramStart"/>
      <w:r w:rsidR="00C066D9">
        <w:rPr>
          <w:rFonts w:ascii="Times New Roman" w:hAnsi="Times New Roman" w:cs="Times New Roman"/>
          <w:sz w:val="24"/>
          <w:szCs w:val="24"/>
        </w:rPr>
        <w:t>,0.0</w:t>
      </w:r>
      <w:r w:rsidR="00C066D9" w:rsidRPr="00C066D9">
        <w:rPr>
          <w:rFonts w:ascii="Times New Roman" w:hAnsi="Times New Roman" w:cs="Times New Roman"/>
          <w:sz w:val="24"/>
          <w:szCs w:val="24"/>
        </w:rPr>
        <w:t>6</w:t>
      </w:r>
      <w:r w:rsidR="00C066D9">
        <w:rPr>
          <w:rFonts w:ascii="Times New Roman" w:hAnsi="Times New Roman" w:cs="Times New Roman"/>
          <w:sz w:val="24"/>
          <w:szCs w:val="24"/>
        </w:rPr>
        <w:t>3</w:t>
      </w:r>
      <w:proofErr w:type="gramEnd"/>
      <w:r w:rsidR="00C066D9">
        <w:rPr>
          <w:rFonts w:ascii="Times New Roman" w:hAnsi="Times New Roman" w:cs="Times New Roman"/>
          <w:sz w:val="24"/>
          <w:szCs w:val="24"/>
        </w:rPr>
        <w:t xml:space="preserve">] as compared with [-0.068, </w:t>
      </w:r>
      <w:r w:rsidR="00C066D9" w:rsidRPr="00C066D9">
        <w:rPr>
          <w:rFonts w:ascii="Times New Roman" w:hAnsi="Times New Roman" w:cs="Times New Roman"/>
          <w:sz w:val="24"/>
          <w:szCs w:val="24"/>
        </w:rPr>
        <w:t>0.048]</w:t>
      </w:r>
      <w:r w:rsidR="00C066D9">
        <w:rPr>
          <w:rFonts w:ascii="Times New Roman" w:hAnsi="Times New Roman" w:cs="Times New Roman"/>
          <w:sz w:val="24"/>
          <w:szCs w:val="24"/>
        </w:rPr>
        <w:t xml:space="preserve"> from Column 3 of Table 5.</w:t>
      </w:r>
      <w:r w:rsidR="00B87146">
        <w:rPr>
          <w:rFonts w:ascii="Times New Roman" w:hAnsi="Times New Roman" w:cs="Times New Roman"/>
          <w:sz w:val="24"/>
          <w:szCs w:val="24"/>
        </w:rPr>
        <w:t xml:space="preserve">  Similarly, those</w:t>
      </w:r>
      <w:r w:rsidR="00C066D9">
        <w:rPr>
          <w:rFonts w:ascii="Times New Roman" w:hAnsi="Times New Roman" w:cs="Times New Roman"/>
          <w:sz w:val="24"/>
          <w:szCs w:val="24"/>
        </w:rPr>
        <w:t xml:space="preserve"> </w:t>
      </w:r>
      <w:r w:rsidR="00C066D9">
        <w:rPr>
          <w:rFonts w:ascii="Times New Roman" w:hAnsi="Times New Roman" w:cs="Times New Roman"/>
          <w:sz w:val="24"/>
          <w:szCs w:val="24"/>
        </w:rPr>
        <w:lastRenderedPageBreak/>
        <w:t>confidence bound becomes [-0.034, 0.0</w:t>
      </w:r>
      <w:r w:rsidR="00C066D9" w:rsidRPr="00C066D9">
        <w:rPr>
          <w:rFonts w:ascii="Times New Roman" w:hAnsi="Times New Roman" w:cs="Times New Roman"/>
          <w:sz w:val="24"/>
          <w:szCs w:val="24"/>
        </w:rPr>
        <w:t>58</w:t>
      </w:r>
      <w:r w:rsidR="00C066D9">
        <w:rPr>
          <w:rFonts w:ascii="Times New Roman" w:hAnsi="Times New Roman" w:cs="Times New Roman"/>
          <w:sz w:val="24"/>
          <w:szCs w:val="24"/>
        </w:rPr>
        <w:t>] when using any diagnosis code</w:t>
      </w:r>
      <w:r w:rsidR="00B87146">
        <w:rPr>
          <w:rFonts w:ascii="Times New Roman" w:hAnsi="Times New Roman" w:cs="Times New Roman"/>
          <w:sz w:val="24"/>
          <w:szCs w:val="24"/>
        </w:rPr>
        <w:t xml:space="preserve"> and [-0.046, 0.0</w:t>
      </w:r>
      <w:r w:rsidR="00B87146" w:rsidRPr="00B87146">
        <w:rPr>
          <w:rFonts w:ascii="Times New Roman" w:hAnsi="Times New Roman" w:cs="Times New Roman"/>
          <w:sz w:val="24"/>
          <w:szCs w:val="24"/>
        </w:rPr>
        <w:t>58</w:t>
      </w:r>
      <w:r w:rsidR="00B87146">
        <w:rPr>
          <w:rFonts w:ascii="Times New Roman" w:hAnsi="Times New Roman" w:cs="Times New Roman"/>
          <w:sz w:val="24"/>
          <w:szCs w:val="24"/>
        </w:rPr>
        <w:t xml:space="preserve">] when focusing only on the adult population.  </w:t>
      </w:r>
      <w:r w:rsidR="00B8269B">
        <w:rPr>
          <w:rFonts w:ascii="Times New Roman" w:hAnsi="Times New Roman" w:cs="Times New Roman"/>
          <w:sz w:val="24"/>
          <w:szCs w:val="24"/>
        </w:rPr>
        <w:t xml:space="preserve">For the purposes of brevity, we avoid setting forth this full set of findings.  However, these results are available upon request from the authors.  </w:t>
      </w:r>
    </w:p>
    <w:p w:rsidR="002C463A" w:rsidRDefault="00B87146" w:rsidP="002F694C">
      <w:pPr>
        <w:rPr>
          <w:rFonts w:ascii="Times New Roman" w:hAnsi="Times New Roman" w:cs="Times New Roman"/>
          <w:sz w:val="24"/>
          <w:szCs w:val="24"/>
        </w:rPr>
      </w:pPr>
      <w:proofErr w:type="gramStart"/>
      <w:r w:rsidRPr="00B87146">
        <w:rPr>
          <w:rFonts w:ascii="Times New Roman" w:hAnsi="Times New Roman" w:cs="Times New Roman"/>
          <w:i/>
          <w:sz w:val="24"/>
          <w:szCs w:val="24"/>
        </w:rPr>
        <w:t>Construction of Inpatient Mortality Rate for Selected Medical Conditions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D46CB7">
        <w:rPr>
          <w:rFonts w:ascii="Times New Roman" w:hAnsi="Times New Roman" w:cs="Times New Roman"/>
          <w:sz w:val="24"/>
          <w:szCs w:val="24"/>
        </w:rPr>
        <w:t xml:space="preserve">The results presented in the text are robust to alternative constructions of the inpatient mortality rate for selected medical conditions, including those constructions that (1) </w:t>
      </w:r>
      <w:r w:rsidR="00AC4060">
        <w:rPr>
          <w:rFonts w:ascii="Times New Roman" w:hAnsi="Times New Roman" w:cs="Times New Roman"/>
          <w:sz w:val="24"/>
          <w:szCs w:val="24"/>
        </w:rPr>
        <w:t>use non-logged mortality rates as the dependent variable</w:t>
      </w:r>
      <w:r w:rsidR="004B4261">
        <w:rPr>
          <w:rFonts w:ascii="Times New Roman" w:hAnsi="Times New Roman" w:cs="Times New Roman"/>
          <w:sz w:val="24"/>
          <w:szCs w:val="24"/>
        </w:rPr>
        <w:t xml:space="preserve">, (2) specify the outcome variable as the incidence of mortality out of an individual sample of admissions for the selected medical conditions (as distinct from the primary specification whose unit of observation is a given state-year cell), (3) </w:t>
      </w:r>
      <w:r w:rsidR="00BF5E8D">
        <w:rPr>
          <w:rFonts w:ascii="Times New Roman" w:hAnsi="Times New Roman" w:cs="Times New Roman"/>
          <w:sz w:val="24"/>
          <w:szCs w:val="24"/>
        </w:rPr>
        <w:t xml:space="preserve">use mortality rates as the dependent variable that are not risk adjusted for fluctuations in the state-year incidence of the underlying medical conditions, but instead include as covariates the incidence of such conditions, and (4) focus the analysis only on the adult population.  </w:t>
      </w:r>
      <w:r w:rsidR="00D46CB7">
        <w:rPr>
          <w:rFonts w:ascii="Times New Roman" w:hAnsi="Times New Roman" w:cs="Times New Roman"/>
          <w:sz w:val="24"/>
          <w:szCs w:val="24"/>
        </w:rPr>
        <w:t xml:space="preserve">For instance, when </w:t>
      </w:r>
      <w:r w:rsidR="00893287">
        <w:rPr>
          <w:rFonts w:ascii="Times New Roman" w:hAnsi="Times New Roman" w:cs="Times New Roman"/>
          <w:sz w:val="24"/>
          <w:szCs w:val="24"/>
        </w:rPr>
        <w:t xml:space="preserve">including the incidence of the underlying medical conditions as covariates (rather than risk adjusting mortality rates ahead of time for such conditions), we estimate a 95 percent confidence band </w:t>
      </w:r>
      <w:r w:rsidR="00D46CB7">
        <w:rPr>
          <w:rFonts w:ascii="Times New Roman" w:hAnsi="Times New Roman" w:cs="Times New Roman"/>
          <w:sz w:val="24"/>
          <w:szCs w:val="24"/>
        </w:rPr>
        <w:t xml:space="preserve">for the non-economic damage cap coefficient becomes </w:t>
      </w:r>
      <w:r w:rsidR="00893287">
        <w:rPr>
          <w:rFonts w:ascii="Times New Roman" w:hAnsi="Times New Roman" w:cs="Times New Roman"/>
          <w:sz w:val="24"/>
          <w:szCs w:val="24"/>
        </w:rPr>
        <w:t>[</w:t>
      </w:r>
      <w:r w:rsidR="00893287" w:rsidRPr="00893287">
        <w:rPr>
          <w:rFonts w:ascii="Times New Roman" w:hAnsi="Times New Roman" w:cs="Times New Roman"/>
          <w:sz w:val="24"/>
          <w:szCs w:val="24"/>
        </w:rPr>
        <w:t>-</w:t>
      </w:r>
      <w:r w:rsidR="00893287">
        <w:rPr>
          <w:rFonts w:ascii="Times New Roman" w:hAnsi="Times New Roman" w:cs="Times New Roman"/>
          <w:sz w:val="24"/>
          <w:szCs w:val="24"/>
        </w:rPr>
        <w:t>0</w:t>
      </w:r>
      <w:r w:rsidR="00893287" w:rsidRPr="00893287">
        <w:rPr>
          <w:rFonts w:ascii="Times New Roman" w:hAnsi="Times New Roman" w:cs="Times New Roman"/>
          <w:sz w:val="24"/>
          <w:szCs w:val="24"/>
        </w:rPr>
        <w:t>.095</w:t>
      </w:r>
      <w:r w:rsidR="00893287">
        <w:rPr>
          <w:rFonts w:ascii="Times New Roman" w:hAnsi="Times New Roman" w:cs="Times New Roman"/>
          <w:sz w:val="24"/>
          <w:szCs w:val="24"/>
        </w:rPr>
        <w:t>, 0</w:t>
      </w:r>
      <w:r w:rsidR="00893287" w:rsidRPr="00893287">
        <w:rPr>
          <w:rFonts w:ascii="Times New Roman" w:hAnsi="Times New Roman" w:cs="Times New Roman"/>
          <w:sz w:val="24"/>
          <w:szCs w:val="24"/>
        </w:rPr>
        <w:t>.024</w:t>
      </w:r>
      <w:r w:rsidR="00D46CB7">
        <w:rPr>
          <w:rFonts w:ascii="Times New Roman" w:hAnsi="Times New Roman" w:cs="Times New Roman"/>
          <w:sz w:val="24"/>
          <w:szCs w:val="24"/>
        </w:rPr>
        <w:t xml:space="preserve">] as compared with </w:t>
      </w:r>
      <w:r w:rsidR="002F694C">
        <w:rPr>
          <w:rFonts w:ascii="Times New Roman" w:hAnsi="Times New Roman" w:cs="Times New Roman"/>
          <w:sz w:val="24"/>
          <w:szCs w:val="24"/>
        </w:rPr>
        <w:t xml:space="preserve">[-0.099, </w:t>
      </w:r>
      <w:r w:rsidR="002F694C" w:rsidRPr="002F694C">
        <w:rPr>
          <w:rFonts w:ascii="Times New Roman" w:hAnsi="Times New Roman" w:cs="Times New Roman"/>
          <w:sz w:val="24"/>
          <w:szCs w:val="24"/>
        </w:rPr>
        <w:t xml:space="preserve">0.022] </w:t>
      </w:r>
      <w:r w:rsidR="00D46CB7">
        <w:rPr>
          <w:rFonts w:ascii="Times New Roman" w:hAnsi="Times New Roman" w:cs="Times New Roman"/>
          <w:sz w:val="24"/>
          <w:szCs w:val="24"/>
        </w:rPr>
        <w:t xml:space="preserve">from Column 3 of Table </w:t>
      </w:r>
      <w:r w:rsidR="002F694C">
        <w:rPr>
          <w:rFonts w:ascii="Times New Roman" w:hAnsi="Times New Roman" w:cs="Times New Roman"/>
          <w:sz w:val="24"/>
          <w:szCs w:val="24"/>
        </w:rPr>
        <w:t xml:space="preserve">4.  </w:t>
      </w:r>
      <w:r w:rsidR="00D46CB7">
        <w:rPr>
          <w:rFonts w:ascii="Times New Roman" w:hAnsi="Times New Roman" w:cs="Times New Roman"/>
          <w:sz w:val="24"/>
          <w:szCs w:val="24"/>
        </w:rPr>
        <w:t>For the purposes of brevity, we avoid setting forth this full set of findings.  However, these results are available upon request from the authors.</w:t>
      </w:r>
    </w:p>
    <w:p w:rsidR="00CD00A9" w:rsidRDefault="00CD00A9" w:rsidP="002F694C">
      <w:pPr>
        <w:rPr>
          <w:rFonts w:ascii="Times New Roman" w:hAnsi="Times New Roman" w:cs="Times New Roman"/>
          <w:sz w:val="24"/>
          <w:szCs w:val="24"/>
        </w:rPr>
      </w:pPr>
      <w:r w:rsidRPr="00CD00A9">
        <w:rPr>
          <w:rFonts w:ascii="Times New Roman" w:hAnsi="Times New Roman" w:cs="Times New Roman"/>
          <w:sz w:val="24"/>
          <w:szCs w:val="24"/>
        </w:rPr>
        <w:t xml:space="preserve">Note that the unit of observation in the inpatient mortality rate specification estimated </w:t>
      </w:r>
      <w:r>
        <w:rPr>
          <w:rFonts w:ascii="Times New Roman" w:hAnsi="Times New Roman" w:cs="Times New Roman"/>
          <w:sz w:val="24"/>
          <w:szCs w:val="24"/>
        </w:rPr>
        <w:t>in the text</w:t>
      </w:r>
      <w:r w:rsidRPr="00CD00A9">
        <w:rPr>
          <w:rFonts w:ascii="Times New Roman" w:hAnsi="Times New Roman" w:cs="Times New Roman"/>
          <w:sz w:val="24"/>
          <w:szCs w:val="24"/>
        </w:rPr>
        <w:t xml:space="preserve"> is a given state-year cell.  In an alternative approach (not shown), we estimate linear probability models where the unit of observation is an individual discharge within the sample of inpatient admissions associated with the selected conditions (e.g., acute myocardial infarctions, strokes, etc.) and where the dependent variable is an indicator for inpatient mortality (in such models, we include controls for the incidence of the relevant conditions).  The results from this alternative approach are (perhaps not surprisingly) nearly identical to those of the state-year specifications estimated in Table 4</w:t>
      </w:r>
      <w:r>
        <w:rPr>
          <w:rFonts w:ascii="Times New Roman" w:hAnsi="Times New Roman" w:cs="Times New Roman"/>
          <w:sz w:val="24"/>
          <w:szCs w:val="24"/>
        </w:rPr>
        <w:t xml:space="preserve"> in the text</w:t>
      </w:r>
      <w:r w:rsidRPr="00CD00A9">
        <w:rPr>
          <w:rFonts w:ascii="Times New Roman" w:hAnsi="Times New Roman" w:cs="Times New Roman"/>
          <w:sz w:val="24"/>
          <w:szCs w:val="24"/>
        </w:rPr>
        <w:t>.</w:t>
      </w:r>
    </w:p>
    <w:p w:rsidR="00C865A3" w:rsidRDefault="00C865A3" w:rsidP="002F694C">
      <w:pPr>
        <w:rPr>
          <w:rFonts w:ascii="Times New Roman" w:hAnsi="Times New Roman" w:cs="Times New Roman"/>
          <w:sz w:val="24"/>
          <w:szCs w:val="24"/>
        </w:rPr>
      </w:pPr>
      <w:proofErr w:type="gramStart"/>
      <w:r w:rsidRPr="00C865A3">
        <w:rPr>
          <w:rFonts w:ascii="Times New Roman" w:hAnsi="Times New Roman" w:cs="Times New Roman"/>
          <w:i/>
          <w:sz w:val="24"/>
          <w:szCs w:val="24"/>
        </w:rPr>
        <w:t xml:space="preserve">Cancer Screening </w:t>
      </w:r>
      <w:r w:rsidR="004D2C39">
        <w:rPr>
          <w:rFonts w:ascii="Times New Roman" w:hAnsi="Times New Roman" w:cs="Times New Roman"/>
          <w:i/>
          <w:sz w:val="24"/>
          <w:szCs w:val="24"/>
        </w:rPr>
        <w:t xml:space="preserve">/ Damage-Cap </w:t>
      </w:r>
      <w:r w:rsidRPr="00C865A3">
        <w:rPr>
          <w:rFonts w:ascii="Times New Roman" w:hAnsi="Times New Roman" w:cs="Times New Roman"/>
          <w:i/>
          <w:sz w:val="24"/>
          <w:szCs w:val="24"/>
        </w:rPr>
        <w:t>Results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280061">
        <w:rPr>
          <w:rFonts w:ascii="Times New Roman" w:hAnsi="Times New Roman" w:cs="Times New Roman"/>
          <w:sz w:val="24"/>
          <w:szCs w:val="24"/>
        </w:rPr>
        <w:t>The cancer screening results presented in Table 8 of the text are robust to a number of alternative formulations of the relevant</w:t>
      </w:r>
      <w:r w:rsidR="0066282E">
        <w:rPr>
          <w:rFonts w:ascii="Times New Roman" w:hAnsi="Times New Roman" w:cs="Times New Roman"/>
          <w:sz w:val="24"/>
          <w:szCs w:val="24"/>
        </w:rPr>
        <w:t xml:space="preserve"> cancer screening measures, including alternative formulations of the age restrictions (e.g., those 40 – 75 years old in the case of </w:t>
      </w:r>
      <w:proofErr w:type="spellStart"/>
      <w:r w:rsidR="0066282E">
        <w:rPr>
          <w:rFonts w:ascii="Times New Roman" w:hAnsi="Times New Roman" w:cs="Times New Roman"/>
          <w:sz w:val="24"/>
          <w:szCs w:val="24"/>
        </w:rPr>
        <w:t>proctoscopic</w:t>
      </w:r>
      <w:proofErr w:type="spellEnd"/>
      <w:r w:rsidR="0066282E">
        <w:rPr>
          <w:rFonts w:ascii="Times New Roman" w:hAnsi="Times New Roman" w:cs="Times New Roman"/>
          <w:sz w:val="24"/>
          <w:szCs w:val="24"/>
        </w:rPr>
        <w:t xml:space="preserve"> examination, </w:t>
      </w:r>
      <w:r w:rsidR="00A72E5A">
        <w:rPr>
          <w:rFonts w:ascii="Times New Roman" w:hAnsi="Times New Roman" w:cs="Times New Roman"/>
          <w:sz w:val="24"/>
          <w:szCs w:val="24"/>
        </w:rPr>
        <w:t>i</w:t>
      </w:r>
      <w:r w:rsidR="0066282E">
        <w:rPr>
          <w:rFonts w:ascii="Times New Roman" w:hAnsi="Times New Roman" w:cs="Times New Roman"/>
          <w:sz w:val="24"/>
          <w:szCs w:val="24"/>
        </w:rPr>
        <w:t>nstead of 50 – 75)</w:t>
      </w:r>
      <w:r w:rsidR="00A72E5A">
        <w:rPr>
          <w:rFonts w:ascii="Times New Roman" w:hAnsi="Times New Roman" w:cs="Times New Roman"/>
          <w:sz w:val="24"/>
          <w:szCs w:val="24"/>
        </w:rPr>
        <w:t xml:space="preserve"> and alternative framing of the </w:t>
      </w:r>
      <w:r w:rsidR="007C76B4">
        <w:rPr>
          <w:rFonts w:ascii="Times New Roman" w:hAnsi="Times New Roman" w:cs="Times New Roman"/>
          <w:sz w:val="24"/>
          <w:szCs w:val="24"/>
        </w:rPr>
        <w:t xml:space="preserve">frequency of the screening—that is, using all of the frequency formulations provided by the BRFSS (e.g., annual, every 2 years, every 5 years, etc.).  </w:t>
      </w:r>
      <w:r w:rsidR="00A63208">
        <w:rPr>
          <w:rFonts w:ascii="Times New Roman" w:hAnsi="Times New Roman" w:cs="Times New Roman"/>
          <w:sz w:val="24"/>
          <w:szCs w:val="24"/>
        </w:rPr>
        <w:t xml:space="preserve">In the interests of brevity, we do not present the full extent of these alternative formulations, though they are available upon request from the authors.  We do, however, present in the following table results (analogous to those from Table 8 in the text) using the incidence of ever having had the relevant screening test as the operable dependent variable.   </w:t>
      </w:r>
      <w:r w:rsidR="00A72E5A">
        <w:rPr>
          <w:rFonts w:ascii="Times New Roman" w:hAnsi="Times New Roman" w:cs="Times New Roman"/>
          <w:sz w:val="24"/>
          <w:szCs w:val="24"/>
        </w:rPr>
        <w:t xml:space="preserve"> </w:t>
      </w:r>
      <w:r w:rsidR="0066282E">
        <w:rPr>
          <w:rFonts w:ascii="Times New Roman" w:hAnsi="Times New Roman" w:cs="Times New Roman"/>
          <w:sz w:val="24"/>
          <w:szCs w:val="24"/>
        </w:rPr>
        <w:t xml:space="preserve">  </w:t>
      </w:r>
    </w:p>
    <w:p w:rsidR="00A63208" w:rsidRDefault="000A6C9E" w:rsidP="002F694C">
      <w:pPr>
        <w:rPr>
          <w:rFonts w:ascii="Times New Roman" w:hAnsi="Times New Roman" w:cs="Times New Roman"/>
          <w:sz w:val="24"/>
          <w:szCs w:val="24"/>
        </w:rPr>
      </w:pPr>
      <w:r>
        <w:rPr>
          <w:rFonts w:ascii="Times New Roman" w:hAnsi="Times New Roman" w:cs="Times New Roman"/>
          <w:sz w:val="24"/>
          <w:szCs w:val="24"/>
        </w:rPr>
        <w:t xml:space="preserve"> </w:t>
      </w:r>
    </w:p>
    <w:p w:rsidR="006013A5" w:rsidRDefault="0002590D" w:rsidP="00DA423A">
      <w:pPr>
        <w:pStyle w:val="Caption"/>
        <w:keepNext/>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lastRenderedPageBreak/>
        <w:t xml:space="preserve">Table </w:t>
      </w:r>
      <w:r w:rsidR="00135F7F">
        <w:rPr>
          <w:rFonts w:ascii="Times New Roman" w:hAnsi="Times New Roman" w:cs="Times New Roman"/>
          <w:b w:val="0"/>
          <w:color w:val="auto"/>
          <w:sz w:val="16"/>
          <w:szCs w:val="16"/>
        </w:rPr>
        <w:t>C5</w:t>
      </w:r>
      <w:r>
        <w:rPr>
          <w:rFonts w:ascii="Times New Roman" w:hAnsi="Times New Roman" w:cs="Times New Roman"/>
          <w:b w:val="0"/>
          <w:color w:val="auto"/>
          <w:sz w:val="16"/>
          <w:szCs w:val="16"/>
        </w:rPr>
        <w:t xml:space="preserve">. </w:t>
      </w:r>
      <w:r w:rsidR="00DA423A" w:rsidRPr="00EE4EB5">
        <w:rPr>
          <w:rFonts w:ascii="Times New Roman" w:hAnsi="Times New Roman" w:cs="Times New Roman"/>
          <w:b w:val="0"/>
          <w:color w:val="auto"/>
          <w:sz w:val="16"/>
          <w:szCs w:val="16"/>
        </w:rPr>
        <w:t xml:space="preserve"> </w:t>
      </w:r>
      <w:proofErr w:type="gramStart"/>
      <w:r w:rsidR="00DA423A" w:rsidRPr="00EE4EB5">
        <w:rPr>
          <w:rFonts w:ascii="Times New Roman" w:hAnsi="Times New Roman" w:cs="Times New Roman"/>
          <w:b w:val="0"/>
          <w:color w:val="auto"/>
          <w:sz w:val="16"/>
          <w:szCs w:val="16"/>
        </w:rPr>
        <w:t xml:space="preserve">Relationship between </w:t>
      </w:r>
      <w:r w:rsidR="00DA423A">
        <w:rPr>
          <w:rFonts w:ascii="Times New Roman" w:hAnsi="Times New Roman" w:cs="Times New Roman"/>
          <w:b w:val="0"/>
          <w:color w:val="auto"/>
          <w:sz w:val="16"/>
          <w:szCs w:val="16"/>
        </w:rPr>
        <w:t xml:space="preserve">Remedy-Centric </w:t>
      </w:r>
      <w:r w:rsidR="00DA423A" w:rsidRPr="00EE4EB5">
        <w:rPr>
          <w:rFonts w:ascii="Times New Roman" w:hAnsi="Times New Roman" w:cs="Times New Roman"/>
          <w:b w:val="0"/>
          <w:color w:val="auto"/>
          <w:sz w:val="16"/>
          <w:szCs w:val="16"/>
        </w:rPr>
        <w:t xml:space="preserve">Tort Reforms and </w:t>
      </w:r>
      <w:r w:rsidR="00DA423A">
        <w:rPr>
          <w:rFonts w:ascii="Times New Roman" w:hAnsi="Times New Roman" w:cs="Times New Roman"/>
          <w:b w:val="0"/>
          <w:color w:val="auto"/>
          <w:sz w:val="16"/>
          <w:szCs w:val="16"/>
        </w:rPr>
        <w:t>Cancer Screening Rates</w:t>
      </w:r>
      <w:r w:rsidR="00D47A07">
        <w:rPr>
          <w:rFonts w:ascii="Times New Roman" w:hAnsi="Times New Roman" w:cs="Times New Roman"/>
          <w:b w:val="0"/>
          <w:color w:val="auto"/>
          <w:sz w:val="16"/>
          <w:szCs w:val="16"/>
        </w:rPr>
        <w:t>.</w:t>
      </w:r>
      <w:proofErr w:type="gramEnd"/>
      <w:r w:rsidR="00D47A07">
        <w:rPr>
          <w:rFonts w:ascii="Times New Roman" w:hAnsi="Times New Roman" w:cs="Times New Roman"/>
          <w:b w:val="0"/>
          <w:color w:val="auto"/>
          <w:sz w:val="16"/>
          <w:szCs w:val="16"/>
        </w:rPr>
        <w:t xml:space="preserve">  Alternative Formulation: </w:t>
      </w:r>
    </w:p>
    <w:p w:rsidR="00DA423A" w:rsidRPr="00EE4EB5" w:rsidRDefault="00D47A07" w:rsidP="00DA423A">
      <w:pPr>
        <w:pStyle w:val="Caption"/>
        <w:keepNext/>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Incidence of Ever Having the Indicated Screening</w:t>
      </w:r>
      <w:r w:rsidR="00DA423A">
        <w:rPr>
          <w:rFonts w:ascii="Times New Roman" w:hAnsi="Times New Roman" w:cs="Times New Roman"/>
          <w:b w:val="0"/>
          <w:color w:val="auto"/>
          <w:sz w:val="16"/>
          <w:szCs w:val="16"/>
        </w:rPr>
        <w:t xml:space="preserve"> </w:t>
      </w:r>
    </w:p>
    <w:tbl>
      <w:tblPr>
        <w:tblStyle w:val="TableGrid"/>
        <w:tblW w:w="7755" w:type="dxa"/>
        <w:tblInd w:w="8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5"/>
        <w:gridCol w:w="500"/>
        <w:gridCol w:w="445"/>
        <w:gridCol w:w="945"/>
        <w:gridCol w:w="945"/>
        <w:gridCol w:w="250"/>
        <w:gridCol w:w="695"/>
        <w:gridCol w:w="945"/>
        <w:gridCol w:w="945"/>
      </w:tblGrid>
      <w:tr w:rsidR="00DA423A" w:rsidRPr="00EE4EB5" w:rsidTr="00473A5D">
        <w:tc>
          <w:tcPr>
            <w:tcW w:w="2085" w:type="dxa"/>
            <w:tcBorders>
              <w:top w:val="single" w:sz="4" w:space="0" w:color="auto"/>
              <w:bottom w:val="single" w:sz="8" w:space="0" w:color="auto"/>
            </w:tcBorders>
          </w:tcPr>
          <w:p w:rsidR="00DA423A" w:rsidRPr="00EE4EB5" w:rsidRDefault="00DA423A" w:rsidP="00473A5D">
            <w:pPr>
              <w:jc w:val="center"/>
              <w:rPr>
                <w:rFonts w:ascii="Times New Roman" w:hAnsi="Times New Roman" w:cs="Times New Roman"/>
                <w:smallCaps/>
                <w:sz w:val="16"/>
                <w:szCs w:val="16"/>
              </w:rPr>
            </w:pPr>
          </w:p>
        </w:tc>
        <w:tc>
          <w:tcPr>
            <w:tcW w:w="945" w:type="dxa"/>
            <w:gridSpan w:val="2"/>
            <w:tcBorders>
              <w:top w:val="single" w:sz="4" w:space="0" w:color="auto"/>
              <w:bottom w:val="single" w:sz="8" w:space="0" w:color="auto"/>
            </w:tcBorders>
            <w:vAlign w:val="center"/>
          </w:tcPr>
          <w:p w:rsidR="00DA423A" w:rsidRPr="00EE4EB5" w:rsidRDefault="00DA423A" w:rsidP="00473A5D">
            <w:pPr>
              <w:jc w:val="center"/>
              <w:rPr>
                <w:rFonts w:ascii="Times New Roman" w:hAnsi="Times New Roman" w:cs="Times New Roman"/>
                <w:i/>
                <w:smallCaps/>
                <w:sz w:val="16"/>
                <w:szCs w:val="16"/>
              </w:rPr>
            </w:pPr>
            <w:r w:rsidRPr="00EE4EB5">
              <w:rPr>
                <w:rFonts w:ascii="Times New Roman" w:hAnsi="Times New Roman" w:cs="Times New Roman"/>
                <w:i/>
                <w:smallCaps/>
                <w:sz w:val="16"/>
                <w:szCs w:val="16"/>
              </w:rPr>
              <w:t>(1)</w:t>
            </w:r>
          </w:p>
        </w:tc>
        <w:tc>
          <w:tcPr>
            <w:tcW w:w="945" w:type="dxa"/>
            <w:tcBorders>
              <w:top w:val="single" w:sz="4" w:space="0" w:color="auto"/>
              <w:bottom w:val="single" w:sz="8" w:space="0" w:color="auto"/>
            </w:tcBorders>
            <w:vAlign w:val="center"/>
          </w:tcPr>
          <w:p w:rsidR="00DA423A" w:rsidRPr="00EE4EB5" w:rsidRDefault="00DA423A" w:rsidP="00473A5D">
            <w:pPr>
              <w:jc w:val="center"/>
              <w:rPr>
                <w:rFonts w:ascii="Times New Roman" w:hAnsi="Times New Roman" w:cs="Times New Roman"/>
                <w:i/>
                <w:smallCaps/>
                <w:sz w:val="16"/>
                <w:szCs w:val="16"/>
              </w:rPr>
            </w:pPr>
            <w:r w:rsidRPr="00EE4EB5">
              <w:rPr>
                <w:rFonts w:ascii="Times New Roman" w:hAnsi="Times New Roman" w:cs="Times New Roman"/>
                <w:i/>
                <w:smallCaps/>
                <w:sz w:val="16"/>
                <w:szCs w:val="16"/>
              </w:rPr>
              <w:t>(2)</w:t>
            </w:r>
          </w:p>
        </w:tc>
        <w:tc>
          <w:tcPr>
            <w:tcW w:w="945" w:type="dxa"/>
            <w:tcBorders>
              <w:top w:val="single" w:sz="4" w:space="0" w:color="auto"/>
              <w:bottom w:val="single" w:sz="8" w:space="0" w:color="auto"/>
            </w:tcBorders>
            <w:vAlign w:val="center"/>
          </w:tcPr>
          <w:p w:rsidR="00DA423A" w:rsidRPr="00EE4EB5" w:rsidRDefault="00DA423A" w:rsidP="00473A5D">
            <w:pPr>
              <w:jc w:val="center"/>
              <w:rPr>
                <w:rFonts w:ascii="Times New Roman" w:hAnsi="Times New Roman" w:cs="Times New Roman"/>
                <w:i/>
                <w:smallCaps/>
                <w:sz w:val="16"/>
                <w:szCs w:val="16"/>
              </w:rPr>
            </w:pPr>
            <w:r w:rsidRPr="00EE4EB5">
              <w:rPr>
                <w:rFonts w:ascii="Times New Roman" w:hAnsi="Times New Roman" w:cs="Times New Roman"/>
                <w:i/>
                <w:smallCaps/>
                <w:sz w:val="16"/>
                <w:szCs w:val="16"/>
              </w:rPr>
              <w:t>(3)</w:t>
            </w:r>
          </w:p>
        </w:tc>
        <w:tc>
          <w:tcPr>
            <w:tcW w:w="945" w:type="dxa"/>
            <w:gridSpan w:val="2"/>
            <w:tcBorders>
              <w:top w:val="single" w:sz="4" w:space="0" w:color="auto"/>
              <w:bottom w:val="single" w:sz="8" w:space="0" w:color="auto"/>
            </w:tcBorders>
            <w:vAlign w:val="center"/>
          </w:tcPr>
          <w:p w:rsidR="00DA423A" w:rsidRPr="00EE4EB5" w:rsidRDefault="00DA423A" w:rsidP="00473A5D">
            <w:pPr>
              <w:jc w:val="center"/>
              <w:rPr>
                <w:rFonts w:ascii="Times New Roman" w:hAnsi="Times New Roman" w:cs="Times New Roman"/>
                <w:i/>
                <w:smallCaps/>
                <w:sz w:val="16"/>
                <w:szCs w:val="16"/>
              </w:rPr>
            </w:pPr>
            <w:r w:rsidRPr="00EE4EB5">
              <w:rPr>
                <w:rFonts w:ascii="Times New Roman" w:hAnsi="Times New Roman" w:cs="Times New Roman"/>
                <w:i/>
                <w:smallCaps/>
                <w:sz w:val="16"/>
                <w:szCs w:val="16"/>
              </w:rPr>
              <w:t>(4)</w:t>
            </w:r>
          </w:p>
        </w:tc>
        <w:tc>
          <w:tcPr>
            <w:tcW w:w="945" w:type="dxa"/>
            <w:tcBorders>
              <w:top w:val="single" w:sz="4" w:space="0" w:color="auto"/>
              <w:bottom w:val="single" w:sz="8" w:space="0" w:color="auto"/>
            </w:tcBorders>
            <w:vAlign w:val="center"/>
          </w:tcPr>
          <w:p w:rsidR="00DA423A" w:rsidRPr="00EE4EB5" w:rsidRDefault="00DA423A" w:rsidP="00473A5D">
            <w:pPr>
              <w:jc w:val="center"/>
              <w:rPr>
                <w:rFonts w:ascii="Times New Roman" w:hAnsi="Times New Roman" w:cs="Times New Roman"/>
                <w:i/>
                <w:smallCaps/>
                <w:sz w:val="16"/>
                <w:szCs w:val="16"/>
              </w:rPr>
            </w:pPr>
            <w:r>
              <w:rPr>
                <w:rFonts w:ascii="Times New Roman" w:hAnsi="Times New Roman" w:cs="Times New Roman"/>
                <w:i/>
                <w:smallCaps/>
                <w:sz w:val="16"/>
                <w:szCs w:val="16"/>
              </w:rPr>
              <w:t>(5)</w:t>
            </w:r>
          </w:p>
        </w:tc>
        <w:tc>
          <w:tcPr>
            <w:tcW w:w="945" w:type="dxa"/>
            <w:tcBorders>
              <w:top w:val="single" w:sz="4" w:space="0" w:color="auto"/>
              <w:bottom w:val="single" w:sz="8" w:space="0" w:color="auto"/>
            </w:tcBorders>
            <w:vAlign w:val="center"/>
          </w:tcPr>
          <w:p w:rsidR="00DA423A" w:rsidRDefault="00DA423A" w:rsidP="00473A5D">
            <w:pPr>
              <w:jc w:val="center"/>
              <w:rPr>
                <w:rFonts w:ascii="Times New Roman" w:hAnsi="Times New Roman" w:cs="Times New Roman"/>
                <w:i/>
                <w:smallCaps/>
                <w:sz w:val="16"/>
                <w:szCs w:val="16"/>
              </w:rPr>
            </w:pPr>
            <w:r>
              <w:rPr>
                <w:rFonts w:ascii="Times New Roman" w:hAnsi="Times New Roman" w:cs="Times New Roman"/>
                <w:i/>
                <w:smallCaps/>
                <w:sz w:val="16"/>
                <w:szCs w:val="16"/>
              </w:rPr>
              <w:t>(6)</w:t>
            </w:r>
          </w:p>
        </w:tc>
      </w:tr>
      <w:tr w:rsidR="00DA423A" w:rsidRPr="00EE4EB5" w:rsidTr="00473A5D">
        <w:tc>
          <w:tcPr>
            <w:tcW w:w="2085" w:type="dxa"/>
            <w:vAlign w:val="center"/>
          </w:tcPr>
          <w:p w:rsidR="00DA423A" w:rsidRPr="00EE4EB5" w:rsidRDefault="00DA423A" w:rsidP="00473A5D">
            <w:pPr>
              <w:rPr>
                <w:rFonts w:ascii="Times New Roman" w:hAnsi="Times New Roman" w:cs="Times New Roman"/>
                <w:sz w:val="16"/>
                <w:szCs w:val="16"/>
              </w:rPr>
            </w:pPr>
          </w:p>
        </w:tc>
        <w:tc>
          <w:tcPr>
            <w:tcW w:w="945" w:type="dxa"/>
            <w:gridSpan w:val="2"/>
            <w:vAlign w:val="center"/>
          </w:tcPr>
          <w:p w:rsidR="00DA423A" w:rsidRPr="00EE4EB5" w:rsidRDefault="00DA423A" w:rsidP="00473A5D">
            <w:pPr>
              <w:jc w:val="center"/>
              <w:rPr>
                <w:rFonts w:ascii="Times New Roman" w:hAnsi="Times New Roman" w:cs="Times New Roman"/>
                <w:smallCaps/>
                <w:sz w:val="16"/>
                <w:szCs w:val="16"/>
              </w:rPr>
            </w:pPr>
          </w:p>
        </w:tc>
        <w:tc>
          <w:tcPr>
            <w:tcW w:w="945" w:type="dxa"/>
            <w:vAlign w:val="center"/>
          </w:tcPr>
          <w:p w:rsidR="00DA423A" w:rsidRPr="00EE4EB5" w:rsidRDefault="00DA423A" w:rsidP="00473A5D">
            <w:pPr>
              <w:jc w:val="center"/>
              <w:rPr>
                <w:rFonts w:ascii="Times New Roman" w:hAnsi="Times New Roman" w:cs="Times New Roman"/>
                <w:smallCaps/>
                <w:sz w:val="16"/>
                <w:szCs w:val="16"/>
              </w:rPr>
            </w:pPr>
          </w:p>
        </w:tc>
        <w:tc>
          <w:tcPr>
            <w:tcW w:w="945" w:type="dxa"/>
            <w:vAlign w:val="center"/>
          </w:tcPr>
          <w:p w:rsidR="00DA423A" w:rsidRPr="00EE4EB5" w:rsidRDefault="00DA423A" w:rsidP="00473A5D">
            <w:pPr>
              <w:jc w:val="center"/>
              <w:rPr>
                <w:rFonts w:ascii="Times New Roman" w:hAnsi="Times New Roman" w:cs="Times New Roman"/>
                <w:smallCaps/>
                <w:sz w:val="16"/>
                <w:szCs w:val="16"/>
              </w:rPr>
            </w:pPr>
          </w:p>
        </w:tc>
        <w:tc>
          <w:tcPr>
            <w:tcW w:w="945" w:type="dxa"/>
            <w:gridSpan w:val="2"/>
            <w:vAlign w:val="center"/>
          </w:tcPr>
          <w:p w:rsidR="00DA423A" w:rsidRPr="00EE4EB5" w:rsidRDefault="00DA423A" w:rsidP="00473A5D">
            <w:pPr>
              <w:jc w:val="center"/>
              <w:rPr>
                <w:rFonts w:ascii="Times New Roman" w:hAnsi="Times New Roman" w:cs="Times New Roman"/>
                <w:smallCaps/>
                <w:sz w:val="16"/>
                <w:szCs w:val="16"/>
              </w:rPr>
            </w:pPr>
          </w:p>
        </w:tc>
        <w:tc>
          <w:tcPr>
            <w:tcW w:w="945" w:type="dxa"/>
            <w:vAlign w:val="center"/>
          </w:tcPr>
          <w:p w:rsidR="00DA423A" w:rsidRPr="00EE4EB5" w:rsidRDefault="00DA423A" w:rsidP="00473A5D">
            <w:pPr>
              <w:jc w:val="center"/>
              <w:rPr>
                <w:rFonts w:ascii="Times New Roman" w:hAnsi="Times New Roman" w:cs="Times New Roman"/>
                <w:smallCaps/>
                <w:sz w:val="16"/>
                <w:szCs w:val="16"/>
              </w:rPr>
            </w:pPr>
          </w:p>
        </w:tc>
        <w:tc>
          <w:tcPr>
            <w:tcW w:w="945" w:type="dxa"/>
            <w:vAlign w:val="center"/>
          </w:tcPr>
          <w:p w:rsidR="00DA423A" w:rsidRPr="00EE4EB5" w:rsidRDefault="00DA423A" w:rsidP="00473A5D">
            <w:pPr>
              <w:jc w:val="center"/>
              <w:rPr>
                <w:rFonts w:ascii="Times New Roman" w:hAnsi="Times New Roman" w:cs="Times New Roman"/>
                <w:smallCaps/>
                <w:sz w:val="16"/>
                <w:szCs w:val="16"/>
              </w:rPr>
            </w:pPr>
          </w:p>
        </w:tc>
      </w:tr>
      <w:tr w:rsidR="00DA423A" w:rsidRPr="00EE4EB5" w:rsidTr="00473A5D">
        <w:tc>
          <w:tcPr>
            <w:tcW w:w="2085" w:type="dxa"/>
            <w:vAlign w:val="center"/>
          </w:tcPr>
          <w:p w:rsidR="00DA423A" w:rsidRPr="00EE4EB5" w:rsidRDefault="00DA423A" w:rsidP="00473A5D">
            <w:pPr>
              <w:rPr>
                <w:rFonts w:ascii="Times New Roman" w:hAnsi="Times New Roman" w:cs="Times New Roman"/>
                <w:sz w:val="16"/>
                <w:szCs w:val="16"/>
              </w:rPr>
            </w:pPr>
          </w:p>
        </w:tc>
        <w:tc>
          <w:tcPr>
            <w:tcW w:w="945" w:type="dxa"/>
            <w:gridSpan w:val="2"/>
            <w:vAlign w:val="center"/>
          </w:tcPr>
          <w:p w:rsidR="00DA423A" w:rsidRPr="00EE4EB5" w:rsidRDefault="00DA423A" w:rsidP="00473A5D">
            <w:pPr>
              <w:jc w:val="center"/>
              <w:rPr>
                <w:rFonts w:ascii="Times New Roman" w:hAnsi="Times New Roman" w:cs="Times New Roman"/>
                <w:smallCaps/>
                <w:sz w:val="16"/>
                <w:szCs w:val="16"/>
              </w:rPr>
            </w:pPr>
            <w:proofErr w:type="spellStart"/>
            <w:r>
              <w:rPr>
                <w:rFonts w:ascii="Times New Roman" w:hAnsi="Times New Roman" w:cs="Times New Roman"/>
                <w:smallCaps/>
                <w:sz w:val="16"/>
                <w:szCs w:val="16"/>
              </w:rPr>
              <w:t>Mammo</w:t>
            </w:r>
            <w:proofErr w:type="spellEnd"/>
            <w:r>
              <w:rPr>
                <w:rFonts w:ascii="Times New Roman" w:hAnsi="Times New Roman" w:cs="Times New Roman"/>
                <w:smallCaps/>
                <w:sz w:val="16"/>
                <w:szCs w:val="16"/>
              </w:rPr>
              <w:t>-gram</w:t>
            </w:r>
          </w:p>
        </w:tc>
        <w:tc>
          <w:tcPr>
            <w:tcW w:w="945" w:type="dxa"/>
            <w:vAlign w:val="center"/>
          </w:tcPr>
          <w:p w:rsidR="00DA423A" w:rsidRPr="00EE4EB5" w:rsidRDefault="00DA423A" w:rsidP="00473A5D">
            <w:pPr>
              <w:jc w:val="center"/>
              <w:rPr>
                <w:rFonts w:ascii="Times New Roman" w:hAnsi="Times New Roman" w:cs="Times New Roman"/>
                <w:smallCaps/>
                <w:sz w:val="16"/>
                <w:szCs w:val="16"/>
              </w:rPr>
            </w:pPr>
            <w:r>
              <w:rPr>
                <w:rFonts w:ascii="Times New Roman" w:hAnsi="Times New Roman" w:cs="Times New Roman"/>
                <w:smallCaps/>
                <w:sz w:val="16"/>
                <w:szCs w:val="16"/>
              </w:rPr>
              <w:t>Physical Breast Exam</w:t>
            </w:r>
          </w:p>
        </w:tc>
        <w:tc>
          <w:tcPr>
            <w:tcW w:w="945" w:type="dxa"/>
            <w:vAlign w:val="center"/>
          </w:tcPr>
          <w:p w:rsidR="00DA423A" w:rsidRPr="00EE4EB5" w:rsidRDefault="00DA423A" w:rsidP="00473A5D">
            <w:pPr>
              <w:jc w:val="center"/>
              <w:rPr>
                <w:rFonts w:ascii="Times New Roman" w:hAnsi="Times New Roman" w:cs="Times New Roman"/>
                <w:smallCaps/>
                <w:sz w:val="16"/>
                <w:szCs w:val="16"/>
              </w:rPr>
            </w:pPr>
            <w:proofErr w:type="spellStart"/>
            <w:r>
              <w:rPr>
                <w:rFonts w:ascii="Times New Roman" w:hAnsi="Times New Roman" w:cs="Times New Roman"/>
                <w:smallCaps/>
                <w:sz w:val="16"/>
                <w:szCs w:val="16"/>
              </w:rPr>
              <w:t>Procto-scopic</w:t>
            </w:r>
            <w:proofErr w:type="spellEnd"/>
            <w:r>
              <w:rPr>
                <w:rFonts w:ascii="Times New Roman" w:hAnsi="Times New Roman" w:cs="Times New Roman"/>
                <w:smallCaps/>
                <w:sz w:val="16"/>
                <w:szCs w:val="16"/>
              </w:rPr>
              <w:t xml:space="preserve"> Exam</w:t>
            </w:r>
          </w:p>
        </w:tc>
        <w:tc>
          <w:tcPr>
            <w:tcW w:w="945" w:type="dxa"/>
            <w:gridSpan w:val="2"/>
            <w:vAlign w:val="center"/>
          </w:tcPr>
          <w:p w:rsidR="00DA423A" w:rsidRPr="00EE4EB5" w:rsidRDefault="00DA423A" w:rsidP="00473A5D">
            <w:pPr>
              <w:jc w:val="center"/>
              <w:rPr>
                <w:rFonts w:ascii="Times New Roman" w:hAnsi="Times New Roman" w:cs="Times New Roman"/>
                <w:smallCaps/>
                <w:sz w:val="16"/>
                <w:szCs w:val="16"/>
              </w:rPr>
            </w:pPr>
            <w:r>
              <w:rPr>
                <w:rFonts w:ascii="Times New Roman" w:hAnsi="Times New Roman" w:cs="Times New Roman"/>
                <w:smallCaps/>
                <w:sz w:val="16"/>
                <w:szCs w:val="16"/>
              </w:rPr>
              <w:t>PSA Testing</w:t>
            </w:r>
          </w:p>
        </w:tc>
        <w:tc>
          <w:tcPr>
            <w:tcW w:w="945" w:type="dxa"/>
            <w:vAlign w:val="center"/>
          </w:tcPr>
          <w:p w:rsidR="00DA423A" w:rsidRPr="00EE4EB5" w:rsidRDefault="00DA423A" w:rsidP="00473A5D">
            <w:pPr>
              <w:jc w:val="center"/>
              <w:rPr>
                <w:rFonts w:ascii="Times New Roman" w:hAnsi="Times New Roman" w:cs="Times New Roman"/>
                <w:smallCaps/>
                <w:sz w:val="16"/>
                <w:szCs w:val="16"/>
              </w:rPr>
            </w:pPr>
            <w:r>
              <w:rPr>
                <w:rFonts w:ascii="Times New Roman" w:hAnsi="Times New Roman" w:cs="Times New Roman"/>
                <w:smallCaps/>
                <w:sz w:val="16"/>
                <w:szCs w:val="16"/>
              </w:rPr>
              <w:t>Digital Rectal Exam</w:t>
            </w:r>
          </w:p>
        </w:tc>
        <w:tc>
          <w:tcPr>
            <w:tcW w:w="945" w:type="dxa"/>
            <w:vAlign w:val="center"/>
          </w:tcPr>
          <w:p w:rsidR="00DA423A" w:rsidRPr="00EE4EB5" w:rsidRDefault="00DA423A" w:rsidP="00473A5D">
            <w:pPr>
              <w:jc w:val="center"/>
              <w:rPr>
                <w:rFonts w:ascii="Times New Roman" w:hAnsi="Times New Roman" w:cs="Times New Roman"/>
                <w:smallCaps/>
                <w:sz w:val="16"/>
                <w:szCs w:val="16"/>
              </w:rPr>
            </w:pPr>
            <w:r>
              <w:rPr>
                <w:rFonts w:ascii="Times New Roman" w:hAnsi="Times New Roman" w:cs="Times New Roman"/>
                <w:smallCaps/>
                <w:sz w:val="16"/>
                <w:szCs w:val="16"/>
              </w:rPr>
              <w:t>Pap Smear</w:t>
            </w:r>
          </w:p>
        </w:tc>
      </w:tr>
      <w:tr w:rsidR="00DA423A" w:rsidRPr="00EE4EB5" w:rsidTr="00473A5D">
        <w:tc>
          <w:tcPr>
            <w:tcW w:w="2085" w:type="dxa"/>
            <w:vAlign w:val="center"/>
          </w:tcPr>
          <w:p w:rsidR="00DA423A" w:rsidRPr="00EE4EB5" w:rsidRDefault="00DA423A" w:rsidP="00473A5D">
            <w:pPr>
              <w:rPr>
                <w:rFonts w:ascii="Times New Roman" w:hAnsi="Times New Roman" w:cs="Times New Roman"/>
                <w:sz w:val="16"/>
                <w:szCs w:val="16"/>
              </w:rPr>
            </w:pPr>
          </w:p>
        </w:tc>
        <w:tc>
          <w:tcPr>
            <w:tcW w:w="945" w:type="dxa"/>
            <w:gridSpan w:val="2"/>
            <w:vAlign w:val="center"/>
          </w:tcPr>
          <w:p w:rsidR="00DA423A" w:rsidRPr="000F3B78" w:rsidRDefault="00DA423A" w:rsidP="00473A5D">
            <w:pPr>
              <w:jc w:val="center"/>
              <w:rPr>
                <w:rFonts w:ascii="Times New Roman" w:hAnsi="Times New Roman" w:cs="Times New Roman"/>
                <w:smallCaps/>
                <w:sz w:val="16"/>
                <w:szCs w:val="16"/>
              </w:rPr>
            </w:pPr>
          </w:p>
        </w:tc>
        <w:tc>
          <w:tcPr>
            <w:tcW w:w="945" w:type="dxa"/>
            <w:vAlign w:val="center"/>
          </w:tcPr>
          <w:p w:rsidR="00DA423A" w:rsidRPr="00EE4EB5" w:rsidRDefault="00DA423A" w:rsidP="00473A5D">
            <w:pPr>
              <w:jc w:val="center"/>
              <w:rPr>
                <w:rFonts w:ascii="Times New Roman" w:hAnsi="Times New Roman" w:cs="Times New Roman"/>
                <w:smallCaps/>
                <w:sz w:val="16"/>
                <w:szCs w:val="16"/>
              </w:rPr>
            </w:pPr>
          </w:p>
        </w:tc>
        <w:tc>
          <w:tcPr>
            <w:tcW w:w="945" w:type="dxa"/>
            <w:vAlign w:val="center"/>
          </w:tcPr>
          <w:p w:rsidR="00DA423A" w:rsidRPr="00EE4EB5" w:rsidRDefault="00DA423A" w:rsidP="00473A5D">
            <w:pPr>
              <w:jc w:val="center"/>
              <w:rPr>
                <w:rFonts w:ascii="Times New Roman" w:hAnsi="Times New Roman" w:cs="Times New Roman"/>
                <w:smallCaps/>
                <w:sz w:val="16"/>
                <w:szCs w:val="16"/>
              </w:rPr>
            </w:pPr>
          </w:p>
        </w:tc>
        <w:tc>
          <w:tcPr>
            <w:tcW w:w="945" w:type="dxa"/>
            <w:gridSpan w:val="2"/>
            <w:vAlign w:val="center"/>
          </w:tcPr>
          <w:p w:rsidR="00DA423A" w:rsidRPr="00EE4EB5" w:rsidRDefault="00DA423A" w:rsidP="00473A5D">
            <w:pPr>
              <w:jc w:val="center"/>
              <w:rPr>
                <w:rFonts w:ascii="Times New Roman" w:hAnsi="Times New Roman" w:cs="Times New Roman"/>
                <w:smallCaps/>
                <w:sz w:val="16"/>
                <w:szCs w:val="16"/>
              </w:rPr>
            </w:pPr>
          </w:p>
        </w:tc>
        <w:tc>
          <w:tcPr>
            <w:tcW w:w="945" w:type="dxa"/>
            <w:vAlign w:val="center"/>
          </w:tcPr>
          <w:p w:rsidR="00DA423A" w:rsidRPr="00EE4EB5" w:rsidRDefault="00DA423A" w:rsidP="00473A5D">
            <w:pPr>
              <w:jc w:val="center"/>
              <w:rPr>
                <w:rFonts w:ascii="Times New Roman" w:hAnsi="Times New Roman" w:cs="Times New Roman"/>
                <w:smallCaps/>
                <w:sz w:val="16"/>
                <w:szCs w:val="16"/>
              </w:rPr>
            </w:pPr>
          </w:p>
        </w:tc>
        <w:tc>
          <w:tcPr>
            <w:tcW w:w="945" w:type="dxa"/>
            <w:vAlign w:val="center"/>
          </w:tcPr>
          <w:p w:rsidR="00DA423A" w:rsidRPr="00EE4EB5" w:rsidRDefault="00DA423A" w:rsidP="00473A5D">
            <w:pPr>
              <w:jc w:val="center"/>
              <w:rPr>
                <w:rFonts w:ascii="Times New Roman" w:hAnsi="Times New Roman" w:cs="Times New Roman"/>
                <w:smallCaps/>
                <w:sz w:val="16"/>
                <w:szCs w:val="16"/>
              </w:rPr>
            </w:pPr>
          </w:p>
        </w:tc>
      </w:tr>
      <w:tr w:rsidR="00DA423A" w:rsidRPr="00EE4EB5" w:rsidTr="00473A5D">
        <w:tc>
          <w:tcPr>
            <w:tcW w:w="2085" w:type="dxa"/>
            <w:vAlign w:val="center"/>
          </w:tcPr>
          <w:p w:rsidR="00DA423A" w:rsidRPr="00EE4EB5" w:rsidRDefault="00DA423A" w:rsidP="00473A5D">
            <w:pPr>
              <w:rPr>
                <w:rFonts w:ascii="Times New Roman" w:hAnsi="Times New Roman" w:cs="Times New Roman"/>
                <w:sz w:val="16"/>
                <w:szCs w:val="16"/>
              </w:rPr>
            </w:pPr>
            <w:r w:rsidRPr="00EE4EB5">
              <w:rPr>
                <w:rFonts w:ascii="Times New Roman" w:hAnsi="Times New Roman" w:cs="Times New Roman"/>
                <w:sz w:val="16"/>
                <w:szCs w:val="16"/>
              </w:rPr>
              <w:t>Non-Economic Damage Cap</w:t>
            </w:r>
          </w:p>
        </w:tc>
        <w:tc>
          <w:tcPr>
            <w:tcW w:w="945" w:type="dxa"/>
            <w:gridSpan w:val="2"/>
            <w:vAlign w:val="center"/>
          </w:tcPr>
          <w:p w:rsidR="00DA423A" w:rsidRPr="00EE4EB5" w:rsidRDefault="00FB7C2C" w:rsidP="00FB7C2C">
            <w:pPr>
              <w:jc w:val="center"/>
              <w:rPr>
                <w:rFonts w:ascii="Times New Roman" w:hAnsi="Times New Roman" w:cs="Times New Roman"/>
                <w:smallCaps/>
                <w:sz w:val="16"/>
                <w:szCs w:val="16"/>
              </w:rPr>
            </w:pPr>
            <w:r>
              <w:rPr>
                <w:rFonts w:ascii="Times New Roman" w:hAnsi="Times New Roman" w:cs="Times New Roman"/>
                <w:smallCaps/>
                <w:sz w:val="16"/>
                <w:szCs w:val="16"/>
              </w:rPr>
              <w:t>0.008*       (0.005</w:t>
            </w:r>
            <w:r w:rsidRPr="00FB7C2C">
              <w:rPr>
                <w:rFonts w:ascii="Times New Roman" w:hAnsi="Times New Roman" w:cs="Times New Roman"/>
                <w:smallCaps/>
                <w:sz w:val="16"/>
                <w:szCs w:val="16"/>
              </w:rPr>
              <w:t>)</w:t>
            </w:r>
          </w:p>
        </w:tc>
        <w:tc>
          <w:tcPr>
            <w:tcW w:w="945" w:type="dxa"/>
            <w:vAlign w:val="center"/>
          </w:tcPr>
          <w:p w:rsidR="00DA423A" w:rsidRDefault="00C50B49" w:rsidP="00473A5D">
            <w:pPr>
              <w:jc w:val="center"/>
              <w:rPr>
                <w:rFonts w:ascii="Times New Roman" w:hAnsi="Times New Roman" w:cs="Times New Roman"/>
                <w:smallCaps/>
                <w:sz w:val="16"/>
                <w:szCs w:val="16"/>
              </w:rPr>
            </w:pPr>
            <w:r>
              <w:rPr>
                <w:rFonts w:ascii="Times New Roman" w:hAnsi="Times New Roman" w:cs="Times New Roman"/>
                <w:smallCaps/>
                <w:sz w:val="16"/>
                <w:szCs w:val="16"/>
              </w:rPr>
              <w:t>-0.000</w:t>
            </w:r>
          </w:p>
          <w:p w:rsidR="00C50B49" w:rsidRPr="00EE4EB5" w:rsidRDefault="00C50B49" w:rsidP="00473A5D">
            <w:pPr>
              <w:jc w:val="center"/>
              <w:rPr>
                <w:rFonts w:ascii="Times New Roman" w:hAnsi="Times New Roman" w:cs="Times New Roman"/>
                <w:smallCaps/>
                <w:sz w:val="16"/>
                <w:szCs w:val="16"/>
              </w:rPr>
            </w:pPr>
            <w:r>
              <w:rPr>
                <w:rFonts w:ascii="Times New Roman" w:hAnsi="Times New Roman" w:cs="Times New Roman"/>
                <w:smallCaps/>
                <w:sz w:val="16"/>
                <w:szCs w:val="16"/>
              </w:rPr>
              <w:t>(0.003)</w:t>
            </w:r>
          </w:p>
        </w:tc>
        <w:tc>
          <w:tcPr>
            <w:tcW w:w="945" w:type="dxa"/>
            <w:vAlign w:val="center"/>
          </w:tcPr>
          <w:p w:rsidR="00DA423A" w:rsidRDefault="00D3739E" w:rsidP="00473A5D">
            <w:pPr>
              <w:jc w:val="center"/>
              <w:rPr>
                <w:rFonts w:ascii="Times New Roman" w:hAnsi="Times New Roman" w:cs="Times New Roman"/>
                <w:smallCaps/>
                <w:sz w:val="16"/>
                <w:szCs w:val="16"/>
              </w:rPr>
            </w:pPr>
            <w:r>
              <w:rPr>
                <w:rFonts w:ascii="Times New Roman" w:hAnsi="Times New Roman" w:cs="Times New Roman"/>
                <w:smallCaps/>
                <w:sz w:val="16"/>
                <w:szCs w:val="16"/>
              </w:rPr>
              <w:t>-0.004</w:t>
            </w:r>
          </w:p>
          <w:p w:rsidR="00D3739E" w:rsidRPr="00EE4EB5" w:rsidRDefault="00D3739E" w:rsidP="00473A5D">
            <w:pPr>
              <w:jc w:val="center"/>
              <w:rPr>
                <w:rFonts w:ascii="Times New Roman" w:hAnsi="Times New Roman" w:cs="Times New Roman"/>
                <w:smallCaps/>
                <w:sz w:val="16"/>
                <w:szCs w:val="16"/>
              </w:rPr>
            </w:pPr>
            <w:r>
              <w:rPr>
                <w:rFonts w:ascii="Times New Roman" w:hAnsi="Times New Roman" w:cs="Times New Roman"/>
                <w:smallCaps/>
                <w:sz w:val="16"/>
                <w:szCs w:val="16"/>
              </w:rPr>
              <w:t>(0.007)</w:t>
            </w:r>
          </w:p>
        </w:tc>
        <w:tc>
          <w:tcPr>
            <w:tcW w:w="945" w:type="dxa"/>
            <w:gridSpan w:val="2"/>
            <w:vAlign w:val="center"/>
          </w:tcPr>
          <w:p w:rsidR="00DA423A" w:rsidRPr="00EE4EB5" w:rsidRDefault="001927BE" w:rsidP="001927BE">
            <w:pPr>
              <w:jc w:val="center"/>
              <w:rPr>
                <w:rFonts w:ascii="Times New Roman" w:hAnsi="Times New Roman" w:cs="Times New Roman"/>
                <w:smallCaps/>
                <w:sz w:val="16"/>
                <w:szCs w:val="16"/>
              </w:rPr>
            </w:pPr>
            <w:r>
              <w:rPr>
                <w:rFonts w:ascii="Times New Roman" w:hAnsi="Times New Roman" w:cs="Times New Roman"/>
                <w:smallCaps/>
                <w:sz w:val="16"/>
                <w:szCs w:val="16"/>
              </w:rPr>
              <w:t>-0.004      (0.005</w:t>
            </w:r>
            <w:r w:rsidRPr="001927BE">
              <w:rPr>
                <w:rFonts w:ascii="Times New Roman" w:hAnsi="Times New Roman" w:cs="Times New Roman"/>
                <w:smallCaps/>
                <w:sz w:val="16"/>
                <w:szCs w:val="16"/>
              </w:rPr>
              <w:t>)</w:t>
            </w:r>
          </w:p>
        </w:tc>
        <w:tc>
          <w:tcPr>
            <w:tcW w:w="945" w:type="dxa"/>
            <w:vAlign w:val="center"/>
          </w:tcPr>
          <w:p w:rsidR="00DA423A" w:rsidRPr="00EE4EB5" w:rsidRDefault="000A6C9E" w:rsidP="000A6C9E">
            <w:pPr>
              <w:jc w:val="center"/>
              <w:rPr>
                <w:rFonts w:ascii="Times New Roman" w:hAnsi="Times New Roman" w:cs="Times New Roman"/>
                <w:smallCaps/>
                <w:sz w:val="16"/>
                <w:szCs w:val="16"/>
              </w:rPr>
            </w:pPr>
            <w:r>
              <w:rPr>
                <w:rFonts w:ascii="Times New Roman" w:hAnsi="Times New Roman" w:cs="Times New Roman"/>
                <w:smallCaps/>
                <w:sz w:val="16"/>
                <w:szCs w:val="16"/>
              </w:rPr>
              <w:t>0.008      (0.008</w:t>
            </w:r>
            <w:r w:rsidRPr="000A6C9E">
              <w:rPr>
                <w:rFonts w:ascii="Times New Roman" w:hAnsi="Times New Roman" w:cs="Times New Roman"/>
                <w:smallCaps/>
                <w:sz w:val="16"/>
                <w:szCs w:val="16"/>
              </w:rPr>
              <w:t>)</w:t>
            </w:r>
          </w:p>
        </w:tc>
        <w:tc>
          <w:tcPr>
            <w:tcW w:w="945" w:type="dxa"/>
            <w:vAlign w:val="center"/>
          </w:tcPr>
          <w:p w:rsidR="00DA423A" w:rsidRPr="00EE4EB5" w:rsidRDefault="004B0A27" w:rsidP="004B0A27">
            <w:pPr>
              <w:jc w:val="center"/>
              <w:rPr>
                <w:rFonts w:ascii="Times New Roman" w:hAnsi="Times New Roman" w:cs="Times New Roman"/>
                <w:smallCaps/>
                <w:sz w:val="16"/>
                <w:szCs w:val="16"/>
              </w:rPr>
            </w:pPr>
            <w:r>
              <w:rPr>
                <w:rFonts w:ascii="Times New Roman" w:hAnsi="Times New Roman" w:cs="Times New Roman"/>
                <w:smallCaps/>
                <w:sz w:val="16"/>
                <w:szCs w:val="16"/>
              </w:rPr>
              <w:t>-0.002      (0.002</w:t>
            </w:r>
            <w:r w:rsidRPr="004B0A27">
              <w:rPr>
                <w:rFonts w:ascii="Times New Roman" w:hAnsi="Times New Roman" w:cs="Times New Roman"/>
                <w:smallCaps/>
                <w:sz w:val="16"/>
                <w:szCs w:val="16"/>
              </w:rPr>
              <w:t>)</w:t>
            </w:r>
          </w:p>
        </w:tc>
      </w:tr>
      <w:tr w:rsidR="00DA423A" w:rsidRPr="00EE4EB5" w:rsidTr="00473A5D">
        <w:tc>
          <w:tcPr>
            <w:tcW w:w="2085" w:type="dxa"/>
            <w:tcBorders>
              <w:top w:val="single" w:sz="4" w:space="0" w:color="auto"/>
              <w:bottom w:val="single" w:sz="4" w:space="0" w:color="auto"/>
            </w:tcBorders>
            <w:vAlign w:val="center"/>
          </w:tcPr>
          <w:p w:rsidR="00DA423A" w:rsidRPr="00EE4EB5" w:rsidRDefault="00DA423A" w:rsidP="00473A5D">
            <w:pPr>
              <w:rPr>
                <w:rFonts w:ascii="Times New Roman" w:hAnsi="Times New Roman" w:cs="Times New Roman"/>
                <w:sz w:val="16"/>
                <w:szCs w:val="16"/>
              </w:rPr>
            </w:pPr>
            <w:r>
              <w:rPr>
                <w:rFonts w:ascii="Times New Roman" w:hAnsi="Times New Roman" w:cs="Times New Roman"/>
                <w:sz w:val="16"/>
                <w:szCs w:val="16"/>
              </w:rPr>
              <w:t>95% Confidence Band for Coefficient of Non-Economic Damage Cap Variable</w:t>
            </w:r>
          </w:p>
        </w:tc>
        <w:tc>
          <w:tcPr>
            <w:tcW w:w="945" w:type="dxa"/>
            <w:gridSpan w:val="2"/>
            <w:tcBorders>
              <w:top w:val="single" w:sz="4" w:space="0" w:color="auto"/>
              <w:bottom w:val="single" w:sz="4" w:space="0" w:color="auto"/>
            </w:tcBorders>
            <w:vAlign w:val="center"/>
          </w:tcPr>
          <w:p w:rsidR="00DA423A" w:rsidRPr="00EE4EB5" w:rsidRDefault="00B62F71" w:rsidP="00473A5D">
            <w:pPr>
              <w:jc w:val="center"/>
              <w:rPr>
                <w:rFonts w:ascii="Times New Roman" w:hAnsi="Times New Roman" w:cs="Times New Roman"/>
                <w:smallCaps/>
                <w:sz w:val="16"/>
                <w:szCs w:val="16"/>
              </w:rPr>
            </w:pPr>
            <w:r>
              <w:rPr>
                <w:rFonts w:ascii="Times New Roman" w:hAnsi="Times New Roman" w:cs="Times New Roman"/>
                <w:smallCaps/>
                <w:sz w:val="16"/>
                <w:szCs w:val="16"/>
              </w:rPr>
              <w:t>[-0.001, 0.019]</w:t>
            </w:r>
          </w:p>
        </w:tc>
        <w:tc>
          <w:tcPr>
            <w:tcW w:w="945" w:type="dxa"/>
            <w:tcBorders>
              <w:top w:val="single" w:sz="4" w:space="0" w:color="auto"/>
              <w:bottom w:val="single" w:sz="4" w:space="0" w:color="auto"/>
            </w:tcBorders>
            <w:vAlign w:val="center"/>
          </w:tcPr>
          <w:p w:rsidR="00DA423A" w:rsidRDefault="00C50B49" w:rsidP="00473A5D">
            <w:pPr>
              <w:jc w:val="center"/>
              <w:rPr>
                <w:rFonts w:ascii="Times New Roman" w:hAnsi="Times New Roman" w:cs="Times New Roman"/>
                <w:smallCaps/>
                <w:sz w:val="16"/>
                <w:szCs w:val="16"/>
              </w:rPr>
            </w:pPr>
            <w:r>
              <w:rPr>
                <w:rFonts w:ascii="Times New Roman" w:hAnsi="Times New Roman" w:cs="Times New Roman"/>
                <w:smallCaps/>
                <w:sz w:val="16"/>
                <w:szCs w:val="16"/>
              </w:rPr>
              <w:t>[-0.006,</w:t>
            </w:r>
          </w:p>
          <w:p w:rsidR="00C50B49" w:rsidRPr="00EE4EB5" w:rsidRDefault="00C50B49" w:rsidP="00473A5D">
            <w:pPr>
              <w:jc w:val="center"/>
              <w:rPr>
                <w:rFonts w:ascii="Times New Roman" w:hAnsi="Times New Roman" w:cs="Times New Roman"/>
                <w:smallCaps/>
                <w:sz w:val="16"/>
                <w:szCs w:val="16"/>
              </w:rPr>
            </w:pPr>
            <w:r>
              <w:rPr>
                <w:rFonts w:ascii="Times New Roman" w:hAnsi="Times New Roman" w:cs="Times New Roman"/>
                <w:smallCaps/>
                <w:sz w:val="16"/>
                <w:szCs w:val="16"/>
              </w:rPr>
              <w:t>0.006]</w:t>
            </w:r>
          </w:p>
        </w:tc>
        <w:tc>
          <w:tcPr>
            <w:tcW w:w="945" w:type="dxa"/>
            <w:tcBorders>
              <w:top w:val="single" w:sz="4" w:space="0" w:color="auto"/>
              <w:bottom w:val="single" w:sz="4" w:space="0" w:color="auto"/>
            </w:tcBorders>
            <w:vAlign w:val="center"/>
          </w:tcPr>
          <w:p w:rsidR="00DA423A" w:rsidRPr="00EE4EB5" w:rsidRDefault="00D3739E" w:rsidP="00D3739E">
            <w:pPr>
              <w:jc w:val="center"/>
              <w:rPr>
                <w:rFonts w:ascii="Times New Roman" w:hAnsi="Times New Roman" w:cs="Times New Roman"/>
                <w:smallCaps/>
                <w:sz w:val="16"/>
                <w:szCs w:val="16"/>
              </w:rPr>
            </w:pPr>
            <w:r>
              <w:rPr>
                <w:rFonts w:ascii="Times New Roman" w:hAnsi="Times New Roman" w:cs="Times New Roman"/>
                <w:smallCaps/>
                <w:sz w:val="16"/>
                <w:szCs w:val="16"/>
              </w:rPr>
              <w:t>[-0.018, 0.010]</w:t>
            </w:r>
          </w:p>
        </w:tc>
        <w:tc>
          <w:tcPr>
            <w:tcW w:w="945" w:type="dxa"/>
            <w:gridSpan w:val="2"/>
            <w:tcBorders>
              <w:top w:val="single" w:sz="4" w:space="0" w:color="auto"/>
              <w:bottom w:val="single" w:sz="4" w:space="0" w:color="auto"/>
            </w:tcBorders>
            <w:vAlign w:val="center"/>
          </w:tcPr>
          <w:p w:rsidR="00DA423A" w:rsidRPr="00EE4EB5" w:rsidRDefault="001E7BED" w:rsidP="00473A5D">
            <w:pPr>
              <w:jc w:val="center"/>
              <w:rPr>
                <w:rFonts w:ascii="Times New Roman" w:hAnsi="Times New Roman" w:cs="Times New Roman"/>
                <w:smallCaps/>
                <w:sz w:val="16"/>
                <w:szCs w:val="16"/>
              </w:rPr>
            </w:pPr>
            <w:r>
              <w:rPr>
                <w:rFonts w:ascii="Times New Roman" w:hAnsi="Times New Roman" w:cs="Times New Roman"/>
                <w:smallCaps/>
                <w:sz w:val="16"/>
                <w:szCs w:val="16"/>
              </w:rPr>
              <w:t>[-0.015, 0.007]</w:t>
            </w:r>
          </w:p>
        </w:tc>
        <w:tc>
          <w:tcPr>
            <w:tcW w:w="945" w:type="dxa"/>
            <w:tcBorders>
              <w:top w:val="single" w:sz="4" w:space="0" w:color="auto"/>
              <w:bottom w:val="single" w:sz="4" w:space="0" w:color="auto"/>
            </w:tcBorders>
            <w:vAlign w:val="center"/>
          </w:tcPr>
          <w:p w:rsidR="00DA423A" w:rsidRPr="00EE4EB5" w:rsidRDefault="007F0D5E" w:rsidP="00473A5D">
            <w:pPr>
              <w:jc w:val="center"/>
              <w:rPr>
                <w:rFonts w:ascii="Times New Roman" w:hAnsi="Times New Roman" w:cs="Times New Roman"/>
                <w:smallCaps/>
                <w:sz w:val="16"/>
                <w:szCs w:val="16"/>
              </w:rPr>
            </w:pPr>
            <w:r>
              <w:rPr>
                <w:rFonts w:ascii="Times New Roman" w:hAnsi="Times New Roman" w:cs="Times New Roman"/>
                <w:smallCaps/>
                <w:sz w:val="16"/>
                <w:szCs w:val="16"/>
              </w:rPr>
              <w:t>[-0.009, 0.025]</w:t>
            </w:r>
          </w:p>
        </w:tc>
        <w:tc>
          <w:tcPr>
            <w:tcW w:w="945" w:type="dxa"/>
            <w:tcBorders>
              <w:top w:val="single" w:sz="4" w:space="0" w:color="auto"/>
              <w:bottom w:val="single" w:sz="4" w:space="0" w:color="auto"/>
            </w:tcBorders>
            <w:vAlign w:val="center"/>
          </w:tcPr>
          <w:p w:rsidR="00DA423A" w:rsidRPr="00EE4EB5" w:rsidRDefault="00231F19" w:rsidP="00473A5D">
            <w:pPr>
              <w:jc w:val="center"/>
              <w:rPr>
                <w:rFonts w:ascii="Times New Roman" w:hAnsi="Times New Roman" w:cs="Times New Roman"/>
                <w:smallCaps/>
                <w:sz w:val="16"/>
                <w:szCs w:val="16"/>
              </w:rPr>
            </w:pPr>
            <w:r>
              <w:rPr>
                <w:rFonts w:ascii="Times New Roman" w:hAnsi="Times New Roman" w:cs="Times New Roman"/>
                <w:smallCaps/>
                <w:sz w:val="16"/>
                <w:szCs w:val="16"/>
              </w:rPr>
              <w:t>[-0.007, 0.002]</w:t>
            </w:r>
          </w:p>
        </w:tc>
      </w:tr>
      <w:tr w:rsidR="00DA423A" w:rsidRPr="00EE4EB5" w:rsidTr="00473A5D">
        <w:tc>
          <w:tcPr>
            <w:tcW w:w="2085" w:type="dxa"/>
            <w:tcBorders>
              <w:top w:val="single" w:sz="4" w:space="0" w:color="auto"/>
              <w:bottom w:val="single" w:sz="4" w:space="0" w:color="auto"/>
            </w:tcBorders>
            <w:vAlign w:val="center"/>
          </w:tcPr>
          <w:p w:rsidR="00DA423A" w:rsidRDefault="00DA423A" w:rsidP="00473A5D">
            <w:pPr>
              <w:rPr>
                <w:rFonts w:ascii="Times New Roman" w:hAnsi="Times New Roman" w:cs="Times New Roman"/>
                <w:sz w:val="16"/>
                <w:szCs w:val="16"/>
              </w:rPr>
            </w:pPr>
            <w:r>
              <w:rPr>
                <w:rFonts w:ascii="Times New Roman" w:hAnsi="Times New Roman" w:cs="Times New Roman"/>
                <w:sz w:val="16"/>
                <w:szCs w:val="16"/>
              </w:rPr>
              <w:t>95% Confidence Band, scaled by mean screening rate</w:t>
            </w:r>
          </w:p>
        </w:tc>
        <w:tc>
          <w:tcPr>
            <w:tcW w:w="945" w:type="dxa"/>
            <w:gridSpan w:val="2"/>
            <w:tcBorders>
              <w:top w:val="single" w:sz="4" w:space="0" w:color="auto"/>
              <w:bottom w:val="single" w:sz="4" w:space="0" w:color="auto"/>
            </w:tcBorders>
            <w:vAlign w:val="center"/>
          </w:tcPr>
          <w:p w:rsidR="00DA423A" w:rsidRDefault="006C6FE6" w:rsidP="00473A5D">
            <w:pPr>
              <w:jc w:val="center"/>
              <w:rPr>
                <w:rFonts w:ascii="Times New Roman" w:hAnsi="Times New Roman" w:cs="Times New Roman"/>
                <w:smallCaps/>
                <w:sz w:val="16"/>
                <w:szCs w:val="16"/>
              </w:rPr>
            </w:pPr>
            <w:r>
              <w:rPr>
                <w:rFonts w:ascii="Times New Roman" w:hAnsi="Times New Roman" w:cs="Times New Roman"/>
                <w:smallCaps/>
                <w:sz w:val="16"/>
                <w:szCs w:val="16"/>
              </w:rPr>
              <w:t>[-0.001,</w:t>
            </w:r>
          </w:p>
          <w:p w:rsidR="006C6FE6" w:rsidRPr="00EE4EB5" w:rsidRDefault="006C6FE6" w:rsidP="00473A5D">
            <w:pPr>
              <w:jc w:val="center"/>
              <w:rPr>
                <w:rFonts w:ascii="Times New Roman" w:hAnsi="Times New Roman" w:cs="Times New Roman"/>
                <w:smallCaps/>
                <w:sz w:val="16"/>
                <w:szCs w:val="16"/>
              </w:rPr>
            </w:pPr>
            <w:r>
              <w:rPr>
                <w:rFonts w:ascii="Times New Roman" w:hAnsi="Times New Roman" w:cs="Times New Roman"/>
                <w:smallCaps/>
                <w:sz w:val="16"/>
                <w:szCs w:val="16"/>
              </w:rPr>
              <w:t>0.026]</w:t>
            </w:r>
          </w:p>
        </w:tc>
        <w:tc>
          <w:tcPr>
            <w:tcW w:w="945" w:type="dxa"/>
            <w:tcBorders>
              <w:top w:val="single" w:sz="4" w:space="0" w:color="auto"/>
              <w:bottom w:val="single" w:sz="4" w:space="0" w:color="auto"/>
            </w:tcBorders>
            <w:vAlign w:val="center"/>
          </w:tcPr>
          <w:p w:rsidR="00DA423A" w:rsidRDefault="00C50B49" w:rsidP="00473A5D">
            <w:pPr>
              <w:jc w:val="center"/>
              <w:rPr>
                <w:rFonts w:ascii="Times New Roman" w:hAnsi="Times New Roman" w:cs="Times New Roman"/>
                <w:smallCaps/>
                <w:sz w:val="16"/>
                <w:szCs w:val="16"/>
              </w:rPr>
            </w:pPr>
            <w:r>
              <w:rPr>
                <w:rFonts w:ascii="Times New Roman" w:hAnsi="Times New Roman" w:cs="Times New Roman"/>
                <w:smallCaps/>
                <w:sz w:val="16"/>
                <w:szCs w:val="16"/>
              </w:rPr>
              <w:t>[-0.010,</w:t>
            </w:r>
          </w:p>
          <w:p w:rsidR="00C50B49" w:rsidRPr="00EE4EB5" w:rsidRDefault="00C50B49" w:rsidP="00473A5D">
            <w:pPr>
              <w:jc w:val="center"/>
              <w:rPr>
                <w:rFonts w:ascii="Times New Roman" w:hAnsi="Times New Roman" w:cs="Times New Roman"/>
                <w:smallCaps/>
                <w:sz w:val="16"/>
                <w:szCs w:val="16"/>
              </w:rPr>
            </w:pPr>
            <w:r>
              <w:rPr>
                <w:rFonts w:ascii="Times New Roman" w:hAnsi="Times New Roman" w:cs="Times New Roman"/>
                <w:smallCaps/>
                <w:sz w:val="16"/>
                <w:szCs w:val="16"/>
              </w:rPr>
              <w:t>0.010]</w:t>
            </w:r>
          </w:p>
        </w:tc>
        <w:tc>
          <w:tcPr>
            <w:tcW w:w="945" w:type="dxa"/>
            <w:tcBorders>
              <w:top w:val="single" w:sz="4" w:space="0" w:color="auto"/>
              <w:bottom w:val="single" w:sz="4" w:space="0" w:color="auto"/>
            </w:tcBorders>
            <w:vAlign w:val="center"/>
          </w:tcPr>
          <w:p w:rsidR="00DA423A" w:rsidRDefault="00A013F0" w:rsidP="00473A5D">
            <w:pPr>
              <w:jc w:val="center"/>
              <w:rPr>
                <w:rFonts w:ascii="Times New Roman" w:hAnsi="Times New Roman" w:cs="Times New Roman"/>
                <w:smallCaps/>
                <w:sz w:val="16"/>
                <w:szCs w:val="16"/>
              </w:rPr>
            </w:pPr>
            <w:r>
              <w:rPr>
                <w:rFonts w:ascii="Times New Roman" w:hAnsi="Times New Roman" w:cs="Times New Roman"/>
                <w:smallCaps/>
                <w:sz w:val="16"/>
                <w:szCs w:val="16"/>
              </w:rPr>
              <w:t>[-0.045,</w:t>
            </w:r>
          </w:p>
          <w:p w:rsidR="00A013F0" w:rsidRPr="00EE4EB5" w:rsidRDefault="00A013F0" w:rsidP="00473A5D">
            <w:pPr>
              <w:jc w:val="center"/>
              <w:rPr>
                <w:rFonts w:ascii="Times New Roman" w:hAnsi="Times New Roman" w:cs="Times New Roman"/>
                <w:smallCaps/>
                <w:sz w:val="16"/>
                <w:szCs w:val="16"/>
              </w:rPr>
            </w:pPr>
            <w:r>
              <w:rPr>
                <w:rFonts w:ascii="Times New Roman" w:hAnsi="Times New Roman" w:cs="Times New Roman"/>
                <w:smallCaps/>
                <w:sz w:val="16"/>
                <w:szCs w:val="16"/>
              </w:rPr>
              <w:t>0.025]</w:t>
            </w:r>
          </w:p>
        </w:tc>
        <w:tc>
          <w:tcPr>
            <w:tcW w:w="945" w:type="dxa"/>
            <w:gridSpan w:val="2"/>
            <w:tcBorders>
              <w:top w:val="single" w:sz="4" w:space="0" w:color="auto"/>
              <w:bottom w:val="single" w:sz="4" w:space="0" w:color="auto"/>
            </w:tcBorders>
            <w:vAlign w:val="center"/>
          </w:tcPr>
          <w:p w:rsidR="00DA423A" w:rsidRDefault="00DC74E7" w:rsidP="00473A5D">
            <w:pPr>
              <w:jc w:val="center"/>
              <w:rPr>
                <w:rFonts w:ascii="Times New Roman" w:hAnsi="Times New Roman" w:cs="Times New Roman"/>
                <w:smallCaps/>
                <w:sz w:val="16"/>
                <w:szCs w:val="16"/>
              </w:rPr>
            </w:pPr>
            <w:r>
              <w:rPr>
                <w:rFonts w:ascii="Times New Roman" w:hAnsi="Times New Roman" w:cs="Times New Roman"/>
                <w:smallCaps/>
                <w:sz w:val="16"/>
                <w:szCs w:val="16"/>
              </w:rPr>
              <w:t>[-0.028,</w:t>
            </w:r>
          </w:p>
          <w:p w:rsidR="00DC74E7" w:rsidRPr="00EE4EB5" w:rsidRDefault="00DC74E7" w:rsidP="00473A5D">
            <w:pPr>
              <w:jc w:val="center"/>
              <w:rPr>
                <w:rFonts w:ascii="Times New Roman" w:hAnsi="Times New Roman" w:cs="Times New Roman"/>
                <w:smallCaps/>
                <w:sz w:val="16"/>
                <w:szCs w:val="16"/>
              </w:rPr>
            </w:pPr>
            <w:r>
              <w:rPr>
                <w:rFonts w:ascii="Times New Roman" w:hAnsi="Times New Roman" w:cs="Times New Roman"/>
                <w:smallCaps/>
                <w:sz w:val="16"/>
                <w:szCs w:val="16"/>
              </w:rPr>
              <w:t>0.013]</w:t>
            </w:r>
          </w:p>
        </w:tc>
        <w:tc>
          <w:tcPr>
            <w:tcW w:w="945" w:type="dxa"/>
            <w:tcBorders>
              <w:top w:val="single" w:sz="4" w:space="0" w:color="auto"/>
              <w:bottom w:val="single" w:sz="4" w:space="0" w:color="auto"/>
            </w:tcBorders>
            <w:vAlign w:val="center"/>
          </w:tcPr>
          <w:p w:rsidR="00DA423A" w:rsidRDefault="00422087" w:rsidP="00473A5D">
            <w:pPr>
              <w:jc w:val="center"/>
              <w:rPr>
                <w:rFonts w:ascii="Times New Roman" w:hAnsi="Times New Roman" w:cs="Times New Roman"/>
                <w:smallCaps/>
                <w:sz w:val="16"/>
                <w:szCs w:val="16"/>
              </w:rPr>
            </w:pPr>
            <w:r>
              <w:rPr>
                <w:rFonts w:ascii="Times New Roman" w:hAnsi="Times New Roman" w:cs="Times New Roman"/>
                <w:smallCaps/>
                <w:sz w:val="16"/>
                <w:szCs w:val="16"/>
              </w:rPr>
              <w:t>[-0.018,</w:t>
            </w:r>
          </w:p>
          <w:p w:rsidR="00422087" w:rsidRPr="00EE4EB5" w:rsidRDefault="00422087" w:rsidP="00473A5D">
            <w:pPr>
              <w:jc w:val="center"/>
              <w:rPr>
                <w:rFonts w:ascii="Times New Roman" w:hAnsi="Times New Roman" w:cs="Times New Roman"/>
                <w:smallCaps/>
                <w:sz w:val="16"/>
                <w:szCs w:val="16"/>
              </w:rPr>
            </w:pPr>
            <w:r>
              <w:rPr>
                <w:rFonts w:ascii="Times New Roman" w:hAnsi="Times New Roman" w:cs="Times New Roman"/>
                <w:smallCaps/>
                <w:sz w:val="16"/>
                <w:szCs w:val="16"/>
              </w:rPr>
              <w:t>0.050]</w:t>
            </w:r>
          </w:p>
        </w:tc>
        <w:tc>
          <w:tcPr>
            <w:tcW w:w="945" w:type="dxa"/>
            <w:tcBorders>
              <w:top w:val="single" w:sz="4" w:space="0" w:color="auto"/>
              <w:bottom w:val="single" w:sz="4" w:space="0" w:color="auto"/>
            </w:tcBorders>
            <w:vAlign w:val="center"/>
          </w:tcPr>
          <w:p w:rsidR="00DA423A" w:rsidRDefault="002C57FF" w:rsidP="00473A5D">
            <w:pPr>
              <w:jc w:val="center"/>
              <w:rPr>
                <w:rFonts w:ascii="Times New Roman" w:hAnsi="Times New Roman" w:cs="Times New Roman"/>
                <w:smallCaps/>
                <w:sz w:val="16"/>
                <w:szCs w:val="16"/>
              </w:rPr>
            </w:pPr>
            <w:r>
              <w:rPr>
                <w:rFonts w:ascii="Times New Roman" w:hAnsi="Times New Roman" w:cs="Times New Roman"/>
                <w:smallCaps/>
                <w:sz w:val="16"/>
                <w:szCs w:val="16"/>
              </w:rPr>
              <w:t>[-0.011,</w:t>
            </w:r>
          </w:p>
          <w:p w:rsidR="002C57FF" w:rsidRPr="00EE4EB5" w:rsidRDefault="002C57FF" w:rsidP="00473A5D">
            <w:pPr>
              <w:jc w:val="center"/>
              <w:rPr>
                <w:rFonts w:ascii="Times New Roman" w:hAnsi="Times New Roman" w:cs="Times New Roman"/>
                <w:smallCaps/>
                <w:sz w:val="16"/>
                <w:szCs w:val="16"/>
              </w:rPr>
            </w:pPr>
            <w:r>
              <w:rPr>
                <w:rFonts w:ascii="Times New Roman" w:hAnsi="Times New Roman" w:cs="Times New Roman"/>
                <w:smallCaps/>
                <w:sz w:val="16"/>
                <w:szCs w:val="16"/>
              </w:rPr>
              <w:t>0.004]</w:t>
            </w:r>
          </w:p>
        </w:tc>
      </w:tr>
      <w:tr w:rsidR="00DA423A" w:rsidRPr="00EE4EB5" w:rsidTr="00473A5D">
        <w:tc>
          <w:tcPr>
            <w:tcW w:w="2085" w:type="dxa"/>
            <w:tcBorders>
              <w:top w:val="single" w:sz="4" w:space="0" w:color="auto"/>
              <w:bottom w:val="single" w:sz="4" w:space="0" w:color="auto"/>
            </w:tcBorders>
            <w:vAlign w:val="center"/>
          </w:tcPr>
          <w:p w:rsidR="00DA423A" w:rsidRPr="00EE4EB5" w:rsidRDefault="00DA423A" w:rsidP="00473A5D">
            <w:pPr>
              <w:rPr>
                <w:rFonts w:ascii="Times New Roman" w:hAnsi="Times New Roman" w:cs="Times New Roman"/>
                <w:sz w:val="16"/>
                <w:szCs w:val="16"/>
              </w:rPr>
            </w:pPr>
            <w:r w:rsidRPr="00EE4EB5">
              <w:rPr>
                <w:rFonts w:ascii="Times New Roman" w:hAnsi="Times New Roman" w:cs="Times New Roman"/>
                <w:sz w:val="16"/>
                <w:szCs w:val="16"/>
              </w:rPr>
              <w:t>N</w:t>
            </w:r>
          </w:p>
        </w:tc>
        <w:tc>
          <w:tcPr>
            <w:tcW w:w="945" w:type="dxa"/>
            <w:gridSpan w:val="2"/>
            <w:tcBorders>
              <w:top w:val="single" w:sz="4" w:space="0" w:color="auto"/>
              <w:bottom w:val="single" w:sz="4" w:space="0" w:color="auto"/>
            </w:tcBorders>
            <w:vAlign w:val="center"/>
          </w:tcPr>
          <w:p w:rsidR="00DA423A" w:rsidRPr="00EE4EB5" w:rsidRDefault="00DE3D8C" w:rsidP="00473A5D">
            <w:pPr>
              <w:jc w:val="center"/>
              <w:rPr>
                <w:rFonts w:ascii="Times New Roman" w:hAnsi="Times New Roman" w:cs="Times New Roman"/>
                <w:smallCaps/>
                <w:sz w:val="16"/>
                <w:szCs w:val="16"/>
              </w:rPr>
            </w:pPr>
            <w:r w:rsidRPr="00DE3D8C">
              <w:rPr>
                <w:rFonts w:ascii="Times New Roman" w:hAnsi="Times New Roman" w:cs="Times New Roman"/>
                <w:smallCaps/>
                <w:sz w:val="16"/>
                <w:szCs w:val="16"/>
              </w:rPr>
              <w:t>1010415</w:t>
            </w:r>
          </w:p>
        </w:tc>
        <w:tc>
          <w:tcPr>
            <w:tcW w:w="945" w:type="dxa"/>
            <w:tcBorders>
              <w:top w:val="single" w:sz="4" w:space="0" w:color="auto"/>
              <w:bottom w:val="single" w:sz="4" w:space="0" w:color="auto"/>
            </w:tcBorders>
            <w:vAlign w:val="center"/>
          </w:tcPr>
          <w:p w:rsidR="00DA423A" w:rsidRPr="00EE4EB5" w:rsidRDefault="00C50B49" w:rsidP="00473A5D">
            <w:pPr>
              <w:jc w:val="center"/>
              <w:rPr>
                <w:rFonts w:ascii="Times New Roman" w:hAnsi="Times New Roman" w:cs="Times New Roman"/>
                <w:smallCaps/>
                <w:sz w:val="16"/>
                <w:szCs w:val="16"/>
              </w:rPr>
            </w:pPr>
            <w:r>
              <w:rPr>
                <w:rFonts w:ascii="Times New Roman" w:hAnsi="Times New Roman" w:cs="Times New Roman"/>
                <w:smallCaps/>
                <w:sz w:val="16"/>
                <w:szCs w:val="16"/>
              </w:rPr>
              <w:t>1156433</w:t>
            </w:r>
          </w:p>
        </w:tc>
        <w:tc>
          <w:tcPr>
            <w:tcW w:w="945" w:type="dxa"/>
            <w:tcBorders>
              <w:top w:val="single" w:sz="4" w:space="0" w:color="auto"/>
              <w:bottom w:val="single" w:sz="4" w:space="0" w:color="auto"/>
            </w:tcBorders>
            <w:vAlign w:val="center"/>
          </w:tcPr>
          <w:p w:rsidR="00DA423A" w:rsidRPr="00EE4EB5" w:rsidRDefault="00790043" w:rsidP="00473A5D">
            <w:pPr>
              <w:jc w:val="center"/>
              <w:rPr>
                <w:rFonts w:ascii="Times New Roman" w:hAnsi="Times New Roman" w:cs="Times New Roman"/>
                <w:smallCaps/>
                <w:sz w:val="16"/>
                <w:szCs w:val="16"/>
              </w:rPr>
            </w:pPr>
            <w:r w:rsidRPr="00790043">
              <w:rPr>
                <w:rFonts w:ascii="Times New Roman" w:hAnsi="Times New Roman" w:cs="Times New Roman"/>
                <w:smallCaps/>
                <w:sz w:val="16"/>
                <w:szCs w:val="16"/>
              </w:rPr>
              <w:t>849445</w:t>
            </w:r>
          </w:p>
        </w:tc>
        <w:tc>
          <w:tcPr>
            <w:tcW w:w="945" w:type="dxa"/>
            <w:gridSpan w:val="2"/>
            <w:tcBorders>
              <w:top w:val="single" w:sz="4" w:space="0" w:color="auto"/>
              <w:bottom w:val="single" w:sz="4" w:space="0" w:color="auto"/>
            </w:tcBorders>
            <w:vAlign w:val="center"/>
          </w:tcPr>
          <w:p w:rsidR="00DA423A" w:rsidRPr="00EE4EB5" w:rsidRDefault="004B5B48" w:rsidP="00473A5D">
            <w:pPr>
              <w:jc w:val="center"/>
              <w:rPr>
                <w:rFonts w:ascii="Times New Roman" w:hAnsi="Times New Roman" w:cs="Times New Roman"/>
                <w:smallCaps/>
                <w:sz w:val="16"/>
                <w:szCs w:val="16"/>
              </w:rPr>
            </w:pPr>
            <w:r w:rsidRPr="004B5B48">
              <w:rPr>
                <w:rFonts w:ascii="Times New Roman" w:hAnsi="Times New Roman" w:cs="Times New Roman"/>
                <w:smallCaps/>
                <w:sz w:val="16"/>
                <w:szCs w:val="16"/>
              </w:rPr>
              <w:t>252313</w:t>
            </w:r>
          </w:p>
        </w:tc>
        <w:tc>
          <w:tcPr>
            <w:tcW w:w="945" w:type="dxa"/>
            <w:tcBorders>
              <w:top w:val="single" w:sz="4" w:space="0" w:color="auto"/>
              <w:bottom w:val="single" w:sz="4" w:space="0" w:color="auto"/>
            </w:tcBorders>
            <w:vAlign w:val="center"/>
          </w:tcPr>
          <w:p w:rsidR="00DA423A" w:rsidRDefault="000A6C9E" w:rsidP="00473A5D">
            <w:pPr>
              <w:jc w:val="center"/>
              <w:rPr>
                <w:rFonts w:ascii="Times New Roman" w:hAnsi="Times New Roman" w:cs="Times New Roman"/>
                <w:smallCaps/>
                <w:sz w:val="16"/>
                <w:szCs w:val="16"/>
              </w:rPr>
            </w:pPr>
            <w:r>
              <w:rPr>
                <w:rFonts w:ascii="Times New Roman" w:hAnsi="Times New Roman" w:cs="Times New Roman"/>
                <w:smallCaps/>
                <w:sz w:val="16"/>
                <w:szCs w:val="16"/>
              </w:rPr>
              <w:t>341102</w:t>
            </w:r>
          </w:p>
        </w:tc>
        <w:tc>
          <w:tcPr>
            <w:tcW w:w="945" w:type="dxa"/>
            <w:tcBorders>
              <w:top w:val="single" w:sz="4" w:space="0" w:color="auto"/>
              <w:bottom w:val="single" w:sz="4" w:space="0" w:color="auto"/>
            </w:tcBorders>
            <w:vAlign w:val="center"/>
          </w:tcPr>
          <w:p w:rsidR="00DA423A" w:rsidRDefault="004B0A27" w:rsidP="00473A5D">
            <w:pPr>
              <w:jc w:val="center"/>
              <w:rPr>
                <w:rFonts w:ascii="Times New Roman" w:hAnsi="Times New Roman" w:cs="Times New Roman"/>
                <w:smallCaps/>
                <w:sz w:val="16"/>
                <w:szCs w:val="16"/>
              </w:rPr>
            </w:pPr>
            <w:r>
              <w:rPr>
                <w:rFonts w:ascii="Times New Roman" w:hAnsi="Times New Roman" w:cs="Times New Roman"/>
                <w:smallCaps/>
                <w:sz w:val="16"/>
                <w:szCs w:val="16"/>
              </w:rPr>
              <w:t>1664055</w:t>
            </w:r>
          </w:p>
        </w:tc>
      </w:tr>
      <w:tr w:rsidR="00DA423A" w:rsidRPr="00EE4EB5" w:rsidTr="00473A5D">
        <w:tc>
          <w:tcPr>
            <w:tcW w:w="7755" w:type="dxa"/>
            <w:gridSpan w:val="9"/>
            <w:tcBorders>
              <w:top w:val="single" w:sz="4" w:space="0" w:color="auto"/>
            </w:tcBorders>
            <w:vAlign w:val="center"/>
          </w:tcPr>
          <w:p w:rsidR="00DA423A" w:rsidRPr="00593B3A" w:rsidRDefault="00DA423A" w:rsidP="00473A5D">
            <w:pPr>
              <w:jc w:val="both"/>
              <w:rPr>
                <w:rFonts w:ascii="Times New Roman" w:hAnsi="Times New Roman" w:cs="Times New Roman"/>
                <w:sz w:val="18"/>
                <w:szCs w:val="18"/>
              </w:rPr>
            </w:pPr>
            <w:r w:rsidRPr="00FC134E">
              <w:rPr>
                <w:rFonts w:ascii="Times New Roman" w:hAnsi="Times New Roman" w:cs="Times New Roman"/>
                <w:i/>
                <w:sz w:val="18"/>
                <w:szCs w:val="18"/>
              </w:rPr>
              <w:t>Notes</w:t>
            </w:r>
            <w:r w:rsidRPr="00FC134E">
              <w:rPr>
                <w:rFonts w:ascii="Times New Roman" w:hAnsi="Times New Roman" w:cs="Times New Roman"/>
                <w:sz w:val="18"/>
                <w:szCs w:val="18"/>
              </w:rPr>
              <w:t xml:space="preserve">: </w:t>
            </w:r>
            <w:r>
              <w:rPr>
                <w:rFonts w:ascii="Times New Roman" w:hAnsi="Times New Roman" w:cs="Times New Roman"/>
                <w:sz w:val="18"/>
                <w:szCs w:val="18"/>
              </w:rPr>
              <w:t>r</w:t>
            </w:r>
            <w:r w:rsidRPr="00FC134E">
              <w:rPr>
                <w:rFonts w:ascii="Times New Roman" w:hAnsi="Times New Roman" w:cs="Times New Roman"/>
                <w:sz w:val="18"/>
                <w:szCs w:val="18"/>
              </w:rPr>
              <w:t>obust standard errors corrected for within-state correlation in the error term are reported in pa</w:t>
            </w:r>
            <w:r w:rsidRPr="00593B3A">
              <w:rPr>
                <w:rFonts w:ascii="Times New Roman" w:hAnsi="Times New Roman" w:cs="Times New Roman"/>
                <w:sz w:val="18"/>
                <w:szCs w:val="18"/>
              </w:rPr>
              <w:t>rentheses.  All regressions included state and year fixed effects</w:t>
            </w:r>
            <w:r>
              <w:rPr>
                <w:rFonts w:ascii="Times New Roman" w:hAnsi="Times New Roman" w:cs="Times New Roman"/>
                <w:sz w:val="18"/>
                <w:szCs w:val="18"/>
              </w:rPr>
              <w:t xml:space="preserve">. </w:t>
            </w:r>
          </w:p>
          <w:p w:rsidR="00DA423A" w:rsidRDefault="00DA423A" w:rsidP="00473A5D">
            <w:pPr>
              <w:pStyle w:val="TableNotes"/>
              <w:spacing w:before="0" w:line="240" w:lineRule="auto"/>
              <w:rPr>
                <w:rFonts w:cs="Times New Roman"/>
                <w:sz w:val="18"/>
                <w:szCs w:val="18"/>
              </w:rPr>
            </w:pPr>
            <w:r w:rsidRPr="00593B3A">
              <w:rPr>
                <w:rFonts w:cs="Times New Roman"/>
                <w:i/>
                <w:sz w:val="18"/>
                <w:szCs w:val="18"/>
              </w:rPr>
              <w:t>Source</w:t>
            </w:r>
            <w:r>
              <w:rPr>
                <w:rFonts w:cs="Times New Roman"/>
                <w:sz w:val="18"/>
                <w:szCs w:val="18"/>
              </w:rPr>
              <w:t>: 1987 – 2008 Behavioral Risk Factor Surveillance System Records.</w:t>
            </w:r>
          </w:p>
          <w:p w:rsidR="00DA423A" w:rsidRPr="00FC134E" w:rsidRDefault="00DA423A" w:rsidP="00473A5D">
            <w:pPr>
              <w:pStyle w:val="TableNotes"/>
              <w:spacing w:before="0" w:line="240" w:lineRule="auto"/>
              <w:rPr>
                <w:rFonts w:cs="Times New Roman"/>
                <w:sz w:val="18"/>
                <w:szCs w:val="18"/>
              </w:rPr>
            </w:pPr>
            <w:r w:rsidRPr="00FC134E">
              <w:rPr>
                <w:rFonts w:cs="Times New Roman"/>
                <w:sz w:val="18"/>
                <w:szCs w:val="18"/>
              </w:rPr>
              <w:t xml:space="preserve">*** Significant at the 1 percent level. </w:t>
            </w:r>
          </w:p>
          <w:p w:rsidR="00DA423A" w:rsidRPr="00FC134E" w:rsidRDefault="00DA423A" w:rsidP="00473A5D">
            <w:pPr>
              <w:pStyle w:val="TableNotes"/>
              <w:spacing w:before="0" w:line="240" w:lineRule="auto"/>
              <w:rPr>
                <w:rFonts w:cs="Times New Roman"/>
                <w:sz w:val="18"/>
                <w:szCs w:val="18"/>
              </w:rPr>
            </w:pPr>
            <w:r w:rsidRPr="00FC134E">
              <w:rPr>
                <w:rFonts w:cs="Times New Roman"/>
                <w:sz w:val="18"/>
                <w:szCs w:val="18"/>
              </w:rPr>
              <w:t>** Significant at the 5 percent level.</w:t>
            </w:r>
          </w:p>
          <w:p w:rsidR="00DA423A" w:rsidRPr="00FC134E" w:rsidRDefault="00DA423A" w:rsidP="00473A5D">
            <w:pPr>
              <w:pStyle w:val="TableNotes"/>
              <w:spacing w:before="0" w:line="240" w:lineRule="auto"/>
              <w:rPr>
                <w:rFonts w:cs="Times New Roman"/>
                <w:sz w:val="18"/>
                <w:szCs w:val="18"/>
              </w:rPr>
            </w:pPr>
            <w:r w:rsidRPr="00FC134E">
              <w:rPr>
                <w:rFonts w:cs="Times New Roman"/>
                <w:sz w:val="18"/>
                <w:szCs w:val="18"/>
              </w:rPr>
              <w:t>* Significant at the 10 percent level.</w:t>
            </w:r>
          </w:p>
          <w:p w:rsidR="00DA423A" w:rsidRPr="008374A9" w:rsidRDefault="00DA423A" w:rsidP="00473A5D">
            <w:pPr>
              <w:rPr>
                <w:rFonts w:ascii="Times New Roman" w:hAnsi="Times New Roman" w:cs="Times New Roman"/>
                <w:smallCaps/>
                <w:sz w:val="16"/>
                <w:szCs w:val="16"/>
              </w:rPr>
            </w:pPr>
          </w:p>
        </w:tc>
      </w:tr>
      <w:tr w:rsidR="00DA423A" w:rsidRPr="00EE4EB5" w:rsidTr="00473A5D">
        <w:tc>
          <w:tcPr>
            <w:tcW w:w="2585" w:type="dxa"/>
            <w:gridSpan w:val="2"/>
            <w:vAlign w:val="center"/>
          </w:tcPr>
          <w:p w:rsidR="00DA423A" w:rsidRDefault="00DA423A" w:rsidP="00473A5D">
            <w:pPr>
              <w:rPr>
                <w:rFonts w:ascii="Times New Roman" w:hAnsi="Times New Roman" w:cs="Times New Roman"/>
                <w:smallCaps/>
                <w:sz w:val="16"/>
                <w:szCs w:val="16"/>
              </w:rPr>
            </w:pPr>
          </w:p>
          <w:p w:rsidR="00F575D8" w:rsidRDefault="00F575D8" w:rsidP="00473A5D">
            <w:pPr>
              <w:rPr>
                <w:rFonts w:ascii="Times New Roman" w:hAnsi="Times New Roman" w:cs="Times New Roman"/>
                <w:smallCaps/>
                <w:sz w:val="16"/>
                <w:szCs w:val="16"/>
              </w:rPr>
            </w:pPr>
          </w:p>
        </w:tc>
        <w:tc>
          <w:tcPr>
            <w:tcW w:w="2585" w:type="dxa"/>
            <w:gridSpan w:val="4"/>
            <w:vAlign w:val="center"/>
          </w:tcPr>
          <w:p w:rsidR="00DA423A" w:rsidRDefault="00DA423A" w:rsidP="00473A5D">
            <w:pPr>
              <w:jc w:val="center"/>
              <w:rPr>
                <w:rFonts w:ascii="Times New Roman" w:hAnsi="Times New Roman" w:cs="Times New Roman"/>
                <w:smallCaps/>
                <w:sz w:val="16"/>
                <w:szCs w:val="16"/>
              </w:rPr>
            </w:pPr>
          </w:p>
        </w:tc>
        <w:tc>
          <w:tcPr>
            <w:tcW w:w="2585" w:type="dxa"/>
            <w:gridSpan w:val="3"/>
            <w:vAlign w:val="center"/>
          </w:tcPr>
          <w:p w:rsidR="00DA423A" w:rsidRDefault="00DA423A" w:rsidP="00473A5D">
            <w:pPr>
              <w:jc w:val="center"/>
              <w:rPr>
                <w:rFonts w:ascii="Times New Roman" w:hAnsi="Times New Roman" w:cs="Times New Roman"/>
                <w:smallCaps/>
                <w:sz w:val="16"/>
                <w:szCs w:val="16"/>
              </w:rPr>
            </w:pPr>
          </w:p>
        </w:tc>
      </w:tr>
    </w:tbl>
    <w:p w:rsidR="00DA423A" w:rsidRDefault="00F575D8" w:rsidP="00DA423A">
      <w:r>
        <w:t>Table 8 in the text presents results from the basic difference-in-difference specification without the various control variables included.  Table C</w:t>
      </w:r>
      <w:r w:rsidR="006013A5">
        <w:t>2</w:t>
      </w:r>
      <w:r>
        <w:t xml:space="preserve"> above, which includes a full set of leads and lags of the damage-cap variable, presents results from specifications that include a range of covariates (a</w:t>
      </w:r>
      <w:r w:rsidR="006013A5">
        <w:t>s set forth in Online Appendix B</w:t>
      </w:r>
      <w:r>
        <w:t xml:space="preserve"> above) along with a set of state-specific linear time trends.  </w:t>
      </w:r>
    </w:p>
    <w:p w:rsidR="00642839" w:rsidRDefault="00642839" w:rsidP="00DA423A">
      <w:pPr>
        <w:rPr>
          <w:i/>
        </w:rPr>
      </w:pPr>
    </w:p>
    <w:p w:rsidR="00642839" w:rsidRPr="00DA0DE1" w:rsidRDefault="00DA0DE1" w:rsidP="00DA423A">
      <w:proofErr w:type="gramStart"/>
      <w:r w:rsidRPr="00DA0DE1">
        <w:rPr>
          <w:i/>
        </w:rPr>
        <w:t>Randomization Inference</w:t>
      </w:r>
      <w:r>
        <w:t>.</w:t>
      </w:r>
      <w:proofErr w:type="gramEnd"/>
      <w:r>
        <w:t xml:space="preserve">  Following Frakes (2013), we also endeavored to take an alternative route towards </w:t>
      </w:r>
      <w:r w:rsidR="00AC6DB1">
        <w:t>estimating the standard errors associated with our estimates.  Accordingly, using the sample of observations from our control states, we simulate a set of placebo laws that match the distribution of timing of actual reforms.  We then estimate the association between the relevant quality indicator and the placebo laws, replicating this process 5,000 times.  We then observe where the actual coefficient from our primary specifications falls in the distribution of coefficients generated through these simulations.  Due to time limitations on our use with the data at the NCHS’s Research Data Center, we have only performed this exercise on the liability standards analysis for the inpatient mortality rate for selected medical conditions.  In the text, we demonstrate that such mortality rates fall by 7.6 percent—representing an improvement in quality—upon a national standard adoption in those treatments states that begin the sample with above-average inpatient mortality rates—i.e., in those states with initially lower-than-average quality.  While we find that this estimate is statistically significant at the 5 percent level in the main text, we find that this estimate is only significant at the 10 percent level through this randomization inference approach (the estimated -7.6 coefficient falls within the bottom 4.5</w:t>
      </w:r>
      <w:r w:rsidR="00AC6DB1" w:rsidRPr="00AC6DB1">
        <w:rPr>
          <w:vertAlign w:val="superscript"/>
        </w:rPr>
        <w:t>th</w:t>
      </w:r>
      <w:r w:rsidR="00AC6DB1">
        <w:t xml:space="preserve"> percentile of this simulated distribution).   </w:t>
      </w:r>
    </w:p>
    <w:p w:rsidR="00B07608" w:rsidRDefault="00B07608" w:rsidP="00DA423A">
      <w:pPr>
        <w:rPr>
          <w:i/>
        </w:rPr>
      </w:pPr>
    </w:p>
    <w:p w:rsidR="00642839" w:rsidRDefault="00B07608" w:rsidP="00DA423A">
      <w:pPr>
        <w:rPr>
          <w:i/>
        </w:rPr>
      </w:pPr>
      <w:r>
        <w:rPr>
          <w:i/>
        </w:rPr>
        <w:lastRenderedPageBreak/>
        <w:t xml:space="preserve">Tort-Law Generally Damage Caps </w:t>
      </w:r>
    </w:p>
    <w:p w:rsidR="00B07608" w:rsidRPr="00B07608" w:rsidRDefault="00B07608" w:rsidP="00DA423A">
      <w:r>
        <w:t xml:space="preserve">Damage-cap adoptions in many states applied to tort cases broadly, not simply those pertaining to medical malpractice.  Damage-cap adoptions in other states </w:t>
      </w:r>
      <w:r w:rsidR="00F60B13">
        <w:t xml:space="preserve">applied only to medical malpractice situations.  General tort-law caps are arguably likely to pose fewer legislative </w:t>
      </w:r>
      <w:proofErr w:type="spellStart"/>
      <w:r w:rsidR="00F60B13">
        <w:t>endogeneity</w:t>
      </w:r>
      <w:proofErr w:type="spellEnd"/>
      <w:r w:rsidR="00F60B13">
        <w:t xml:space="preserve"> concerns.  As such, in other specifications, we replicate the damage-cap analysis by codifying caps using only those adoptions that apply to tort laws more broadly, dropping those states from the analysis that adopted caps in malpractice-specific contexts.  If anything, the </w:t>
      </w:r>
      <w:r w:rsidR="00D83D13">
        <w:t xml:space="preserve">results of this alternative analysis suggest an even more modest </w:t>
      </w:r>
      <w:r w:rsidR="00ED22B1">
        <w:t>decrease in health care quality connected with damage cap adoptions.  For instance, in the case of avoidable hospitalization rates, the coefficient of this modified damage-cap variable is -0.03, with a 95 percent confidence interval of [-</w:t>
      </w:r>
      <w:r w:rsidR="00896D51">
        <w:t>0</w:t>
      </w:r>
      <w:r w:rsidR="00ED22B1">
        <w:t>.08,</w:t>
      </w:r>
      <w:r w:rsidR="00896D51">
        <w:t>0</w:t>
      </w:r>
      <w:r w:rsidR="00ED22B1">
        <w:t xml:space="preserve">.02].  </w:t>
      </w:r>
      <w:r w:rsidR="00896D51">
        <w:t>In the case of inpatient mortality rates for selected medical conditions, the coefficient is -0.04, with a 95 percent confidence interval of [-0.11, 0.04].</w:t>
      </w:r>
      <w:r w:rsidR="00555415">
        <w:t xml:space="preserve">  The full </w:t>
      </w:r>
      <w:proofErr w:type="gramStart"/>
      <w:r w:rsidR="00555415">
        <w:t>set of results for this alternative approach are</w:t>
      </w:r>
      <w:proofErr w:type="gramEnd"/>
      <w:r w:rsidR="00555415">
        <w:t xml:space="preserve"> available upon request.  </w:t>
      </w:r>
    </w:p>
    <w:p w:rsidR="00B07608" w:rsidRDefault="00B07608" w:rsidP="00DA423A">
      <w:pPr>
        <w:rPr>
          <w:i/>
        </w:rPr>
      </w:pPr>
    </w:p>
    <w:p w:rsidR="00DA423A" w:rsidRDefault="004D2C39" w:rsidP="00DA423A">
      <w:proofErr w:type="gramStart"/>
      <w:r w:rsidRPr="004D2C39">
        <w:rPr>
          <w:i/>
        </w:rPr>
        <w:t>Cancer Screening Liability Standards Analysis</w:t>
      </w:r>
      <w:r>
        <w:t>.</w:t>
      </w:r>
      <w:proofErr w:type="gramEnd"/>
      <w:r>
        <w:t xml:space="preserve">  </w:t>
      </w:r>
    </w:p>
    <w:p w:rsidR="00EE1C8D" w:rsidRDefault="0062353E">
      <w:pPr>
        <w:rPr>
          <w:rFonts w:ascii="Times New Roman" w:hAnsi="Times New Roman" w:cs="Times New Roman"/>
          <w:sz w:val="24"/>
          <w:szCs w:val="24"/>
        </w:rPr>
      </w:pPr>
      <w:r>
        <w:rPr>
          <w:rFonts w:ascii="Times New Roman" w:hAnsi="Times New Roman" w:cs="Times New Roman"/>
          <w:sz w:val="24"/>
          <w:szCs w:val="24"/>
        </w:rPr>
        <w:t>As s</w:t>
      </w:r>
      <w:r w:rsidR="00C65CA9">
        <w:rPr>
          <w:rFonts w:ascii="Times New Roman" w:hAnsi="Times New Roman" w:cs="Times New Roman"/>
          <w:sz w:val="24"/>
          <w:szCs w:val="24"/>
        </w:rPr>
        <w:t xml:space="preserve">tated in the text, data is </w:t>
      </w:r>
      <w:r>
        <w:rPr>
          <w:rFonts w:ascii="Times New Roman" w:hAnsi="Times New Roman" w:cs="Times New Roman"/>
          <w:sz w:val="24"/>
          <w:szCs w:val="24"/>
        </w:rPr>
        <w:t xml:space="preserve">available for cancer screening rates over a period of time in which only 3 states modified their standard of care rules: Delaware, Indiana, and Rhode Island.  Moreover, only with respect to </w:t>
      </w:r>
      <w:r w:rsidR="00C65CA9">
        <w:rPr>
          <w:rFonts w:ascii="Times New Roman" w:hAnsi="Times New Roman" w:cs="Times New Roman"/>
          <w:sz w:val="24"/>
          <w:szCs w:val="24"/>
        </w:rPr>
        <w:t>mammography and pap testing is data available over the full BRFSS period</w:t>
      </w:r>
      <w:r w:rsidR="00BB58DA">
        <w:rPr>
          <w:rFonts w:ascii="Times New Roman" w:hAnsi="Times New Roman" w:cs="Times New Roman"/>
          <w:sz w:val="24"/>
          <w:szCs w:val="24"/>
        </w:rPr>
        <w:t xml:space="preserve">, facilitating any </w:t>
      </w:r>
      <w:r w:rsidR="00C57968">
        <w:rPr>
          <w:rFonts w:ascii="Times New Roman" w:hAnsi="Times New Roman" w:cs="Times New Roman"/>
          <w:sz w:val="24"/>
          <w:szCs w:val="24"/>
        </w:rPr>
        <w:t xml:space="preserve">ability to </w:t>
      </w:r>
      <w:r w:rsidR="00B94153">
        <w:rPr>
          <w:rFonts w:ascii="Times New Roman" w:hAnsi="Times New Roman" w:cs="Times New Roman"/>
          <w:sz w:val="24"/>
          <w:szCs w:val="24"/>
        </w:rPr>
        <w:t xml:space="preserve">draw upon the experiences of </w:t>
      </w:r>
      <w:r w:rsidR="00D2384C">
        <w:rPr>
          <w:rFonts w:ascii="Times New Roman" w:hAnsi="Times New Roman" w:cs="Times New Roman"/>
          <w:sz w:val="24"/>
          <w:szCs w:val="24"/>
        </w:rPr>
        <w:t>these three treatment states</w:t>
      </w:r>
      <w:r w:rsidR="00EE1C8D">
        <w:rPr>
          <w:rFonts w:ascii="Times New Roman" w:hAnsi="Times New Roman" w:cs="Times New Roman"/>
          <w:sz w:val="24"/>
          <w:szCs w:val="24"/>
        </w:rPr>
        <w:t xml:space="preserve"> and to properly test for pre-period trends</w:t>
      </w:r>
      <w:r w:rsidR="0002436A">
        <w:rPr>
          <w:rFonts w:ascii="Times New Roman" w:hAnsi="Times New Roman" w:cs="Times New Roman"/>
          <w:sz w:val="24"/>
          <w:szCs w:val="24"/>
        </w:rPr>
        <w:t>.</w:t>
      </w:r>
      <w:r w:rsidR="00D2384C">
        <w:rPr>
          <w:rFonts w:ascii="Times New Roman" w:hAnsi="Times New Roman" w:cs="Times New Roman"/>
          <w:sz w:val="24"/>
          <w:szCs w:val="24"/>
        </w:rPr>
        <w:t xml:space="preserve">  A further difficulty comes with the fact that even few</w:t>
      </w:r>
      <w:r w:rsidR="00A95F71">
        <w:rPr>
          <w:rFonts w:ascii="Times New Roman" w:hAnsi="Times New Roman" w:cs="Times New Roman"/>
          <w:sz w:val="24"/>
          <w:szCs w:val="24"/>
        </w:rPr>
        <w:t>er</w:t>
      </w:r>
      <w:r w:rsidR="00D2384C">
        <w:rPr>
          <w:rFonts w:ascii="Times New Roman" w:hAnsi="Times New Roman" w:cs="Times New Roman"/>
          <w:sz w:val="24"/>
          <w:szCs w:val="24"/>
        </w:rPr>
        <w:t xml:space="preserve"> treatment states are available to test the main hypothesis of interest—i.e., that quality will rise in connection with national standard adoptions among those states that begin the sample period with initially low-levels of quality.  With respect to mammography, </w:t>
      </w:r>
      <w:r w:rsidR="00A95F71">
        <w:rPr>
          <w:rFonts w:ascii="Times New Roman" w:hAnsi="Times New Roman" w:cs="Times New Roman"/>
          <w:sz w:val="24"/>
          <w:szCs w:val="24"/>
        </w:rPr>
        <w:t xml:space="preserve">only Indiana is available as a treatment state by which to test this hypothesis.  With respect to pap testing, both Indiana and Rhode Island are available for such purposes.  While the results of this exercise are arguably unreliable with such few treatment states, we nonetheless present </w:t>
      </w:r>
      <w:r w:rsidR="008454F5">
        <w:rPr>
          <w:rFonts w:ascii="Times New Roman" w:hAnsi="Times New Roman" w:cs="Times New Roman"/>
          <w:sz w:val="24"/>
          <w:szCs w:val="24"/>
        </w:rPr>
        <w:t>results estimating the relationship between national standard adoptions and the incidence of mammogram screening and pap testing in those states that began with lower than average screening rates and thus with respect to which national standard adoptions arguably represent a heightening of expectations.</w:t>
      </w:r>
      <w:r w:rsidR="008454F5">
        <w:rPr>
          <w:rStyle w:val="FootnoteReference"/>
          <w:rFonts w:ascii="Times New Roman" w:hAnsi="Times New Roman" w:cs="Times New Roman"/>
          <w:sz w:val="24"/>
          <w:szCs w:val="24"/>
        </w:rPr>
        <w:footnoteReference w:id="20"/>
      </w:r>
      <w:r w:rsidR="0002436A">
        <w:rPr>
          <w:rFonts w:ascii="Times New Roman" w:hAnsi="Times New Roman" w:cs="Times New Roman"/>
          <w:sz w:val="24"/>
          <w:szCs w:val="24"/>
        </w:rPr>
        <w:t xml:space="preserve">  </w:t>
      </w:r>
      <w:r w:rsidR="00EE1C8D">
        <w:rPr>
          <w:rFonts w:ascii="Times New Roman" w:hAnsi="Times New Roman" w:cs="Times New Roman"/>
          <w:sz w:val="24"/>
          <w:szCs w:val="24"/>
        </w:rPr>
        <w:t>In Table C6, we demonstrate how these findings are impacted by (1) the inclusion of the relevant set of covariates discussed in Online Appendix B, (2) the inclusion of state-specific linear time trends and (3) the inclusion of a set of leads and lags of the national standard variable.  Note that the analysis below only includes 3 lead periods considering that there are not enough years between the beginning of the sample and Indiana’s essential reform to facilitate the estimation of a 4-year lead period.</w:t>
      </w:r>
    </w:p>
    <w:p w:rsidR="007A7334" w:rsidRDefault="00EE1C8D">
      <w:pPr>
        <w:rPr>
          <w:rFonts w:ascii="Times New Roman" w:hAnsi="Times New Roman" w:cs="Times New Roman"/>
          <w:sz w:val="24"/>
          <w:szCs w:val="24"/>
        </w:rPr>
      </w:pPr>
      <w:r>
        <w:rPr>
          <w:rFonts w:ascii="Times New Roman" w:hAnsi="Times New Roman" w:cs="Times New Roman"/>
          <w:sz w:val="24"/>
          <w:szCs w:val="24"/>
        </w:rPr>
        <w:lastRenderedPageBreak/>
        <w:t xml:space="preserve">The findings weakly demonstrate that when liability standards change so as to arguably require a heightening of standards, cancer screening rates increase.  </w:t>
      </w:r>
      <w:r w:rsidR="00A334F7">
        <w:rPr>
          <w:rFonts w:ascii="Times New Roman" w:hAnsi="Times New Roman" w:cs="Times New Roman"/>
          <w:sz w:val="24"/>
          <w:szCs w:val="24"/>
        </w:rPr>
        <w:t xml:space="preserve">In the case of mammography screening, rates generally increase subsequent to the reform, strongest with a long lag.  </w:t>
      </w:r>
      <w:r w:rsidR="00062309">
        <w:rPr>
          <w:rFonts w:ascii="Times New Roman" w:hAnsi="Times New Roman" w:cs="Times New Roman"/>
          <w:sz w:val="24"/>
          <w:szCs w:val="24"/>
        </w:rPr>
        <w:t>However, mammography screening also spiked strongly with a 2-year lead creating some concerns that the increase in quality may reflect a trend that pre-dated the reform.  Of course, 1-year lead coefficient does not support any such trend.  Pap testing likewise suggests an increase in screening rates with a long lag, while also raising a concern of a pre-period trend, with a strong increase in rates occurring in the year prior to the reform.  While this may in part be a reflection of an anticipation effect (</w:t>
      </w:r>
      <w:proofErr w:type="spellStart"/>
      <w:r w:rsidR="00062309">
        <w:rPr>
          <w:rFonts w:ascii="Times New Roman" w:hAnsi="Times New Roman" w:cs="Times New Roman"/>
          <w:sz w:val="24"/>
          <w:szCs w:val="24"/>
        </w:rPr>
        <w:t>Malani</w:t>
      </w:r>
      <w:proofErr w:type="spellEnd"/>
      <w:r w:rsidR="00062309">
        <w:rPr>
          <w:rFonts w:ascii="Times New Roman" w:hAnsi="Times New Roman" w:cs="Times New Roman"/>
          <w:sz w:val="24"/>
          <w:szCs w:val="24"/>
        </w:rPr>
        <w:t xml:space="preserve"> and </w:t>
      </w:r>
      <w:proofErr w:type="spellStart"/>
      <w:r w:rsidR="00062309">
        <w:rPr>
          <w:rFonts w:ascii="Times New Roman" w:hAnsi="Times New Roman" w:cs="Times New Roman"/>
          <w:sz w:val="24"/>
          <w:szCs w:val="24"/>
        </w:rPr>
        <w:t>Reif</w:t>
      </w:r>
      <w:proofErr w:type="spellEnd"/>
      <w:r w:rsidR="00062309">
        <w:rPr>
          <w:rFonts w:ascii="Times New Roman" w:hAnsi="Times New Roman" w:cs="Times New Roman"/>
          <w:sz w:val="24"/>
          <w:szCs w:val="24"/>
        </w:rPr>
        <w:t xml:space="preserve"> 2012</w:t>
      </w:r>
      <w:r w:rsidR="0011223D">
        <w:rPr>
          <w:rFonts w:ascii="Times New Roman" w:hAnsi="Times New Roman" w:cs="Times New Roman"/>
          <w:sz w:val="24"/>
          <w:szCs w:val="24"/>
        </w:rPr>
        <w:t xml:space="preserve">), it may also be reflective of some external factor that correlates (perhaps spuriously) with the increase in screening and with the adoption of the liability reform.  </w:t>
      </w:r>
    </w:p>
    <w:p w:rsidR="007A7334" w:rsidRDefault="007A7334">
      <w:pPr>
        <w:rPr>
          <w:rFonts w:ascii="Times New Roman" w:hAnsi="Times New Roman" w:cs="Times New Roman"/>
          <w:sz w:val="24"/>
          <w:szCs w:val="24"/>
        </w:rPr>
      </w:pPr>
      <w:r>
        <w:rPr>
          <w:rFonts w:ascii="Times New Roman" w:hAnsi="Times New Roman" w:cs="Times New Roman"/>
          <w:sz w:val="24"/>
          <w:szCs w:val="24"/>
        </w:rPr>
        <w:br w:type="page"/>
      </w:r>
    </w:p>
    <w:p w:rsidR="007A7334" w:rsidRDefault="007A7334">
      <w:pPr>
        <w:rPr>
          <w:rFonts w:ascii="Times New Roman" w:hAnsi="Times New Roman" w:cs="Times New Roman"/>
          <w:sz w:val="24"/>
          <w:szCs w:val="24"/>
        </w:rPr>
      </w:pPr>
    </w:p>
    <w:p w:rsidR="007A7334" w:rsidRDefault="007A7334" w:rsidP="007A7334">
      <w:pPr>
        <w:pStyle w:val="Caption"/>
        <w:keepNext/>
        <w:jc w:val="center"/>
        <w:rPr>
          <w:rFonts w:ascii="Times New Roman" w:hAnsi="Times New Roman" w:cs="Times New Roman"/>
          <w:b w:val="0"/>
          <w:smallCaps/>
          <w:color w:val="auto"/>
          <w:sz w:val="16"/>
          <w:szCs w:val="16"/>
        </w:rPr>
      </w:pPr>
      <w:proofErr w:type="gramStart"/>
      <w:r>
        <w:rPr>
          <w:rFonts w:ascii="Times New Roman" w:hAnsi="Times New Roman" w:cs="Times New Roman"/>
          <w:b w:val="0"/>
          <w:smallCaps/>
          <w:color w:val="auto"/>
          <w:sz w:val="16"/>
          <w:szCs w:val="16"/>
        </w:rPr>
        <w:t>Table C6</w:t>
      </w:r>
      <w:r w:rsidRPr="006542D6">
        <w:rPr>
          <w:rFonts w:ascii="Times New Roman" w:hAnsi="Times New Roman" w:cs="Times New Roman"/>
          <w:b w:val="0"/>
          <w:smallCaps/>
          <w:color w:val="auto"/>
          <w:sz w:val="16"/>
          <w:szCs w:val="16"/>
        </w:rPr>
        <w:t>.</w:t>
      </w:r>
      <w:proofErr w:type="gramEnd"/>
      <w:r w:rsidRPr="006542D6">
        <w:rPr>
          <w:rFonts w:ascii="Times New Roman" w:hAnsi="Times New Roman" w:cs="Times New Roman"/>
          <w:b w:val="0"/>
          <w:smallCaps/>
          <w:color w:val="auto"/>
          <w:sz w:val="16"/>
          <w:szCs w:val="16"/>
        </w:rPr>
        <w:t xml:space="preserve">  </w:t>
      </w:r>
      <w:r w:rsidRPr="0027114F">
        <w:rPr>
          <w:rFonts w:ascii="Times New Roman" w:hAnsi="Times New Roman" w:cs="Times New Roman"/>
          <w:b w:val="0"/>
          <w:color w:val="auto"/>
          <w:sz w:val="16"/>
          <w:szCs w:val="16"/>
        </w:rPr>
        <w:t xml:space="preserve">The Relationship between National-Standard Laws and </w:t>
      </w:r>
      <w:r>
        <w:rPr>
          <w:rFonts w:ascii="Times New Roman" w:hAnsi="Times New Roman" w:cs="Times New Roman"/>
          <w:b w:val="0"/>
          <w:color w:val="auto"/>
          <w:sz w:val="16"/>
          <w:szCs w:val="16"/>
        </w:rPr>
        <w:t>the Incidence of Cancer Screening</w:t>
      </w:r>
    </w:p>
    <w:tbl>
      <w:tblPr>
        <w:tblStyle w:val="TableGrid"/>
        <w:tblpPr w:leftFromText="180" w:rightFromText="180" w:vertAnchor="text" w:horzAnchor="margin" w:tblpXSpec="center" w:tblpY="1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044"/>
        <w:gridCol w:w="1044"/>
        <w:gridCol w:w="1044"/>
        <w:gridCol w:w="1044"/>
        <w:gridCol w:w="1044"/>
        <w:gridCol w:w="1044"/>
      </w:tblGrid>
      <w:tr w:rsidR="007A7334" w:rsidRPr="006542D6" w:rsidTr="0090229D">
        <w:tc>
          <w:tcPr>
            <w:tcW w:w="1800" w:type="dxa"/>
            <w:tcBorders>
              <w:top w:val="thinThickLargeGap" w:sz="24" w:space="0" w:color="auto"/>
              <w:bottom w:val="single" w:sz="4" w:space="0" w:color="auto"/>
            </w:tcBorders>
          </w:tcPr>
          <w:p w:rsidR="007A7334" w:rsidRPr="006542D6" w:rsidRDefault="007A7334" w:rsidP="0090229D">
            <w:pPr>
              <w:jc w:val="center"/>
              <w:rPr>
                <w:rFonts w:ascii="Times New Roman" w:hAnsi="Times New Roman" w:cs="Times New Roman"/>
                <w:smallCaps/>
                <w:sz w:val="16"/>
                <w:szCs w:val="16"/>
              </w:rPr>
            </w:pPr>
          </w:p>
        </w:tc>
        <w:tc>
          <w:tcPr>
            <w:tcW w:w="1044" w:type="dxa"/>
            <w:tcBorders>
              <w:top w:val="thinThickLargeGap" w:sz="24" w:space="0" w:color="auto"/>
              <w:bottom w:val="single" w:sz="4" w:space="0" w:color="auto"/>
            </w:tcBorders>
            <w:vAlign w:val="center"/>
          </w:tcPr>
          <w:p w:rsidR="007A7334" w:rsidRPr="006542D6" w:rsidRDefault="007A7334" w:rsidP="0090229D">
            <w:pPr>
              <w:jc w:val="center"/>
              <w:rPr>
                <w:rFonts w:ascii="Times New Roman" w:hAnsi="Times New Roman" w:cs="Times New Roman"/>
                <w:smallCaps/>
                <w:sz w:val="16"/>
                <w:szCs w:val="16"/>
              </w:rPr>
            </w:pPr>
            <w:r w:rsidRPr="006542D6">
              <w:rPr>
                <w:rFonts w:ascii="Times New Roman" w:hAnsi="Times New Roman" w:cs="Times New Roman"/>
                <w:smallCaps/>
                <w:sz w:val="16"/>
                <w:szCs w:val="16"/>
              </w:rPr>
              <w:t>(1)</w:t>
            </w:r>
          </w:p>
        </w:tc>
        <w:tc>
          <w:tcPr>
            <w:tcW w:w="1044" w:type="dxa"/>
            <w:tcBorders>
              <w:top w:val="thinThickLargeGap" w:sz="24" w:space="0" w:color="auto"/>
              <w:bottom w:val="single" w:sz="4" w:space="0" w:color="auto"/>
            </w:tcBorders>
            <w:vAlign w:val="center"/>
          </w:tcPr>
          <w:p w:rsidR="007A7334" w:rsidRPr="006542D6" w:rsidRDefault="007A7334" w:rsidP="0090229D">
            <w:pPr>
              <w:jc w:val="center"/>
              <w:rPr>
                <w:rFonts w:ascii="Times New Roman" w:hAnsi="Times New Roman" w:cs="Times New Roman"/>
                <w:smallCaps/>
                <w:sz w:val="16"/>
                <w:szCs w:val="16"/>
              </w:rPr>
            </w:pPr>
            <w:r w:rsidRPr="006542D6">
              <w:rPr>
                <w:rFonts w:ascii="Times New Roman" w:hAnsi="Times New Roman" w:cs="Times New Roman"/>
                <w:smallCaps/>
                <w:sz w:val="16"/>
                <w:szCs w:val="16"/>
              </w:rPr>
              <w:t>(2)</w:t>
            </w:r>
          </w:p>
        </w:tc>
        <w:tc>
          <w:tcPr>
            <w:tcW w:w="1044" w:type="dxa"/>
            <w:tcBorders>
              <w:top w:val="thinThickLargeGap" w:sz="24" w:space="0" w:color="auto"/>
              <w:bottom w:val="single" w:sz="4" w:space="0" w:color="auto"/>
            </w:tcBorders>
            <w:vAlign w:val="center"/>
          </w:tcPr>
          <w:p w:rsidR="007A7334" w:rsidRPr="006542D6" w:rsidRDefault="007A7334" w:rsidP="0090229D">
            <w:pPr>
              <w:jc w:val="center"/>
              <w:rPr>
                <w:rFonts w:ascii="Times New Roman" w:hAnsi="Times New Roman" w:cs="Times New Roman"/>
                <w:smallCaps/>
                <w:sz w:val="16"/>
                <w:szCs w:val="16"/>
              </w:rPr>
            </w:pPr>
            <w:r w:rsidRPr="006542D6">
              <w:rPr>
                <w:rFonts w:ascii="Times New Roman" w:hAnsi="Times New Roman" w:cs="Times New Roman"/>
                <w:smallCaps/>
                <w:sz w:val="16"/>
                <w:szCs w:val="16"/>
              </w:rPr>
              <w:t>(3)</w:t>
            </w:r>
          </w:p>
        </w:tc>
        <w:tc>
          <w:tcPr>
            <w:tcW w:w="1044" w:type="dxa"/>
            <w:tcBorders>
              <w:top w:val="thinThickLargeGap" w:sz="24" w:space="0" w:color="auto"/>
              <w:bottom w:val="single" w:sz="4" w:space="0" w:color="auto"/>
            </w:tcBorders>
          </w:tcPr>
          <w:p w:rsidR="007A7334" w:rsidRPr="006542D6" w:rsidRDefault="007A7334" w:rsidP="0090229D">
            <w:pPr>
              <w:jc w:val="center"/>
              <w:rPr>
                <w:rFonts w:ascii="Times New Roman" w:hAnsi="Times New Roman" w:cs="Times New Roman"/>
                <w:smallCaps/>
                <w:sz w:val="16"/>
                <w:szCs w:val="16"/>
              </w:rPr>
            </w:pPr>
            <w:r>
              <w:rPr>
                <w:rFonts w:ascii="Times New Roman" w:hAnsi="Times New Roman" w:cs="Times New Roman"/>
                <w:smallCaps/>
                <w:sz w:val="16"/>
                <w:szCs w:val="16"/>
              </w:rPr>
              <w:t>(4)</w:t>
            </w:r>
          </w:p>
        </w:tc>
        <w:tc>
          <w:tcPr>
            <w:tcW w:w="1044" w:type="dxa"/>
            <w:tcBorders>
              <w:top w:val="thinThickLargeGap" w:sz="24" w:space="0" w:color="auto"/>
              <w:bottom w:val="single" w:sz="4" w:space="0" w:color="auto"/>
            </w:tcBorders>
          </w:tcPr>
          <w:p w:rsidR="007A7334" w:rsidRPr="006542D6" w:rsidRDefault="007A7334" w:rsidP="0090229D">
            <w:pPr>
              <w:jc w:val="center"/>
              <w:rPr>
                <w:rFonts w:ascii="Times New Roman" w:hAnsi="Times New Roman" w:cs="Times New Roman"/>
                <w:smallCaps/>
                <w:sz w:val="16"/>
                <w:szCs w:val="16"/>
              </w:rPr>
            </w:pPr>
            <w:r>
              <w:rPr>
                <w:rFonts w:ascii="Times New Roman" w:hAnsi="Times New Roman" w:cs="Times New Roman"/>
                <w:smallCaps/>
                <w:sz w:val="16"/>
                <w:szCs w:val="16"/>
              </w:rPr>
              <w:t>(5)</w:t>
            </w:r>
          </w:p>
        </w:tc>
        <w:tc>
          <w:tcPr>
            <w:tcW w:w="1044" w:type="dxa"/>
            <w:tcBorders>
              <w:top w:val="thinThickLargeGap" w:sz="24" w:space="0" w:color="auto"/>
              <w:bottom w:val="single" w:sz="4" w:space="0" w:color="auto"/>
            </w:tcBorders>
          </w:tcPr>
          <w:p w:rsidR="007A7334" w:rsidRPr="006542D6" w:rsidRDefault="007A7334" w:rsidP="0090229D">
            <w:pPr>
              <w:jc w:val="center"/>
              <w:rPr>
                <w:rFonts w:ascii="Times New Roman" w:hAnsi="Times New Roman" w:cs="Times New Roman"/>
                <w:smallCaps/>
                <w:sz w:val="16"/>
                <w:szCs w:val="16"/>
              </w:rPr>
            </w:pPr>
            <w:r>
              <w:rPr>
                <w:rFonts w:ascii="Times New Roman" w:hAnsi="Times New Roman" w:cs="Times New Roman"/>
                <w:smallCaps/>
                <w:sz w:val="16"/>
                <w:szCs w:val="16"/>
              </w:rPr>
              <w:t>(6)</w:t>
            </w:r>
          </w:p>
        </w:tc>
      </w:tr>
      <w:tr w:rsidR="007A7334" w:rsidRPr="006542D6" w:rsidTr="0090229D">
        <w:tc>
          <w:tcPr>
            <w:tcW w:w="1800" w:type="dxa"/>
            <w:vAlign w:val="center"/>
          </w:tcPr>
          <w:p w:rsidR="007A7334" w:rsidRPr="006542D6" w:rsidRDefault="007A7334" w:rsidP="0090229D">
            <w:pPr>
              <w:spacing w:line="360" w:lineRule="auto"/>
              <w:rPr>
                <w:rFonts w:ascii="Times New Roman" w:hAnsi="Times New Roman" w:cs="Times New Roman"/>
                <w:sz w:val="16"/>
                <w:szCs w:val="16"/>
              </w:rPr>
            </w:pPr>
          </w:p>
        </w:tc>
        <w:tc>
          <w:tcPr>
            <w:tcW w:w="3132" w:type="dxa"/>
            <w:gridSpan w:val="3"/>
            <w:vAlign w:val="center"/>
          </w:tcPr>
          <w:p w:rsidR="007A7334" w:rsidRPr="006542D6" w:rsidRDefault="007A7334" w:rsidP="0090229D">
            <w:pPr>
              <w:spacing w:before="120" w:after="120"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Mammogram Screening</w:t>
            </w:r>
          </w:p>
        </w:tc>
        <w:tc>
          <w:tcPr>
            <w:tcW w:w="3132" w:type="dxa"/>
            <w:gridSpan w:val="3"/>
          </w:tcPr>
          <w:p w:rsidR="007A7334" w:rsidRDefault="007A7334" w:rsidP="0090229D">
            <w:pPr>
              <w:spacing w:before="120" w:after="120" w:line="360" w:lineRule="auto"/>
              <w:jc w:val="center"/>
              <w:rPr>
                <w:rFonts w:ascii="Times New Roman" w:hAnsi="Times New Roman" w:cs="Times New Roman"/>
                <w:smallCaps/>
                <w:sz w:val="16"/>
                <w:szCs w:val="16"/>
              </w:rPr>
            </w:pPr>
            <w:proofErr w:type="spellStart"/>
            <w:r>
              <w:rPr>
                <w:rFonts w:ascii="Times New Roman" w:hAnsi="Times New Roman" w:cs="Times New Roman"/>
                <w:smallCaps/>
                <w:sz w:val="16"/>
                <w:szCs w:val="16"/>
              </w:rPr>
              <w:t>Papsmear</w:t>
            </w:r>
            <w:proofErr w:type="spellEnd"/>
            <w:r>
              <w:rPr>
                <w:rFonts w:ascii="Times New Roman" w:hAnsi="Times New Roman" w:cs="Times New Roman"/>
                <w:smallCaps/>
                <w:sz w:val="16"/>
                <w:szCs w:val="16"/>
              </w:rPr>
              <w:t xml:space="preserve"> Screening</w:t>
            </w:r>
          </w:p>
        </w:tc>
      </w:tr>
      <w:tr w:rsidR="007A7334" w:rsidRPr="006542D6" w:rsidTr="0090229D">
        <w:tc>
          <w:tcPr>
            <w:tcW w:w="1800" w:type="dxa"/>
            <w:vAlign w:val="center"/>
          </w:tcPr>
          <w:p w:rsidR="007A7334" w:rsidRPr="00BF194D" w:rsidRDefault="007A7334" w:rsidP="0090229D">
            <w:pPr>
              <w:spacing w:line="360" w:lineRule="auto"/>
              <w:rPr>
                <w:rFonts w:ascii="Times New Roman" w:hAnsi="Times New Roman" w:cs="Times New Roman"/>
                <w:sz w:val="16"/>
                <w:szCs w:val="16"/>
                <w:u w:val="single"/>
              </w:rPr>
            </w:pPr>
            <w:r w:rsidRPr="00BF194D">
              <w:rPr>
                <w:rFonts w:ascii="Times New Roman" w:hAnsi="Times New Roman" w:cs="Times New Roman"/>
                <w:sz w:val="16"/>
                <w:szCs w:val="16"/>
                <w:u w:val="single"/>
              </w:rPr>
              <w:t>National Standard Law</w:t>
            </w:r>
          </w:p>
        </w:tc>
        <w:tc>
          <w:tcPr>
            <w:tcW w:w="1044" w:type="dxa"/>
            <w:vAlign w:val="center"/>
          </w:tcPr>
          <w:p w:rsidR="007A7334" w:rsidRPr="006542D6" w:rsidRDefault="007A7334" w:rsidP="0090229D">
            <w:pPr>
              <w:spacing w:line="360" w:lineRule="auto"/>
              <w:jc w:val="center"/>
              <w:rPr>
                <w:rFonts w:ascii="Times New Roman" w:hAnsi="Times New Roman" w:cs="Times New Roman"/>
                <w:smallCaps/>
                <w:sz w:val="16"/>
                <w:szCs w:val="16"/>
              </w:rPr>
            </w:pPr>
          </w:p>
        </w:tc>
        <w:tc>
          <w:tcPr>
            <w:tcW w:w="1044" w:type="dxa"/>
            <w:vAlign w:val="center"/>
          </w:tcPr>
          <w:p w:rsidR="007A7334" w:rsidRPr="006542D6" w:rsidRDefault="007A7334" w:rsidP="0090229D">
            <w:pPr>
              <w:spacing w:line="360" w:lineRule="auto"/>
              <w:jc w:val="center"/>
              <w:rPr>
                <w:rFonts w:ascii="Times New Roman" w:hAnsi="Times New Roman" w:cs="Times New Roman"/>
                <w:smallCaps/>
                <w:sz w:val="16"/>
                <w:szCs w:val="16"/>
              </w:rPr>
            </w:pPr>
          </w:p>
        </w:tc>
        <w:tc>
          <w:tcPr>
            <w:tcW w:w="1044" w:type="dxa"/>
            <w:vAlign w:val="center"/>
          </w:tcPr>
          <w:p w:rsidR="007A7334" w:rsidRPr="006542D6" w:rsidRDefault="007A7334" w:rsidP="0090229D">
            <w:pPr>
              <w:spacing w:line="360" w:lineRule="auto"/>
              <w:jc w:val="center"/>
              <w:rPr>
                <w:rFonts w:ascii="Times New Roman" w:hAnsi="Times New Roman" w:cs="Times New Roman"/>
                <w:smallCaps/>
                <w:sz w:val="16"/>
                <w:szCs w:val="16"/>
              </w:rPr>
            </w:pP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p>
        </w:tc>
      </w:tr>
      <w:tr w:rsidR="007A7334" w:rsidRPr="006542D6" w:rsidTr="0090229D">
        <w:tc>
          <w:tcPr>
            <w:tcW w:w="1800" w:type="dxa"/>
            <w:vAlign w:val="center"/>
          </w:tcPr>
          <w:p w:rsidR="007A7334" w:rsidRPr="006542D6" w:rsidRDefault="007A7334" w:rsidP="0090229D">
            <w:pPr>
              <w:spacing w:line="360" w:lineRule="auto"/>
              <w:rPr>
                <w:rFonts w:ascii="Times New Roman" w:hAnsi="Times New Roman" w:cs="Times New Roman"/>
                <w:sz w:val="16"/>
                <w:szCs w:val="16"/>
              </w:rPr>
            </w:pPr>
            <w:r>
              <w:rPr>
                <w:rFonts w:ascii="Times New Roman" w:hAnsi="Times New Roman" w:cs="Times New Roman"/>
                <w:sz w:val="16"/>
                <w:szCs w:val="16"/>
              </w:rPr>
              <w:t>3-Year Lead Dummy</w:t>
            </w:r>
          </w:p>
        </w:tc>
        <w:tc>
          <w:tcPr>
            <w:tcW w:w="1044" w:type="dxa"/>
            <w:vAlign w:val="center"/>
          </w:tcPr>
          <w:p w:rsidR="007A7334" w:rsidRPr="006542D6"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w:t>
            </w:r>
          </w:p>
        </w:tc>
        <w:tc>
          <w:tcPr>
            <w:tcW w:w="1044" w:type="dxa"/>
            <w:vAlign w:val="center"/>
          </w:tcPr>
          <w:p w:rsidR="007A7334" w:rsidRPr="006542D6"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0.012**   (0.005)</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0.014*</w:t>
            </w:r>
          </w:p>
          <w:p w:rsidR="007A7334" w:rsidRPr="006542D6"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(0.007)</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0.038</w:t>
            </w:r>
          </w:p>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(0.029)</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0.010</w:t>
            </w:r>
          </w:p>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(0.012)</w:t>
            </w:r>
          </w:p>
        </w:tc>
      </w:tr>
      <w:tr w:rsidR="007A7334" w:rsidRPr="006542D6" w:rsidTr="0090229D">
        <w:tc>
          <w:tcPr>
            <w:tcW w:w="1800" w:type="dxa"/>
            <w:vAlign w:val="center"/>
          </w:tcPr>
          <w:p w:rsidR="007A7334" w:rsidRPr="006542D6" w:rsidRDefault="007A7334" w:rsidP="0090229D">
            <w:pPr>
              <w:spacing w:line="360" w:lineRule="auto"/>
              <w:rPr>
                <w:rFonts w:ascii="Times New Roman" w:hAnsi="Times New Roman" w:cs="Times New Roman"/>
                <w:sz w:val="16"/>
                <w:szCs w:val="16"/>
              </w:rPr>
            </w:pPr>
            <w:r>
              <w:rPr>
                <w:rFonts w:ascii="Times New Roman" w:hAnsi="Times New Roman" w:cs="Times New Roman"/>
                <w:sz w:val="16"/>
                <w:szCs w:val="16"/>
              </w:rPr>
              <w:t>2-Year Lead Dummy</w:t>
            </w:r>
          </w:p>
        </w:tc>
        <w:tc>
          <w:tcPr>
            <w:tcW w:w="1044" w:type="dxa"/>
            <w:vAlign w:val="center"/>
          </w:tcPr>
          <w:p w:rsidR="007A7334" w:rsidRPr="006542D6"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w:t>
            </w:r>
          </w:p>
        </w:tc>
        <w:tc>
          <w:tcPr>
            <w:tcW w:w="1044" w:type="dxa"/>
            <w:vAlign w:val="center"/>
          </w:tcPr>
          <w:p w:rsidR="007A7334" w:rsidRPr="006542D6"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0.046***   (0.005)</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0.048***</w:t>
            </w:r>
          </w:p>
          <w:p w:rsidR="007A7334" w:rsidRPr="006542D6"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(0.006)</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-0.017</w:t>
            </w:r>
          </w:p>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(0.014)</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-0.014</w:t>
            </w:r>
          </w:p>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(0.015)</w:t>
            </w:r>
          </w:p>
        </w:tc>
      </w:tr>
      <w:tr w:rsidR="007A7334" w:rsidRPr="006542D6" w:rsidTr="0090229D">
        <w:tc>
          <w:tcPr>
            <w:tcW w:w="1800" w:type="dxa"/>
            <w:vAlign w:val="center"/>
          </w:tcPr>
          <w:p w:rsidR="007A7334" w:rsidRPr="006542D6" w:rsidRDefault="007A7334" w:rsidP="0090229D">
            <w:pPr>
              <w:spacing w:line="360" w:lineRule="auto"/>
              <w:rPr>
                <w:rFonts w:ascii="Times New Roman" w:hAnsi="Times New Roman" w:cs="Times New Roman"/>
                <w:sz w:val="16"/>
                <w:szCs w:val="16"/>
              </w:rPr>
            </w:pPr>
            <w:r>
              <w:rPr>
                <w:rFonts w:ascii="Times New Roman" w:hAnsi="Times New Roman" w:cs="Times New Roman"/>
                <w:sz w:val="16"/>
                <w:szCs w:val="16"/>
              </w:rPr>
              <w:t>1-Year Lead Dummy</w:t>
            </w:r>
          </w:p>
        </w:tc>
        <w:tc>
          <w:tcPr>
            <w:tcW w:w="1044" w:type="dxa"/>
            <w:vAlign w:val="center"/>
          </w:tcPr>
          <w:p w:rsidR="007A7334" w:rsidRPr="006542D6"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w:t>
            </w:r>
          </w:p>
        </w:tc>
        <w:tc>
          <w:tcPr>
            <w:tcW w:w="1044" w:type="dxa"/>
            <w:vAlign w:val="center"/>
          </w:tcPr>
          <w:p w:rsidR="007A7334" w:rsidRPr="006542D6"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-0.020*</w:t>
            </w:r>
            <w:r w:rsidRPr="004A1EB1">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4A1EB1">
              <w:rPr>
                <w:rFonts w:ascii="Times New Roman" w:hAnsi="Times New Roman" w:cs="Times New Roman"/>
                <w:smallCaps/>
                <w:sz w:val="16"/>
                <w:szCs w:val="16"/>
              </w:rPr>
              <w:t>.011</w:t>
            </w:r>
            <w:r>
              <w:rPr>
                <w:rFonts w:ascii="Times New Roman" w:hAnsi="Times New Roman" w:cs="Times New Roman"/>
                <w:smallCaps/>
                <w:sz w:val="16"/>
                <w:szCs w:val="16"/>
              </w:rPr>
              <w:t>)</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-0.000</w:t>
            </w:r>
          </w:p>
          <w:p w:rsidR="007A7334" w:rsidRPr="006542D6"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(0.009)</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0.029*</w:t>
            </w:r>
          </w:p>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(0.015)</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0.023*</w:t>
            </w:r>
          </w:p>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(0.012)</w:t>
            </w:r>
          </w:p>
        </w:tc>
      </w:tr>
      <w:tr w:rsidR="007A7334" w:rsidRPr="006542D6" w:rsidTr="0090229D">
        <w:tc>
          <w:tcPr>
            <w:tcW w:w="1800" w:type="dxa"/>
            <w:vAlign w:val="center"/>
          </w:tcPr>
          <w:p w:rsidR="007A7334" w:rsidRPr="006542D6" w:rsidRDefault="007A7334" w:rsidP="0090229D">
            <w:pPr>
              <w:spacing w:line="360" w:lineRule="auto"/>
              <w:rPr>
                <w:rFonts w:ascii="Times New Roman" w:hAnsi="Times New Roman" w:cs="Times New Roman"/>
                <w:sz w:val="16"/>
                <w:szCs w:val="16"/>
              </w:rPr>
            </w:pPr>
            <w:r>
              <w:rPr>
                <w:rFonts w:ascii="Times New Roman" w:hAnsi="Times New Roman" w:cs="Times New Roman"/>
                <w:sz w:val="16"/>
                <w:szCs w:val="16"/>
              </w:rPr>
              <w:t>Contemporaneous Dummy</w:t>
            </w:r>
          </w:p>
        </w:tc>
        <w:tc>
          <w:tcPr>
            <w:tcW w:w="1044" w:type="dxa"/>
            <w:vAlign w:val="center"/>
          </w:tcPr>
          <w:p w:rsidR="007A7334" w:rsidRPr="006542D6"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0.040***</w:t>
            </w:r>
            <w:r w:rsidRPr="000939C9">
              <w:rPr>
                <w:rFonts w:ascii="Times New Roman" w:hAnsi="Times New Roman" w:cs="Times New Roman"/>
                <w:smallCaps/>
                <w:sz w:val="16"/>
                <w:szCs w:val="16"/>
              </w:rPr>
              <w:t xml:space="preserve">   </w:t>
            </w:r>
            <w:r>
              <w:rPr>
                <w:rFonts w:ascii="Times New Roman" w:hAnsi="Times New Roman" w:cs="Times New Roman"/>
                <w:smallCaps/>
                <w:sz w:val="16"/>
                <w:szCs w:val="16"/>
              </w:rPr>
              <w:t>(0</w:t>
            </w:r>
            <w:r w:rsidRPr="000939C9">
              <w:rPr>
                <w:rFonts w:ascii="Times New Roman" w:hAnsi="Times New Roman" w:cs="Times New Roman"/>
                <w:smallCaps/>
                <w:sz w:val="16"/>
                <w:szCs w:val="16"/>
              </w:rPr>
              <w:t>.006</w:t>
            </w:r>
            <w:r>
              <w:rPr>
                <w:rFonts w:ascii="Times New Roman" w:hAnsi="Times New Roman" w:cs="Times New Roman"/>
                <w:smallCaps/>
                <w:sz w:val="16"/>
                <w:szCs w:val="16"/>
              </w:rPr>
              <w:t>)</w:t>
            </w:r>
          </w:p>
        </w:tc>
        <w:tc>
          <w:tcPr>
            <w:tcW w:w="1044" w:type="dxa"/>
            <w:vAlign w:val="center"/>
          </w:tcPr>
          <w:p w:rsidR="007A7334" w:rsidRPr="006542D6" w:rsidRDefault="007A7334" w:rsidP="0090229D">
            <w:pPr>
              <w:spacing w:line="360" w:lineRule="auto"/>
              <w:jc w:val="center"/>
              <w:rPr>
                <w:rFonts w:ascii="Times New Roman" w:hAnsi="Times New Roman" w:cs="Times New Roman"/>
                <w:smallCaps/>
                <w:sz w:val="16"/>
                <w:szCs w:val="16"/>
              </w:rPr>
            </w:pPr>
            <w:r w:rsidRPr="004A1EB1">
              <w:rPr>
                <w:rFonts w:ascii="Times New Roman" w:hAnsi="Times New Roman" w:cs="Times New Roman"/>
                <w:smallCaps/>
                <w:sz w:val="16"/>
                <w:szCs w:val="16"/>
              </w:rPr>
              <w:t>.0140944   .0102652</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-0.001</w:t>
            </w:r>
          </w:p>
          <w:p w:rsidR="007A7334" w:rsidRPr="006542D6"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(0.009)</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0.045</w:t>
            </w:r>
          </w:p>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(0.033)</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-0.007</w:t>
            </w:r>
          </w:p>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(0.020)</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0.005</w:t>
            </w:r>
          </w:p>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(0.027)</w:t>
            </w:r>
          </w:p>
        </w:tc>
      </w:tr>
      <w:tr w:rsidR="007A7334" w:rsidRPr="006542D6" w:rsidTr="0090229D">
        <w:tc>
          <w:tcPr>
            <w:tcW w:w="1800" w:type="dxa"/>
            <w:vAlign w:val="center"/>
          </w:tcPr>
          <w:p w:rsidR="007A7334" w:rsidRPr="006542D6" w:rsidRDefault="007A7334" w:rsidP="0090229D">
            <w:pPr>
              <w:spacing w:line="360" w:lineRule="auto"/>
              <w:rPr>
                <w:rFonts w:ascii="Times New Roman" w:hAnsi="Times New Roman" w:cs="Times New Roman"/>
                <w:sz w:val="16"/>
                <w:szCs w:val="16"/>
              </w:rPr>
            </w:pPr>
            <w:r>
              <w:rPr>
                <w:rFonts w:ascii="Times New Roman" w:hAnsi="Times New Roman" w:cs="Times New Roman"/>
                <w:sz w:val="16"/>
                <w:szCs w:val="16"/>
              </w:rPr>
              <w:t>1-Year Lag Dummy</w:t>
            </w:r>
          </w:p>
        </w:tc>
        <w:tc>
          <w:tcPr>
            <w:tcW w:w="1044" w:type="dxa"/>
            <w:vAlign w:val="center"/>
          </w:tcPr>
          <w:p w:rsidR="007A7334" w:rsidRPr="006542D6"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w:t>
            </w:r>
          </w:p>
        </w:tc>
        <w:tc>
          <w:tcPr>
            <w:tcW w:w="1044" w:type="dxa"/>
            <w:vAlign w:val="center"/>
          </w:tcPr>
          <w:p w:rsidR="007A7334" w:rsidRPr="006542D6"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-0.003   (0.023)</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0.025**</w:t>
            </w:r>
          </w:p>
          <w:p w:rsidR="007A7334" w:rsidRPr="006542D6"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(0.12)</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-0.003</w:t>
            </w:r>
          </w:p>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(0.013)</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0.013</w:t>
            </w:r>
          </w:p>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(0.013)</w:t>
            </w:r>
          </w:p>
        </w:tc>
      </w:tr>
      <w:tr w:rsidR="007A7334" w:rsidRPr="006542D6" w:rsidTr="0090229D">
        <w:tc>
          <w:tcPr>
            <w:tcW w:w="1800" w:type="dxa"/>
            <w:vAlign w:val="center"/>
          </w:tcPr>
          <w:p w:rsidR="007A7334" w:rsidRPr="006542D6" w:rsidRDefault="007A7334" w:rsidP="0090229D">
            <w:pPr>
              <w:spacing w:line="360" w:lineRule="auto"/>
              <w:rPr>
                <w:rFonts w:ascii="Times New Roman" w:hAnsi="Times New Roman" w:cs="Times New Roman"/>
                <w:sz w:val="16"/>
                <w:szCs w:val="16"/>
              </w:rPr>
            </w:pPr>
            <w:r>
              <w:rPr>
                <w:rFonts w:ascii="Times New Roman" w:hAnsi="Times New Roman" w:cs="Times New Roman"/>
                <w:sz w:val="16"/>
                <w:szCs w:val="16"/>
              </w:rPr>
              <w:t>2-Year Lag Dummy</w:t>
            </w:r>
          </w:p>
        </w:tc>
        <w:tc>
          <w:tcPr>
            <w:tcW w:w="1044" w:type="dxa"/>
            <w:vAlign w:val="center"/>
          </w:tcPr>
          <w:p w:rsidR="007A7334" w:rsidRPr="006542D6"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0.019</w:t>
            </w:r>
          </w:p>
          <w:p w:rsidR="007A7334" w:rsidRPr="006542D6"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(0.018)</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0.006</w:t>
            </w:r>
          </w:p>
          <w:p w:rsidR="007A7334" w:rsidRPr="006542D6"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(0.014)</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-0.014</w:t>
            </w:r>
          </w:p>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(0.011)</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-0.009</w:t>
            </w:r>
          </w:p>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(0.012)</w:t>
            </w:r>
          </w:p>
        </w:tc>
      </w:tr>
      <w:tr w:rsidR="007A7334" w:rsidRPr="006542D6" w:rsidTr="0090229D">
        <w:tc>
          <w:tcPr>
            <w:tcW w:w="1800" w:type="dxa"/>
            <w:vAlign w:val="center"/>
          </w:tcPr>
          <w:p w:rsidR="007A7334" w:rsidRPr="006542D6" w:rsidRDefault="007A7334" w:rsidP="0090229D">
            <w:pPr>
              <w:spacing w:line="360" w:lineRule="auto"/>
              <w:rPr>
                <w:rFonts w:ascii="Times New Roman" w:hAnsi="Times New Roman" w:cs="Times New Roman"/>
                <w:sz w:val="16"/>
                <w:szCs w:val="16"/>
              </w:rPr>
            </w:pPr>
            <w:r>
              <w:rPr>
                <w:rFonts w:ascii="Times New Roman" w:hAnsi="Times New Roman" w:cs="Times New Roman"/>
                <w:sz w:val="16"/>
                <w:szCs w:val="16"/>
              </w:rPr>
              <w:t>3-Year Lag Dummy</w:t>
            </w:r>
          </w:p>
        </w:tc>
        <w:tc>
          <w:tcPr>
            <w:tcW w:w="1044" w:type="dxa"/>
            <w:vAlign w:val="center"/>
          </w:tcPr>
          <w:p w:rsidR="007A7334" w:rsidRPr="006542D6"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-0.036*</w:t>
            </w:r>
          </w:p>
          <w:p w:rsidR="007A7334" w:rsidRPr="006542D6"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(0.021)</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-0.030</w:t>
            </w:r>
          </w:p>
          <w:p w:rsidR="007A7334" w:rsidRPr="006542D6"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(0.023)</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0.004</w:t>
            </w:r>
          </w:p>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(0.020)</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-0.002</w:t>
            </w:r>
          </w:p>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(0.021)</w:t>
            </w:r>
          </w:p>
        </w:tc>
      </w:tr>
      <w:tr w:rsidR="007A7334" w:rsidRPr="006542D6" w:rsidTr="0090229D">
        <w:tc>
          <w:tcPr>
            <w:tcW w:w="1800" w:type="dxa"/>
            <w:vAlign w:val="center"/>
          </w:tcPr>
          <w:p w:rsidR="007A7334" w:rsidRDefault="007A7334" w:rsidP="0090229D">
            <w:pPr>
              <w:spacing w:line="360" w:lineRule="auto"/>
              <w:rPr>
                <w:rFonts w:ascii="Times New Roman" w:hAnsi="Times New Roman" w:cs="Times New Roman"/>
                <w:sz w:val="16"/>
                <w:szCs w:val="16"/>
              </w:rPr>
            </w:pPr>
            <w:r>
              <w:rPr>
                <w:rFonts w:ascii="Times New Roman" w:hAnsi="Times New Roman" w:cs="Times New Roman"/>
                <w:sz w:val="16"/>
                <w:szCs w:val="16"/>
              </w:rPr>
              <w:t>4-Year Lag Dummy</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0.030***</w:t>
            </w:r>
          </w:p>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(0.007)</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0.025**</w:t>
            </w:r>
          </w:p>
          <w:p w:rsidR="007A7334" w:rsidRPr="006542D6"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(0.012)</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0.022*</w:t>
            </w:r>
          </w:p>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(0.011)</w:t>
            </w:r>
          </w:p>
        </w:tc>
        <w:tc>
          <w:tcPr>
            <w:tcW w:w="1044" w:type="dxa"/>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0.018</w:t>
            </w:r>
          </w:p>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(0.014)</w:t>
            </w:r>
          </w:p>
        </w:tc>
      </w:tr>
      <w:tr w:rsidR="007A7334" w:rsidRPr="006542D6" w:rsidTr="0090229D">
        <w:tc>
          <w:tcPr>
            <w:tcW w:w="1800" w:type="dxa"/>
            <w:tcBorders>
              <w:bottom w:val="single" w:sz="4" w:space="0" w:color="auto"/>
            </w:tcBorders>
            <w:vAlign w:val="center"/>
          </w:tcPr>
          <w:p w:rsidR="007A7334" w:rsidRPr="006542D6" w:rsidRDefault="007A7334" w:rsidP="0090229D">
            <w:pPr>
              <w:spacing w:line="360" w:lineRule="auto"/>
              <w:rPr>
                <w:rFonts w:ascii="Times New Roman" w:hAnsi="Times New Roman" w:cs="Times New Roman"/>
                <w:sz w:val="16"/>
                <w:szCs w:val="16"/>
              </w:rPr>
            </w:pPr>
            <w:r w:rsidRPr="006542D6">
              <w:rPr>
                <w:rFonts w:ascii="Times New Roman" w:hAnsi="Times New Roman" w:cs="Times New Roman"/>
                <w:sz w:val="16"/>
                <w:szCs w:val="16"/>
              </w:rPr>
              <w:t xml:space="preserve">          N</w:t>
            </w:r>
          </w:p>
        </w:tc>
        <w:tc>
          <w:tcPr>
            <w:tcW w:w="1044" w:type="dxa"/>
            <w:tcBorders>
              <w:bottom w:val="single" w:sz="4" w:space="0" w:color="auto"/>
            </w:tcBorders>
            <w:vAlign w:val="center"/>
          </w:tcPr>
          <w:p w:rsidR="007A7334" w:rsidRPr="006542D6" w:rsidRDefault="007A7334" w:rsidP="0090229D">
            <w:pPr>
              <w:spacing w:line="360" w:lineRule="auto"/>
              <w:jc w:val="center"/>
              <w:rPr>
                <w:rFonts w:ascii="Times New Roman" w:hAnsi="Times New Roman" w:cs="Times New Roman"/>
                <w:smallCaps/>
                <w:sz w:val="16"/>
                <w:szCs w:val="16"/>
              </w:rPr>
            </w:pPr>
            <w:r w:rsidRPr="000939C9">
              <w:rPr>
                <w:rFonts w:ascii="Times New Roman" w:hAnsi="Times New Roman" w:cs="Times New Roman"/>
                <w:smallCaps/>
                <w:sz w:val="16"/>
                <w:szCs w:val="16"/>
              </w:rPr>
              <w:t>631592</w:t>
            </w:r>
          </w:p>
        </w:tc>
        <w:tc>
          <w:tcPr>
            <w:tcW w:w="1044" w:type="dxa"/>
            <w:tcBorders>
              <w:bottom w:val="single" w:sz="4" w:space="0" w:color="auto"/>
            </w:tcBorders>
            <w:vAlign w:val="center"/>
          </w:tcPr>
          <w:p w:rsidR="007A7334" w:rsidRPr="006542D6" w:rsidRDefault="007A7334" w:rsidP="0090229D">
            <w:pPr>
              <w:spacing w:line="360" w:lineRule="auto"/>
              <w:jc w:val="center"/>
              <w:rPr>
                <w:rFonts w:ascii="Times New Roman" w:hAnsi="Times New Roman" w:cs="Times New Roman"/>
                <w:smallCaps/>
                <w:sz w:val="16"/>
                <w:szCs w:val="16"/>
              </w:rPr>
            </w:pPr>
            <w:r w:rsidRPr="004A1EB1">
              <w:rPr>
                <w:rFonts w:ascii="Times New Roman" w:hAnsi="Times New Roman" w:cs="Times New Roman"/>
                <w:smallCaps/>
                <w:sz w:val="16"/>
                <w:szCs w:val="16"/>
              </w:rPr>
              <w:t>520955</w:t>
            </w:r>
          </w:p>
        </w:tc>
        <w:tc>
          <w:tcPr>
            <w:tcW w:w="1044" w:type="dxa"/>
            <w:tcBorders>
              <w:bottom w:val="single" w:sz="4" w:space="0" w:color="auto"/>
            </w:tcBorders>
            <w:vAlign w:val="center"/>
          </w:tcPr>
          <w:p w:rsidR="007A7334" w:rsidRPr="006542D6"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520955</w:t>
            </w:r>
          </w:p>
        </w:tc>
        <w:tc>
          <w:tcPr>
            <w:tcW w:w="1044" w:type="dxa"/>
            <w:tcBorders>
              <w:bottom w:val="single" w:sz="4" w:space="0" w:color="auto"/>
            </w:tcBorders>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1098595</w:t>
            </w:r>
          </w:p>
        </w:tc>
        <w:tc>
          <w:tcPr>
            <w:tcW w:w="1044" w:type="dxa"/>
            <w:tcBorders>
              <w:bottom w:val="single" w:sz="4" w:space="0" w:color="auto"/>
            </w:tcBorders>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912364</w:t>
            </w:r>
          </w:p>
        </w:tc>
        <w:tc>
          <w:tcPr>
            <w:tcW w:w="1044" w:type="dxa"/>
            <w:tcBorders>
              <w:bottom w:val="single" w:sz="4" w:space="0" w:color="auto"/>
            </w:tcBorders>
            <w:vAlign w:val="center"/>
          </w:tcPr>
          <w:p w:rsidR="007A7334" w:rsidRDefault="007A7334" w:rsidP="0090229D">
            <w:pPr>
              <w:spacing w:line="360" w:lineRule="auto"/>
              <w:jc w:val="center"/>
              <w:rPr>
                <w:rFonts w:ascii="Times New Roman" w:hAnsi="Times New Roman" w:cs="Times New Roman"/>
                <w:smallCaps/>
                <w:sz w:val="16"/>
                <w:szCs w:val="16"/>
              </w:rPr>
            </w:pPr>
            <w:r>
              <w:rPr>
                <w:rFonts w:ascii="Times New Roman" w:hAnsi="Times New Roman" w:cs="Times New Roman"/>
                <w:smallCaps/>
                <w:sz w:val="16"/>
                <w:szCs w:val="16"/>
              </w:rPr>
              <w:t>912364</w:t>
            </w:r>
          </w:p>
        </w:tc>
      </w:tr>
      <w:tr w:rsidR="007A7334" w:rsidRPr="006542D6" w:rsidTr="0090229D">
        <w:tc>
          <w:tcPr>
            <w:tcW w:w="1800" w:type="dxa"/>
            <w:tcBorders>
              <w:top w:val="single" w:sz="4" w:space="0" w:color="auto"/>
            </w:tcBorders>
            <w:vAlign w:val="center"/>
          </w:tcPr>
          <w:p w:rsidR="007A7334" w:rsidRPr="00EE4EB5" w:rsidRDefault="007A7334" w:rsidP="0090229D">
            <w:pPr>
              <w:rPr>
                <w:rFonts w:ascii="Times New Roman" w:hAnsi="Times New Roman" w:cs="Times New Roman"/>
                <w:sz w:val="16"/>
                <w:szCs w:val="16"/>
              </w:rPr>
            </w:pPr>
            <w:r w:rsidRPr="00EE4EB5">
              <w:rPr>
                <w:rFonts w:ascii="Times New Roman" w:hAnsi="Times New Roman" w:cs="Times New Roman"/>
                <w:sz w:val="16"/>
                <w:szCs w:val="16"/>
              </w:rPr>
              <w:t>Control Variables?</w:t>
            </w:r>
          </w:p>
        </w:tc>
        <w:tc>
          <w:tcPr>
            <w:tcW w:w="1044" w:type="dxa"/>
            <w:tcBorders>
              <w:top w:val="single" w:sz="4" w:space="0" w:color="auto"/>
            </w:tcBorders>
            <w:vAlign w:val="center"/>
          </w:tcPr>
          <w:p w:rsidR="007A7334" w:rsidRPr="00EE4EB5" w:rsidRDefault="007A7334" w:rsidP="0090229D">
            <w:pPr>
              <w:jc w:val="center"/>
              <w:rPr>
                <w:rFonts w:ascii="Times New Roman" w:hAnsi="Times New Roman" w:cs="Times New Roman"/>
                <w:smallCaps/>
                <w:sz w:val="16"/>
                <w:szCs w:val="16"/>
              </w:rPr>
            </w:pPr>
            <w:r w:rsidRPr="00EE4EB5">
              <w:rPr>
                <w:rFonts w:ascii="Times New Roman" w:hAnsi="Times New Roman" w:cs="Times New Roman"/>
                <w:smallCaps/>
                <w:sz w:val="16"/>
                <w:szCs w:val="16"/>
              </w:rPr>
              <w:t>NO</w:t>
            </w:r>
          </w:p>
        </w:tc>
        <w:tc>
          <w:tcPr>
            <w:tcW w:w="1044" w:type="dxa"/>
            <w:tcBorders>
              <w:top w:val="single" w:sz="4" w:space="0" w:color="auto"/>
            </w:tcBorders>
            <w:vAlign w:val="center"/>
          </w:tcPr>
          <w:p w:rsidR="007A7334" w:rsidRPr="00EE4EB5" w:rsidRDefault="007A7334" w:rsidP="0090229D">
            <w:pPr>
              <w:jc w:val="center"/>
              <w:rPr>
                <w:rFonts w:ascii="Times New Roman" w:hAnsi="Times New Roman" w:cs="Times New Roman"/>
                <w:smallCaps/>
                <w:sz w:val="16"/>
                <w:szCs w:val="16"/>
              </w:rPr>
            </w:pPr>
            <w:r w:rsidRPr="00EE4EB5">
              <w:rPr>
                <w:rFonts w:ascii="Times New Roman" w:hAnsi="Times New Roman" w:cs="Times New Roman"/>
                <w:smallCaps/>
                <w:sz w:val="16"/>
                <w:szCs w:val="16"/>
              </w:rPr>
              <w:t>YES</w:t>
            </w:r>
          </w:p>
        </w:tc>
        <w:tc>
          <w:tcPr>
            <w:tcW w:w="1044" w:type="dxa"/>
            <w:tcBorders>
              <w:top w:val="single" w:sz="4" w:space="0" w:color="auto"/>
            </w:tcBorders>
            <w:vAlign w:val="center"/>
          </w:tcPr>
          <w:p w:rsidR="007A7334" w:rsidRPr="00EE4EB5" w:rsidRDefault="007A7334" w:rsidP="0090229D">
            <w:pPr>
              <w:jc w:val="center"/>
              <w:rPr>
                <w:rFonts w:ascii="Times New Roman" w:hAnsi="Times New Roman" w:cs="Times New Roman"/>
                <w:smallCaps/>
                <w:sz w:val="16"/>
                <w:szCs w:val="16"/>
              </w:rPr>
            </w:pPr>
            <w:r w:rsidRPr="00EE4EB5">
              <w:rPr>
                <w:rFonts w:ascii="Times New Roman" w:hAnsi="Times New Roman" w:cs="Times New Roman"/>
                <w:smallCaps/>
                <w:sz w:val="16"/>
                <w:szCs w:val="16"/>
              </w:rPr>
              <w:t>YES</w:t>
            </w:r>
          </w:p>
        </w:tc>
        <w:tc>
          <w:tcPr>
            <w:tcW w:w="1044" w:type="dxa"/>
            <w:tcBorders>
              <w:top w:val="single" w:sz="4" w:space="0" w:color="auto"/>
            </w:tcBorders>
            <w:vAlign w:val="center"/>
          </w:tcPr>
          <w:p w:rsidR="007A7334" w:rsidRPr="00EE4EB5" w:rsidRDefault="007A7334" w:rsidP="0090229D">
            <w:pPr>
              <w:jc w:val="center"/>
              <w:rPr>
                <w:rFonts w:ascii="Times New Roman" w:hAnsi="Times New Roman" w:cs="Times New Roman"/>
                <w:smallCaps/>
                <w:sz w:val="16"/>
                <w:szCs w:val="16"/>
              </w:rPr>
            </w:pPr>
            <w:r>
              <w:rPr>
                <w:rFonts w:ascii="Times New Roman" w:hAnsi="Times New Roman" w:cs="Times New Roman"/>
                <w:smallCaps/>
                <w:sz w:val="16"/>
                <w:szCs w:val="16"/>
              </w:rPr>
              <w:t>NO</w:t>
            </w:r>
          </w:p>
        </w:tc>
        <w:tc>
          <w:tcPr>
            <w:tcW w:w="1044" w:type="dxa"/>
            <w:tcBorders>
              <w:top w:val="single" w:sz="4" w:space="0" w:color="auto"/>
            </w:tcBorders>
            <w:vAlign w:val="center"/>
          </w:tcPr>
          <w:p w:rsidR="007A7334" w:rsidRPr="00EE4EB5" w:rsidRDefault="007A7334" w:rsidP="0090229D">
            <w:pPr>
              <w:jc w:val="center"/>
              <w:rPr>
                <w:rFonts w:ascii="Times New Roman" w:hAnsi="Times New Roman" w:cs="Times New Roman"/>
                <w:smallCaps/>
                <w:sz w:val="16"/>
                <w:szCs w:val="16"/>
              </w:rPr>
            </w:pPr>
            <w:r>
              <w:rPr>
                <w:rFonts w:ascii="Times New Roman" w:hAnsi="Times New Roman" w:cs="Times New Roman"/>
                <w:smallCaps/>
                <w:sz w:val="16"/>
                <w:szCs w:val="16"/>
              </w:rPr>
              <w:t>YES</w:t>
            </w:r>
          </w:p>
        </w:tc>
        <w:tc>
          <w:tcPr>
            <w:tcW w:w="1044" w:type="dxa"/>
            <w:tcBorders>
              <w:top w:val="single" w:sz="4" w:space="0" w:color="auto"/>
            </w:tcBorders>
            <w:vAlign w:val="center"/>
          </w:tcPr>
          <w:p w:rsidR="007A7334" w:rsidRPr="00EE4EB5" w:rsidRDefault="007A7334" w:rsidP="0090229D">
            <w:pPr>
              <w:jc w:val="center"/>
              <w:rPr>
                <w:rFonts w:ascii="Times New Roman" w:hAnsi="Times New Roman" w:cs="Times New Roman"/>
                <w:smallCaps/>
                <w:sz w:val="16"/>
                <w:szCs w:val="16"/>
              </w:rPr>
            </w:pPr>
            <w:r>
              <w:rPr>
                <w:rFonts w:ascii="Times New Roman" w:hAnsi="Times New Roman" w:cs="Times New Roman"/>
                <w:smallCaps/>
                <w:sz w:val="16"/>
                <w:szCs w:val="16"/>
              </w:rPr>
              <w:t>YES</w:t>
            </w:r>
          </w:p>
        </w:tc>
      </w:tr>
      <w:tr w:rsidR="007A7334" w:rsidRPr="006542D6" w:rsidTr="0090229D">
        <w:tc>
          <w:tcPr>
            <w:tcW w:w="1800" w:type="dxa"/>
            <w:tcBorders>
              <w:bottom w:val="single" w:sz="4" w:space="0" w:color="auto"/>
            </w:tcBorders>
            <w:vAlign w:val="center"/>
          </w:tcPr>
          <w:p w:rsidR="007A7334" w:rsidRPr="00EE4EB5" w:rsidRDefault="007A7334" w:rsidP="0090229D">
            <w:pPr>
              <w:rPr>
                <w:rFonts w:ascii="Times New Roman" w:hAnsi="Times New Roman" w:cs="Times New Roman"/>
                <w:sz w:val="16"/>
                <w:szCs w:val="16"/>
              </w:rPr>
            </w:pPr>
            <w:r w:rsidRPr="00EE4EB5">
              <w:rPr>
                <w:rFonts w:ascii="Times New Roman" w:hAnsi="Times New Roman" w:cs="Times New Roman"/>
                <w:sz w:val="16"/>
                <w:szCs w:val="16"/>
              </w:rPr>
              <w:t>State-Specific Linear Trends?</w:t>
            </w:r>
          </w:p>
        </w:tc>
        <w:tc>
          <w:tcPr>
            <w:tcW w:w="1044" w:type="dxa"/>
            <w:tcBorders>
              <w:bottom w:val="single" w:sz="4" w:space="0" w:color="auto"/>
            </w:tcBorders>
            <w:vAlign w:val="center"/>
          </w:tcPr>
          <w:p w:rsidR="007A7334" w:rsidRPr="00EE4EB5" w:rsidRDefault="007A7334" w:rsidP="0090229D">
            <w:pPr>
              <w:jc w:val="center"/>
              <w:rPr>
                <w:rFonts w:ascii="Times New Roman" w:hAnsi="Times New Roman" w:cs="Times New Roman"/>
                <w:smallCaps/>
                <w:sz w:val="16"/>
                <w:szCs w:val="16"/>
              </w:rPr>
            </w:pPr>
            <w:r w:rsidRPr="00EE4EB5">
              <w:rPr>
                <w:rFonts w:ascii="Times New Roman" w:hAnsi="Times New Roman" w:cs="Times New Roman"/>
                <w:smallCaps/>
                <w:sz w:val="16"/>
                <w:szCs w:val="16"/>
              </w:rPr>
              <w:t>NO</w:t>
            </w:r>
          </w:p>
        </w:tc>
        <w:tc>
          <w:tcPr>
            <w:tcW w:w="1044" w:type="dxa"/>
            <w:tcBorders>
              <w:bottom w:val="single" w:sz="4" w:space="0" w:color="auto"/>
            </w:tcBorders>
            <w:vAlign w:val="center"/>
          </w:tcPr>
          <w:p w:rsidR="007A7334" w:rsidRPr="00EE4EB5" w:rsidRDefault="007A7334" w:rsidP="0090229D">
            <w:pPr>
              <w:jc w:val="center"/>
              <w:rPr>
                <w:rFonts w:ascii="Times New Roman" w:hAnsi="Times New Roman" w:cs="Times New Roman"/>
                <w:smallCaps/>
                <w:sz w:val="16"/>
                <w:szCs w:val="16"/>
              </w:rPr>
            </w:pPr>
            <w:r w:rsidRPr="00EE4EB5">
              <w:rPr>
                <w:rFonts w:ascii="Times New Roman" w:hAnsi="Times New Roman" w:cs="Times New Roman"/>
                <w:smallCaps/>
                <w:sz w:val="16"/>
                <w:szCs w:val="16"/>
              </w:rPr>
              <w:t>NO</w:t>
            </w:r>
          </w:p>
        </w:tc>
        <w:tc>
          <w:tcPr>
            <w:tcW w:w="1044" w:type="dxa"/>
            <w:tcBorders>
              <w:bottom w:val="single" w:sz="4" w:space="0" w:color="auto"/>
            </w:tcBorders>
            <w:vAlign w:val="center"/>
          </w:tcPr>
          <w:p w:rsidR="007A7334" w:rsidRPr="00EE4EB5" w:rsidRDefault="007A7334" w:rsidP="0090229D">
            <w:pPr>
              <w:jc w:val="center"/>
              <w:rPr>
                <w:rFonts w:ascii="Times New Roman" w:hAnsi="Times New Roman" w:cs="Times New Roman"/>
                <w:smallCaps/>
                <w:sz w:val="16"/>
                <w:szCs w:val="16"/>
              </w:rPr>
            </w:pPr>
            <w:r w:rsidRPr="00EE4EB5">
              <w:rPr>
                <w:rFonts w:ascii="Times New Roman" w:hAnsi="Times New Roman" w:cs="Times New Roman"/>
                <w:smallCaps/>
                <w:sz w:val="16"/>
                <w:szCs w:val="16"/>
              </w:rPr>
              <w:t>YES</w:t>
            </w:r>
          </w:p>
        </w:tc>
        <w:tc>
          <w:tcPr>
            <w:tcW w:w="1044" w:type="dxa"/>
            <w:tcBorders>
              <w:bottom w:val="single" w:sz="4" w:space="0" w:color="auto"/>
            </w:tcBorders>
            <w:vAlign w:val="center"/>
          </w:tcPr>
          <w:p w:rsidR="007A7334" w:rsidRPr="00EE4EB5" w:rsidRDefault="007A7334" w:rsidP="0090229D">
            <w:pPr>
              <w:jc w:val="center"/>
              <w:rPr>
                <w:rFonts w:ascii="Times New Roman" w:hAnsi="Times New Roman" w:cs="Times New Roman"/>
                <w:smallCaps/>
                <w:sz w:val="16"/>
                <w:szCs w:val="16"/>
              </w:rPr>
            </w:pPr>
            <w:r>
              <w:rPr>
                <w:rFonts w:ascii="Times New Roman" w:hAnsi="Times New Roman" w:cs="Times New Roman"/>
                <w:smallCaps/>
                <w:sz w:val="16"/>
                <w:szCs w:val="16"/>
              </w:rPr>
              <w:t>NO</w:t>
            </w:r>
          </w:p>
        </w:tc>
        <w:tc>
          <w:tcPr>
            <w:tcW w:w="1044" w:type="dxa"/>
            <w:tcBorders>
              <w:bottom w:val="single" w:sz="4" w:space="0" w:color="auto"/>
            </w:tcBorders>
            <w:vAlign w:val="center"/>
          </w:tcPr>
          <w:p w:rsidR="007A7334" w:rsidRPr="00EE4EB5" w:rsidRDefault="007A7334" w:rsidP="0090229D">
            <w:pPr>
              <w:jc w:val="center"/>
              <w:rPr>
                <w:rFonts w:ascii="Times New Roman" w:hAnsi="Times New Roman" w:cs="Times New Roman"/>
                <w:smallCaps/>
                <w:sz w:val="16"/>
                <w:szCs w:val="16"/>
              </w:rPr>
            </w:pPr>
            <w:r>
              <w:rPr>
                <w:rFonts w:ascii="Times New Roman" w:hAnsi="Times New Roman" w:cs="Times New Roman"/>
                <w:smallCaps/>
                <w:sz w:val="16"/>
                <w:szCs w:val="16"/>
              </w:rPr>
              <w:t>NO</w:t>
            </w:r>
          </w:p>
        </w:tc>
        <w:tc>
          <w:tcPr>
            <w:tcW w:w="1044" w:type="dxa"/>
            <w:tcBorders>
              <w:bottom w:val="single" w:sz="4" w:space="0" w:color="auto"/>
            </w:tcBorders>
            <w:vAlign w:val="center"/>
          </w:tcPr>
          <w:p w:rsidR="007A7334" w:rsidRPr="00EE4EB5" w:rsidRDefault="007A7334" w:rsidP="0090229D">
            <w:pPr>
              <w:jc w:val="center"/>
              <w:rPr>
                <w:rFonts w:ascii="Times New Roman" w:hAnsi="Times New Roman" w:cs="Times New Roman"/>
                <w:smallCaps/>
                <w:sz w:val="16"/>
                <w:szCs w:val="16"/>
              </w:rPr>
            </w:pPr>
            <w:r>
              <w:rPr>
                <w:rFonts w:ascii="Times New Roman" w:hAnsi="Times New Roman" w:cs="Times New Roman"/>
                <w:smallCaps/>
                <w:sz w:val="16"/>
                <w:szCs w:val="16"/>
              </w:rPr>
              <w:t>YES</w:t>
            </w:r>
          </w:p>
        </w:tc>
      </w:tr>
      <w:tr w:rsidR="007A7334" w:rsidRPr="006542D6" w:rsidTr="0090229D">
        <w:tc>
          <w:tcPr>
            <w:tcW w:w="8064" w:type="dxa"/>
            <w:gridSpan w:val="7"/>
            <w:tcBorders>
              <w:top w:val="single" w:sz="4" w:space="0" w:color="auto"/>
            </w:tcBorders>
            <w:vAlign w:val="center"/>
          </w:tcPr>
          <w:p w:rsidR="007A7334" w:rsidRDefault="007A7334" w:rsidP="0090229D">
            <w:pPr>
              <w:jc w:val="both"/>
              <w:rPr>
                <w:rFonts w:ascii="Times New Roman" w:hAnsi="Times New Roman" w:cs="Times New Roman"/>
                <w:sz w:val="16"/>
                <w:szCs w:val="16"/>
              </w:rPr>
            </w:pPr>
            <w:r w:rsidRPr="007B49C5">
              <w:rPr>
                <w:rFonts w:ascii="Times New Roman" w:hAnsi="Times New Roman" w:cs="Times New Roman"/>
                <w:i/>
                <w:sz w:val="16"/>
                <w:szCs w:val="16"/>
              </w:rPr>
              <w:t>Notes</w:t>
            </w:r>
            <w:r>
              <w:rPr>
                <w:rFonts w:ascii="Times New Roman" w:hAnsi="Times New Roman" w:cs="Times New Roman"/>
                <w:sz w:val="16"/>
                <w:szCs w:val="16"/>
              </w:rPr>
              <w:t>: r</w:t>
            </w:r>
            <w:r w:rsidRPr="006542D6">
              <w:rPr>
                <w:rFonts w:ascii="Times New Roman" w:hAnsi="Times New Roman" w:cs="Times New Roman"/>
                <w:sz w:val="16"/>
                <w:szCs w:val="16"/>
              </w:rPr>
              <w:t>obust standard errors corrected for within-state correlation in the error term are reported in parentheses.  All regressions include state and year fixed effects</w:t>
            </w:r>
            <w:r>
              <w:rPr>
                <w:rFonts w:ascii="Times New Roman" w:hAnsi="Times New Roman" w:cs="Times New Roman"/>
                <w:sz w:val="16"/>
                <w:szCs w:val="16"/>
              </w:rPr>
              <w:t>.  The regressions also include a separate dummy variable indicating whether the state has an initially below-average cancer screen rate (coefficient omitted).  Cancer screening data is from the BRFSS</w:t>
            </w:r>
            <w:r w:rsidRPr="006542D6">
              <w:rPr>
                <w:rFonts w:ascii="Times New Roman" w:hAnsi="Times New Roman" w:cs="Times New Roman"/>
                <w:sz w:val="16"/>
                <w:szCs w:val="16"/>
              </w:rPr>
              <w:t>.</w:t>
            </w:r>
          </w:p>
          <w:p w:rsidR="007A7334" w:rsidRDefault="007A7334" w:rsidP="0090229D">
            <w:pPr>
              <w:pStyle w:val="TableNotes"/>
              <w:spacing w:before="0" w:line="240" w:lineRule="auto"/>
            </w:pPr>
            <w:r>
              <w:t xml:space="preserve">*** Significant at the 1 percent level. </w:t>
            </w:r>
          </w:p>
          <w:p w:rsidR="007A7334" w:rsidRDefault="007A7334" w:rsidP="0090229D">
            <w:pPr>
              <w:pStyle w:val="TableNotes"/>
              <w:spacing w:before="0" w:line="240" w:lineRule="auto"/>
            </w:pPr>
            <w:r>
              <w:t>** Significant at the 5 percent level.</w:t>
            </w:r>
          </w:p>
          <w:p w:rsidR="007A7334" w:rsidRPr="007B49C5" w:rsidRDefault="007A7334" w:rsidP="0090229D">
            <w:pPr>
              <w:jc w:val="both"/>
              <w:rPr>
                <w:rFonts w:ascii="Times New Roman" w:hAnsi="Times New Roman" w:cs="Times New Roman"/>
                <w:i/>
                <w:sz w:val="16"/>
                <w:szCs w:val="16"/>
              </w:rPr>
            </w:pPr>
            <w:r w:rsidRPr="007B49C5">
              <w:rPr>
                <w:rFonts w:ascii="Times New Roman" w:hAnsi="Times New Roman" w:cs="Times New Roman"/>
                <w:sz w:val="16"/>
                <w:szCs w:val="16"/>
              </w:rPr>
              <w:t>* Significant at the 10 percent level.</w:t>
            </w:r>
          </w:p>
        </w:tc>
      </w:tr>
    </w:tbl>
    <w:p w:rsidR="007A7334" w:rsidRDefault="007A7334">
      <w:pPr>
        <w:rPr>
          <w:rFonts w:ascii="Times New Roman" w:hAnsi="Times New Roman" w:cs="Times New Roman"/>
          <w:sz w:val="24"/>
          <w:szCs w:val="24"/>
        </w:rPr>
      </w:pPr>
    </w:p>
    <w:p w:rsidR="007A7334" w:rsidRDefault="007A7334">
      <w:pPr>
        <w:rPr>
          <w:rFonts w:ascii="Times New Roman" w:hAnsi="Times New Roman" w:cs="Times New Roman"/>
          <w:sz w:val="24"/>
          <w:szCs w:val="24"/>
        </w:rPr>
      </w:pPr>
    </w:p>
    <w:p w:rsidR="007A7334" w:rsidRDefault="007A7334">
      <w:pPr>
        <w:rPr>
          <w:rFonts w:ascii="Times New Roman" w:hAnsi="Times New Roman" w:cs="Times New Roman"/>
          <w:sz w:val="24"/>
          <w:szCs w:val="24"/>
        </w:rPr>
      </w:pPr>
    </w:p>
    <w:p w:rsidR="007A7334" w:rsidRDefault="007A7334">
      <w:pPr>
        <w:rPr>
          <w:rFonts w:ascii="Times New Roman" w:hAnsi="Times New Roman" w:cs="Times New Roman"/>
          <w:sz w:val="24"/>
          <w:szCs w:val="24"/>
        </w:rPr>
      </w:pPr>
    </w:p>
    <w:p w:rsidR="007A7334" w:rsidRDefault="007A7334">
      <w:pPr>
        <w:rPr>
          <w:rFonts w:ascii="Times New Roman" w:hAnsi="Times New Roman" w:cs="Times New Roman"/>
          <w:sz w:val="24"/>
          <w:szCs w:val="24"/>
        </w:rPr>
      </w:pPr>
    </w:p>
    <w:p w:rsidR="00CA366D" w:rsidRDefault="00CA366D">
      <w:pPr>
        <w:rPr>
          <w:rFonts w:ascii="Times New Roman" w:hAnsi="Times New Roman" w:cs="Times New Roman"/>
          <w:sz w:val="24"/>
          <w:szCs w:val="24"/>
        </w:rPr>
      </w:pPr>
      <w:r>
        <w:rPr>
          <w:rFonts w:ascii="Times New Roman" w:hAnsi="Times New Roman" w:cs="Times New Roman"/>
          <w:sz w:val="24"/>
          <w:szCs w:val="24"/>
        </w:rPr>
        <w:br w:type="page"/>
      </w:r>
    </w:p>
    <w:p w:rsidR="00CE5031" w:rsidRDefault="00CE5031" w:rsidP="002F694C">
      <w:pPr>
        <w:rPr>
          <w:rFonts w:ascii="Times New Roman" w:hAnsi="Times New Roman" w:cs="Times New Roman"/>
          <w:sz w:val="24"/>
          <w:szCs w:val="24"/>
        </w:rPr>
      </w:pPr>
    </w:p>
    <w:p w:rsidR="00CE5031" w:rsidRPr="007A7334" w:rsidRDefault="007A7334" w:rsidP="002F694C">
      <w:pPr>
        <w:rPr>
          <w:rFonts w:ascii="Times New Roman" w:hAnsi="Times New Roman" w:cs="Times New Roman"/>
          <w:b/>
          <w:sz w:val="24"/>
          <w:szCs w:val="24"/>
        </w:rPr>
      </w:pPr>
      <w:r w:rsidRPr="007A7334">
        <w:rPr>
          <w:rFonts w:ascii="Times New Roman" w:hAnsi="Times New Roman" w:cs="Times New Roman"/>
          <w:b/>
          <w:sz w:val="24"/>
          <w:szCs w:val="24"/>
        </w:rPr>
        <w:t>Additional References</w:t>
      </w:r>
    </w:p>
    <w:p w:rsidR="00CD22AB" w:rsidRDefault="00CD22AB" w:rsidP="00CD22A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Carter, Mary.  Variations in Hospitalization Rates among Nursing Home Residents: The Role of Discretionary Hospitalizations.  Health Services Research 38, 1177-1206.</w:t>
      </w:r>
    </w:p>
    <w:p w:rsidR="00CD22AB" w:rsidRDefault="00CD22AB" w:rsidP="00CD22AB">
      <w:pPr>
        <w:pStyle w:val="FootnoteText"/>
        <w:spacing w:after="200" w:line="276" w:lineRule="auto"/>
        <w:rPr>
          <w:rFonts w:ascii="Times New Roman" w:hAnsi="Times New Roman" w:cs="Times New Roman"/>
          <w:sz w:val="24"/>
          <w:szCs w:val="24"/>
        </w:rPr>
      </w:pPr>
      <w:r>
        <w:rPr>
          <w:rFonts w:ascii="Times New Roman" w:hAnsi="Times New Roman" w:cs="Times New Roman"/>
          <w:sz w:val="24"/>
          <w:szCs w:val="24"/>
        </w:rPr>
        <w:t>Cohen, Thomas.  2005.  Punitive Damage Awards in Large Counties, 2001.  Bureau of Justice Statistics Selected Findings.</w:t>
      </w:r>
    </w:p>
    <w:p w:rsidR="00CD22AB" w:rsidRDefault="00CD22AB" w:rsidP="00CD22AB">
      <w:pPr>
        <w:rPr>
          <w:rFonts w:ascii="Times New Roman" w:hAnsi="Times New Roman" w:cs="Times New Roman"/>
          <w:sz w:val="24"/>
          <w:szCs w:val="24"/>
        </w:rPr>
      </w:pPr>
      <w:proofErr w:type="spellStart"/>
      <w:proofErr w:type="gramStart"/>
      <w:r>
        <w:rPr>
          <w:rFonts w:ascii="Times New Roman" w:hAnsi="Times New Roman" w:cs="Times New Roman"/>
          <w:sz w:val="24"/>
          <w:szCs w:val="24"/>
        </w:rPr>
        <w:t>Dafny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Leemore</w:t>
      </w:r>
      <w:proofErr w:type="spellEnd"/>
      <w:r>
        <w:rPr>
          <w:rFonts w:ascii="Times New Roman" w:hAnsi="Times New Roman" w:cs="Times New Roman"/>
          <w:sz w:val="24"/>
          <w:szCs w:val="24"/>
        </w:rPr>
        <w:t>, and Jonathan Gruber.</w:t>
      </w:r>
      <w:proofErr w:type="gramEnd"/>
      <w:r>
        <w:rPr>
          <w:rFonts w:ascii="Times New Roman" w:hAnsi="Times New Roman" w:cs="Times New Roman"/>
          <w:sz w:val="24"/>
          <w:szCs w:val="24"/>
        </w:rPr>
        <w:t xml:space="preserve">  2005.  Public Insurance and Child Hospitalizations: Access and Efficiency Effects.  </w:t>
      </w:r>
      <w:proofErr w:type="gramStart"/>
      <w:r>
        <w:rPr>
          <w:rFonts w:ascii="Times New Roman" w:hAnsi="Times New Roman" w:cs="Times New Roman"/>
          <w:sz w:val="24"/>
          <w:szCs w:val="24"/>
        </w:rPr>
        <w:t>Journal of Public Economics 89, 109-29.</w:t>
      </w:r>
      <w:proofErr w:type="gramEnd"/>
    </w:p>
    <w:p w:rsidR="00CD22AB" w:rsidRDefault="00CD22AB" w:rsidP="00CD22AB">
      <w:pPr>
        <w:rPr>
          <w:rFonts w:ascii="Times New Roman" w:hAnsi="Times New Roman" w:cs="Times New Roman"/>
          <w:sz w:val="24"/>
          <w:szCs w:val="24"/>
        </w:rPr>
      </w:pPr>
      <w:proofErr w:type="spellStart"/>
      <w:r>
        <w:rPr>
          <w:rFonts w:ascii="Times New Roman" w:hAnsi="Times New Roman" w:cs="Times New Roman"/>
          <w:sz w:val="24"/>
          <w:szCs w:val="24"/>
        </w:rPr>
        <w:t>Localio</w:t>
      </w:r>
      <w:proofErr w:type="spellEnd"/>
      <w:r>
        <w:rPr>
          <w:rFonts w:ascii="Times New Roman" w:hAnsi="Times New Roman" w:cs="Times New Roman"/>
          <w:sz w:val="24"/>
          <w:szCs w:val="24"/>
        </w:rPr>
        <w:t xml:space="preserve">, A. Russell, Ann </w:t>
      </w:r>
      <w:proofErr w:type="spellStart"/>
      <w:r>
        <w:rPr>
          <w:rFonts w:ascii="Times New Roman" w:hAnsi="Times New Roman" w:cs="Times New Roman"/>
          <w:sz w:val="24"/>
          <w:szCs w:val="24"/>
        </w:rPr>
        <w:t>Lawthers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Troyen</w:t>
      </w:r>
      <w:proofErr w:type="spellEnd"/>
      <w:r>
        <w:rPr>
          <w:rFonts w:ascii="Times New Roman" w:hAnsi="Times New Roman" w:cs="Times New Roman"/>
          <w:sz w:val="24"/>
          <w:szCs w:val="24"/>
        </w:rPr>
        <w:t xml:space="preserve"> Brennan, Nan Laird, </w:t>
      </w:r>
      <w:proofErr w:type="spellStart"/>
      <w:r>
        <w:rPr>
          <w:rFonts w:ascii="Times New Roman" w:hAnsi="Times New Roman" w:cs="Times New Roman"/>
          <w:sz w:val="24"/>
          <w:szCs w:val="24"/>
        </w:rPr>
        <w:t>Liesi</w:t>
      </w:r>
      <w:proofErr w:type="spellEnd"/>
      <w:r>
        <w:rPr>
          <w:rFonts w:ascii="Times New Roman" w:hAnsi="Times New Roman" w:cs="Times New Roman"/>
          <w:sz w:val="24"/>
          <w:szCs w:val="24"/>
        </w:rPr>
        <w:t xml:space="preserve"> Hebert, Lynn Peterson, Joseph Newhouse, Paul </w:t>
      </w:r>
      <w:proofErr w:type="spellStart"/>
      <w:r>
        <w:rPr>
          <w:rFonts w:ascii="Times New Roman" w:hAnsi="Times New Roman" w:cs="Times New Roman"/>
          <w:sz w:val="24"/>
          <w:szCs w:val="24"/>
        </w:rPr>
        <w:t>Weiler</w:t>
      </w:r>
      <w:proofErr w:type="spellEnd"/>
      <w:r>
        <w:rPr>
          <w:rFonts w:ascii="Times New Roman" w:hAnsi="Times New Roman" w:cs="Times New Roman"/>
          <w:sz w:val="24"/>
          <w:szCs w:val="24"/>
        </w:rPr>
        <w:t xml:space="preserve">, and Howard Hiatt. 1991.  Relation between malpractice claims and adverse events due to negligence: results of the Harvard Medical Practice Study III.  </w:t>
      </w:r>
      <w:proofErr w:type="gramStart"/>
      <w:r>
        <w:rPr>
          <w:rFonts w:ascii="Times New Roman" w:hAnsi="Times New Roman" w:cs="Times New Roman"/>
          <w:sz w:val="24"/>
          <w:szCs w:val="24"/>
        </w:rPr>
        <w:t>New England Journal of Medicine 325, 245-51.</w:t>
      </w:r>
      <w:proofErr w:type="gramEnd"/>
    </w:p>
    <w:p w:rsidR="00CD22AB" w:rsidRDefault="00CD22AB" w:rsidP="00CD22AB">
      <w:pPr>
        <w:rPr>
          <w:rFonts w:ascii="Times New Roman" w:hAnsi="Times New Roman" w:cs="Times New Roman"/>
          <w:sz w:val="24"/>
          <w:szCs w:val="24"/>
        </w:rPr>
      </w:pPr>
      <w:proofErr w:type="spellStart"/>
      <w:proofErr w:type="gramStart"/>
      <w:r>
        <w:rPr>
          <w:rFonts w:ascii="Times New Roman" w:hAnsi="Times New Roman" w:cs="Times New Roman"/>
          <w:sz w:val="24"/>
          <w:szCs w:val="24"/>
        </w:rPr>
        <w:t>Malani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Anup</w:t>
      </w:r>
      <w:proofErr w:type="spellEnd"/>
      <w:r>
        <w:rPr>
          <w:rFonts w:ascii="Times New Roman" w:hAnsi="Times New Roman" w:cs="Times New Roman"/>
          <w:sz w:val="24"/>
          <w:szCs w:val="24"/>
        </w:rPr>
        <w:t xml:space="preserve">, and Julian </w:t>
      </w:r>
      <w:proofErr w:type="spellStart"/>
      <w:r>
        <w:rPr>
          <w:rFonts w:ascii="Times New Roman" w:hAnsi="Times New Roman" w:cs="Times New Roman"/>
          <w:sz w:val="24"/>
          <w:szCs w:val="24"/>
        </w:rPr>
        <w:t>Reif</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Accounting for Anticipation Effects: An Application to Medical Malpractice Tort Reform.  NBER Working Paper No. 16593.</w:t>
      </w:r>
    </w:p>
    <w:p w:rsidR="00CD22AB" w:rsidRDefault="00CD22AB" w:rsidP="00CD22AB">
      <w:pPr>
        <w:rPr>
          <w:rFonts w:ascii="Times New Roman" w:hAnsi="Times New Roman" w:cs="Times New Roman"/>
          <w:sz w:val="24"/>
          <w:szCs w:val="24"/>
        </w:rPr>
      </w:pPr>
      <w:r>
        <w:rPr>
          <w:rFonts w:ascii="Times New Roman" w:hAnsi="Times New Roman" w:cs="Times New Roman"/>
          <w:sz w:val="24"/>
          <w:szCs w:val="24"/>
        </w:rPr>
        <w:t xml:space="preserve">Peters, Phillip.  2008.  Resuscitating Hospital Enterprise Liability.  </w:t>
      </w:r>
      <w:proofErr w:type="gramStart"/>
      <w:r>
        <w:rPr>
          <w:rFonts w:ascii="Times New Roman" w:hAnsi="Times New Roman" w:cs="Times New Roman"/>
          <w:sz w:val="24"/>
          <w:szCs w:val="24"/>
        </w:rPr>
        <w:t>73 Missouri Law Review 369, 369-97.</w:t>
      </w:r>
      <w:proofErr w:type="gramEnd"/>
    </w:p>
    <w:p w:rsidR="00CD22AB" w:rsidRDefault="00CD22AB" w:rsidP="00CD22AB">
      <w:pPr>
        <w:rPr>
          <w:rFonts w:ascii="Times New Roman" w:hAnsi="Times New Roman" w:cs="Times New Roman"/>
          <w:sz w:val="24"/>
          <w:szCs w:val="24"/>
        </w:rPr>
      </w:pPr>
      <w:proofErr w:type="spellStart"/>
      <w:r>
        <w:rPr>
          <w:rFonts w:ascii="Times New Roman" w:hAnsi="Times New Roman" w:cs="Times New Roman"/>
          <w:sz w:val="24"/>
          <w:szCs w:val="24"/>
        </w:rPr>
        <w:t>Studdert</w:t>
      </w:r>
      <w:proofErr w:type="spellEnd"/>
      <w:r>
        <w:rPr>
          <w:rFonts w:ascii="Times New Roman" w:hAnsi="Times New Roman" w:cs="Times New Roman"/>
          <w:sz w:val="24"/>
          <w:szCs w:val="24"/>
        </w:rPr>
        <w:t xml:space="preserve">, David M., Michelle M. Mello, </w:t>
      </w:r>
      <w:proofErr w:type="spellStart"/>
      <w:r>
        <w:rPr>
          <w:rFonts w:ascii="Times New Roman" w:hAnsi="Times New Roman" w:cs="Times New Roman"/>
          <w:sz w:val="24"/>
          <w:szCs w:val="24"/>
        </w:rPr>
        <w:t>Atul</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Gawande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Tejal</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Ghandi</w:t>
      </w:r>
      <w:proofErr w:type="spellEnd"/>
      <w:r>
        <w:rPr>
          <w:rFonts w:ascii="Times New Roman" w:hAnsi="Times New Roman" w:cs="Times New Roman"/>
          <w:sz w:val="24"/>
          <w:szCs w:val="24"/>
        </w:rPr>
        <w:t xml:space="preserve">, Allen </w:t>
      </w:r>
      <w:proofErr w:type="spellStart"/>
      <w:r>
        <w:rPr>
          <w:rFonts w:ascii="Times New Roman" w:hAnsi="Times New Roman" w:cs="Times New Roman"/>
          <w:sz w:val="24"/>
          <w:szCs w:val="24"/>
        </w:rPr>
        <w:t>Kachalia</w:t>
      </w:r>
      <w:proofErr w:type="spellEnd"/>
      <w:r>
        <w:rPr>
          <w:rFonts w:ascii="Times New Roman" w:hAnsi="Times New Roman" w:cs="Times New Roman"/>
          <w:sz w:val="24"/>
          <w:szCs w:val="24"/>
        </w:rPr>
        <w:t xml:space="preserve">, Catherine Yoon, Ann Louise </w:t>
      </w:r>
      <w:proofErr w:type="spellStart"/>
      <w:r>
        <w:rPr>
          <w:rFonts w:ascii="Times New Roman" w:hAnsi="Times New Roman" w:cs="Times New Roman"/>
          <w:sz w:val="24"/>
          <w:szCs w:val="24"/>
        </w:rPr>
        <w:t>Puopolo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Troyen</w:t>
      </w:r>
      <w:proofErr w:type="spellEnd"/>
      <w:r>
        <w:rPr>
          <w:rFonts w:ascii="Times New Roman" w:hAnsi="Times New Roman" w:cs="Times New Roman"/>
          <w:sz w:val="24"/>
          <w:szCs w:val="24"/>
        </w:rPr>
        <w:t xml:space="preserve"> A. Brennan.  2006.  Claims, Errors, and Compensation Payments in Medical Malpractice Litigation.  New England Journal of Medicine 354, 2024-2033.    </w:t>
      </w:r>
    </w:p>
    <w:p w:rsidR="00CD22AB" w:rsidRDefault="00CD22AB" w:rsidP="00CD22AB">
      <w:pPr>
        <w:rPr>
          <w:rFonts w:ascii="Times New Roman" w:hAnsi="Times New Roman" w:cs="Times New Roman"/>
          <w:sz w:val="24"/>
          <w:szCs w:val="24"/>
        </w:rPr>
      </w:pPr>
      <w:proofErr w:type="spellStart"/>
      <w:proofErr w:type="gramStart"/>
      <w:r>
        <w:rPr>
          <w:rFonts w:ascii="Times New Roman" w:hAnsi="Times New Roman" w:cs="Times New Roman"/>
          <w:sz w:val="24"/>
          <w:szCs w:val="24"/>
        </w:rPr>
        <w:t>Weissman</w:t>
      </w:r>
      <w:proofErr w:type="spellEnd"/>
      <w:r>
        <w:rPr>
          <w:rFonts w:ascii="Times New Roman" w:hAnsi="Times New Roman" w:cs="Times New Roman"/>
          <w:sz w:val="24"/>
          <w:szCs w:val="24"/>
        </w:rPr>
        <w:t xml:space="preserve">, Joel S., Constantine </w:t>
      </w:r>
      <w:proofErr w:type="spellStart"/>
      <w:r>
        <w:rPr>
          <w:rFonts w:ascii="Times New Roman" w:hAnsi="Times New Roman" w:cs="Times New Roman"/>
          <w:sz w:val="24"/>
          <w:szCs w:val="24"/>
        </w:rPr>
        <w:t>Gatsonis</w:t>
      </w:r>
      <w:proofErr w:type="spellEnd"/>
      <w:r>
        <w:rPr>
          <w:rFonts w:ascii="Times New Roman" w:hAnsi="Times New Roman" w:cs="Times New Roman"/>
          <w:sz w:val="24"/>
          <w:szCs w:val="24"/>
        </w:rPr>
        <w:t>, and Arnold Epstein.</w:t>
      </w:r>
      <w:proofErr w:type="gramEnd"/>
      <w:r>
        <w:rPr>
          <w:rFonts w:ascii="Times New Roman" w:hAnsi="Times New Roman" w:cs="Times New Roman"/>
          <w:sz w:val="24"/>
          <w:szCs w:val="24"/>
        </w:rPr>
        <w:t xml:space="preserve">  1992.  Rates of Avoidable Hospitalization by Insurance Status in Massachusetts and Maryland.  </w:t>
      </w:r>
      <w:proofErr w:type="gramStart"/>
      <w:r>
        <w:rPr>
          <w:rFonts w:ascii="Times New Roman" w:hAnsi="Times New Roman" w:cs="Times New Roman"/>
          <w:sz w:val="24"/>
          <w:szCs w:val="24"/>
        </w:rPr>
        <w:t>JAMA 268, 2388-2394.</w:t>
      </w:r>
      <w:proofErr w:type="gramEnd"/>
      <w:r>
        <w:rPr>
          <w:rFonts w:ascii="Times New Roman" w:hAnsi="Times New Roman" w:cs="Times New Roman"/>
          <w:sz w:val="24"/>
          <w:szCs w:val="24"/>
        </w:rPr>
        <w:t xml:space="preserve"> </w:t>
      </w:r>
    </w:p>
    <w:p w:rsidR="00CD22AB" w:rsidRDefault="00CD22AB" w:rsidP="00CD22AB">
      <w:pPr>
        <w:rPr>
          <w:rFonts w:ascii="Times New Roman" w:hAnsi="Times New Roman" w:cs="Times New Roman"/>
          <w:sz w:val="24"/>
          <w:szCs w:val="24"/>
        </w:rPr>
      </w:pPr>
      <w:proofErr w:type="spellStart"/>
      <w:proofErr w:type="gramStart"/>
      <w:r>
        <w:rPr>
          <w:rFonts w:ascii="Times New Roman" w:hAnsi="Times New Roman" w:cs="Times New Roman"/>
          <w:sz w:val="24"/>
          <w:szCs w:val="24"/>
        </w:rPr>
        <w:t>Zeiler</w:t>
      </w:r>
      <w:proofErr w:type="spellEnd"/>
      <w:r>
        <w:rPr>
          <w:rFonts w:ascii="Times New Roman" w:hAnsi="Times New Roman" w:cs="Times New Roman"/>
          <w:sz w:val="24"/>
          <w:szCs w:val="24"/>
        </w:rPr>
        <w:t>, Kathryn, Charles Silver, Bernard Black, David Hyman, and William Sage.</w:t>
      </w:r>
      <w:proofErr w:type="gramEnd"/>
      <w:r>
        <w:rPr>
          <w:rFonts w:ascii="Times New Roman" w:hAnsi="Times New Roman" w:cs="Times New Roman"/>
          <w:sz w:val="24"/>
          <w:szCs w:val="24"/>
        </w:rPr>
        <w:t xml:space="preserve">  2007.  Physicians' Insurance Limits and Malpractice Payments: Evidence from Texas Closed Claims, 1990-2003.  </w:t>
      </w:r>
      <w:proofErr w:type="gramStart"/>
      <w:r>
        <w:rPr>
          <w:rFonts w:ascii="Times New Roman" w:hAnsi="Times New Roman" w:cs="Times New Roman"/>
          <w:sz w:val="24"/>
          <w:szCs w:val="24"/>
        </w:rPr>
        <w:t>Journal of Legal Studies 36, S9-S45.</w:t>
      </w:r>
      <w:proofErr w:type="gramEnd"/>
      <w:r>
        <w:rPr>
          <w:rFonts w:ascii="Times New Roman" w:hAnsi="Times New Roman" w:cs="Times New Roman"/>
          <w:sz w:val="24"/>
          <w:szCs w:val="24"/>
        </w:rPr>
        <w:t xml:space="preserve"> </w:t>
      </w:r>
    </w:p>
    <w:p w:rsidR="007A7334" w:rsidRDefault="007A7334" w:rsidP="002F694C">
      <w:pPr>
        <w:rPr>
          <w:rFonts w:ascii="Times New Roman" w:hAnsi="Times New Roman" w:cs="Times New Roman"/>
          <w:sz w:val="24"/>
          <w:szCs w:val="24"/>
        </w:rPr>
      </w:pPr>
    </w:p>
    <w:p w:rsidR="00CD22AB" w:rsidRDefault="00CD22AB" w:rsidP="002F694C">
      <w:pPr>
        <w:rPr>
          <w:rFonts w:ascii="Times New Roman" w:hAnsi="Times New Roman" w:cs="Times New Roman"/>
          <w:sz w:val="24"/>
          <w:szCs w:val="24"/>
        </w:rPr>
      </w:pPr>
    </w:p>
    <w:p w:rsidR="00CD22AB" w:rsidRPr="004E331B" w:rsidRDefault="00CD22AB" w:rsidP="002F694C">
      <w:pPr>
        <w:rPr>
          <w:rFonts w:ascii="Times New Roman" w:hAnsi="Times New Roman" w:cs="Times New Roman"/>
          <w:sz w:val="24"/>
          <w:szCs w:val="24"/>
        </w:rPr>
      </w:pPr>
    </w:p>
    <w:sectPr w:rsidR="00CD22AB" w:rsidRPr="004E331B" w:rsidSect="002C3FA0">
      <w:footerReference w:type="default" r:id="rId14"/>
      <w:footnotePr>
        <w:numRestart w:val="eachSec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481" w:rsidRDefault="002B5481" w:rsidP="00972B42">
      <w:pPr>
        <w:spacing w:after="0" w:line="240" w:lineRule="auto"/>
      </w:pPr>
      <w:r>
        <w:separator/>
      </w:r>
    </w:p>
  </w:endnote>
  <w:endnote w:type="continuationSeparator" w:id="0">
    <w:p w:rsidR="002B5481" w:rsidRDefault="002B5481" w:rsidP="00972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TimesLTStd-Roman">
    <w:altName w:val="Times LT Std"/>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088928"/>
      <w:docPartObj>
        <w:docPartGallery w:val="Page Numbers (Bottom of Page)"/>
        <w:docPartUnique/>
      </w:docPartObj>
    </w:sdtPr>
    <w:sdtEndPr>
      <w:rPr>
        <w:noProof/>
      </w:rPr>
    </w:sdtEndPr>
    <w:sdtContent>
      <w:p w:rsidR="00B07608" w:rsidRDefault="00B07608">
        <w:pPr>
          <w:pStyle w:val="Footer"/>
          <w:jc w:val="center"/>
        </w:pPr>
        <w:r>
          <w:fldChar w:fldCharType="begin"/>
        </w:r>
        <w:r>
          <w:instrText xml:space="preserve"> PAGE   \* MERGEFORMAT </w:instrText>
        </w:r>
        <w:r>
          <w:fldChar w:fldCharType="separate"/>
        </w:r>
        <w:r w:rsidR="00CD22AB">
          <w:rPr>
            <w:noProof/>
          </w:rPr>
          <w:t>1</w:t>
        </w:r>
        <w:r>
          <w:rPr>
            <w:noProof/>
          </w:rPr>
          <w:fldChar w:fldCharType="end"/>
        </w:r>
      </w:p>
    </w:sdtContent>
  </w:sdt>
  <w:p w:rsidR="00B07608" w:rsidRDefault="00B07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481" w:rsidRDefault="002B5481" w:rsidP="00972B42">
      <w:pPr>
        <w:spacing w:after="0" w:line="240" w:lineRule="auto"/>
      </w:pPr>
      <w:r>
        <w:separator/>
      </w:r>
    </w:p>
  </w:footnote>
  <w:footnote w:type="continuationSeparator" w:id="0">
    <w:p w:rsidR="002B5481" w:rsidRDefault="002B5481" w:rsidP="00972B42">
      <w:pPr>
        <w:spacing w:after="0" w:line="240" w:lineRule="auto"/>
      </w:pPr>
      <w:r>
        <w:continuationSeparator/>
      </w:r>
    </w:p>
  </w:footnote>
  <w:footnote w:id="1">
    <w:p w:rsidR="00B15D4B" w:rsidRDefault="00B15D4B" w:rsidP="00B15D4B">
      <w:pPr>
        <w:pStyle w:val="FootnoteText"/>
        <w:jc w:val="both"/>
      </w:pPr>
      <w:r>
        <w:rPr>
          <w:rStyle w:val="FootnoteReference"/>
        </w:rPr>
        <w:footnoteRef/>
      </w:r>
      <w:r>
        <w:t xml:space="preserve"> </w:t>
      </w:r>
      <w:r w:rsidRPr="00FE60D7">
        <w:rPr>
          <w:rFonts w:ascii="Times New Roman" w:hAnsi="Times New Roman" w:cs="Times New Roman"/>
        </w:rPr>
        <w:t>In some instances, this knowledge may come through word-of-mouth among physicians following the outcomes of relevant malpractice proceedings or it may come through communications with their insurance providers.  However, it is unclear whether this information comes at a level fine enough to influence clinical decisions.</w:t>
      </w:r>
    </w:p>
  </w:footnote>
  <w:footnote w:id="2">
    <w:p w:rsidR="00B15D4B" w:rsidRDefault="00B15D4B" w:rsidP="00B15D4B">
      <w:pPr>
        <w:pStyle w:val="FootnoteText"/>
        <w:jc w:val="both"/>
      </w:pPr>
      <w:r>
        <w:rPr>
          <w:rStyle w:val="FootnoteReference"/>
        </w:rPr>
        <w:footnoteRef/>
      </w:r>
      <w:r>
        <w:t xml:space="preserve"> </w:t>
      </w:r>
      <w:r w:rsidRPr="00435758">
        <w:rPr>
          <w:rFonts w:ascii="Times New Roman" w:hAnsi="Times New Roman" w:cs="Times New Roman"/>
        </w:rPr>
        <w:t>When negligently harmed patients do file claims, the evidence suggests that the expected damage awards are considerable (</w:t>
      </w:r>
      <w:proofErr w:type="spellStart"/>
      <w:r w:rsidRPr="00435758">
        <w:rPr>
          <w:rFonts w:ascii="Times New Roman" w:hAnsi="Times New Roman" w:cs="Times New Roman"/>
        </w:rPr>
        <w:t>Studdert</w:t>
      </w:r>
      <w:proofErr w:type="spellEnd"/>
      <w:r w:rsidRPr="00435758">
        <w:rPr>
          <w:rFonts w:ascii="Times New Roman" w:hAnsi="Times New Roman" w:cs="Times New Roman"/>
        </w:rPr>
        <w:t xml:space="preserve"> et al. 2006).  Of course, compensatory awards are generally not scaled upwards to account for the low percentage of claiming by those harmed by negligence.     </w:t>
      </w:r>
    </w:p>
  </w:footnote>
  <w:footnote w:id="3">
    <w:p w:rsidR="00B15D4B" w:rsidRDefault="00B15D4B" w:rsidP="00B15D4B">
      <w:pPr>
        <w:pStyle w:val="FootnoteText"/>
        <w:jc w:val="both"/>
      </w:pPr>
      <w:r>
        <w:rPr>
          <w:rStyle w:val="FootnoteReference"/>
        </w:rPr>
        <w:footnoteRef/>
      </w:r>
      <w:r>
        <w:t xml:space="preserve"> </w:t>
      </w:r>
      <w:r w:rsidRPr="00663FF6">
        <w:rPr>
          <w:rFonts w:ascii="Times New Roman" w:hAnsi="Times New Roman" w:cs="Times New Roman"/>
        </w:rPr>
        <w:t>Noise in this targeting process may stem from the nature of the litigation process itself.  The operable standards of care in a given malpractice action are generally determined by a jury following the presentation of relevant testimony by litigant-selected expert witnesses.  The case-by-case outcomes resulting from this “battle of the experts” may be relatively noisy in practice.  In the face of an indeterminate and uncertain standard-setting process, physicians may be left with little guidance as to how to coordinate their prospective clinical behaviors in order to comply with the law.</w:t>
      </w:r>
    </w:p>
  </w:footnote>
  <w:footnote w:id="4">
    <w:p w:rsidR="00B15D4B" w:rsidRPr="00D37636" w:rsidRDefault="00B15D4B" w:rsidP="00B15D4B">
      <w:pPr>
        <w:pStyle w:val="FootnoteText"/>
        <w:jc w:val="both"/>
        <w:rPr>
          <w:rFonts w:ascii="Times New Roman" w:hAnsi="Times New Roman" w:cs="Times New Roman"/>
        </w:rPr>
      </w:pPr>
      <w:r w:rsidRPr="00D37636">
        <w:rPr>
          <w:rStyle w:val="FootnoteReference"/>
          <w:rFonts w:ascii="Times New Roman" w:hAnsi="Times New Roman" w:cs="Times New Roman"/>
        </w:rPr>
        <w:footnoteRef/>
      </w:r>
      <w:r w:rsidRPr="00D37636">
        <w:rPr>
          <w:rFonts w:ascii="Times New Roman" w:hAnsi="Times New Roman" w:cs="Times New Roman"/>
        </w:rPr>
        <w:t xml:space="preserve"> </w:t>
      </w:r>
      <w:proofErr w:type="spellStart"/>
      <w:r>
        <w:rPr>
          <w:rFonts w:ascii="Times New Roman" w:hAnsi="Times New Roman" w:cs="Times New Roman"/>
        </w:rPr>
        <w:t>Studdert</w:t>
      </w:r>
      <w:proofErr w:type="spellEnd"/>
      <w:r>
        <w:rPr>
          <w:rFonts w:ascii="Times New Roman" w:hAnsi="Times New Roman" w:cs="Times New Roman"/>
        </w:rPr>
        <w:t xml:space="preserve"> et al. (2006) report this figure in surveying these earlier studies.  </w:t>
      </w:r>
      <w:proofErr w:type="spellStart"/>
      <w:r w:rsidRPr="00D37636">
        <w:rPr>
          <w:rFonts w:ascii="Times New Roman" w:hAnsi="Times New Roman" w:cs="Times New Roman"/>
        </w:rPr>
        <w:t>Studdert</w:t>
      </w:r>
      <w:proofErr w:type="spellEnd"/>
      <w:r w:rsidRPr="00D37636">
        <w:rPr>
          <w:rFonts w:ascii="Times New Roman" w:hAnsi="Times New Roman" w:cs="Times New Roman"/>
        </w:rPr>
        <w:t xml:space="preserve"> et al.</w:t>
      </w:r>
      <w:r>
        <w:rPr>
          <w:rFonts w:ascii="Times New Roman" w:hAnsi="Times New Roman" w:cs="Times New Roman"/>
        </w:rPr>
        <w:t xml:space="preserve"> </w:t>
      </w:r>
      <w:r w:rsidRPr="00D37636">
        <w:rPr>
          <w:rFonts w:ascii="Times New Roman" w:hAnsi="Times New Roman" w:cs="Times New Roman"/>
        </w:rPr>
        <w:t xml:space="preserve">contend that </w:t>
      </w:r>
      <w:r>
        <w:rPr>
          <w:rFonts w:ascii="Times New Roman" w:hAnsi="Times New Roman" w:cs="Times New Roman"/>
        </w:rPr>
        <w:t xml:space="preserve">these early </w:t>
      </w:r>
      <w:r w:rsidRPr="00D37636">
        <w:rPr>
          <w:rFonts w:ascii="Times New Roman" w:hAnsi="Times New Roman" w:cs="Times New Roman"/>
        </w:rPr>
        <w:t xml:space="preserve">studies suffered from various limitations, including </w:t>
      </w:r>
      <w:proofErr w:type="gramStart"/>
      <w:r w:rsidRPr="00D37636">
        <w:rPr>
          <w:rFonts w:ascii="Times New Roman" w:hAnsi="Times New Roman" w:cs="Times New Roman"/>
        </w:rPr>
        <w:t>a reliance</w:t>
      </w:r>
      <w:proofErr w:type="gramEnd"/>
      <w:r w:rsidRPr="00D37636">
        <w:rPr>
          <w:rFonts w:ascii="Times New Roman" w:hAnsi="Times New Roman" w:cs="Times New Roman"/>
        </w:rPr>
        <w:t xml:space="preserve"> upon the insurer’s assessment of claim validity.  In their own investigation into this question, </w:t>
      </w:r>
      <w:proofErr w:type="spellStart"/>
      <w:r w:rsidRPr="00D37636">
        <w:rPr>
          <w:rFonts w:ascii="Times New Roman" w:hAnsi="Times New Roman" w:cs="Times New Roman"/>
        </w:rPr>
        <w:t>Studdert</w:t>
      </w:r>
      <w:proofErr w:type="spellEnd"/>
      <w:r w:rsidRPr="00D37636">
        <w:rPr>
          <w:rFonts w:ascii="Times New Roman" w:hAnsi="Times New Roman" w:cs="Times New Roman"/>
        </w:rPr>
        <w:t xml:space="preserve"> et al. instead rely upon the assessment of independent experts, who were assigned to review the medical records associated with 1452 closed malpractice claims.  </w:t>
      </w:r>
    </w:p>
  </w:footnote>
  <w:footnote w:id="5">
    <w:p w:rsidR="00B15D4B" w:rsidRPr="00C41944" w:rsidRDefault="00B15D4B" w:rsidP="00B15D4B">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Subject to certain exceptions, payments made on behalf of physicians to settle claims or to satisfy judgments must, under federal law, be registered in the National Practitioner </w:t>
      </w:r>
      <w:r w:rsidRPr="00C41944">
        <w:rPr>
          <w:rFonts w:ascii="Times New Roman" w:hAnsi="Times New Roman" w:cs="Times New Roman"/>
        </w:rPr>
        <w:t>Data Bank</w:t>
      </w:r>
      <w:r>
        <w:rPr>
          <w:rFonts w:ascii="Times New Roman" w:hAnsi="Times New Roman" w:cs="Times New Roman"/>
        </w:rPr>
        <w:t xml:space="preserve"> (NPDB), an electronic repository which is made available to hospitals and certain other health care entities.  The NPDB </w:t>
      </w:r>
      <w:r w:rsidRPr="00C41944">
        <w:rPr>
          <w:rFonts w:ascii="Times New Roman" w:hAnsi="Times New Roman" w:cs="Times New Roman"/>
        </w:rPr>
        <w:t>was established by the Health</w:t>
      </w:r>
      <w:r>
        <w:rPr>
          <w:rFonts w:ascii="Times New Roman" w:hAnsi="Times New Roman" w:cs="Times New Roman"/>
        </w:rPr>
        <w:t xml:space="preserve"> </w:t>
      </w:r>
      <w:r w:rsidRPr="00C41944">
        <w:rPr>
          <w:rFonts w:ascii="Times New Roman" w:hAnsi="Times New Roman" w:cs="Times New Roman"/>
        </w:rPr>
        <w:t>Care Quality Improvement Act</w:t>
      </w:r>
      <w:r>
        <w:rPr>
          <w:rFonts w:ascii="Times New Roman" w:hAnsi="Times New Roman" w:cs="Times New Roman"/>
        </w:rPr>
        <w:t xml:space="preserve"> </w:t>
      </w:r>
      <w:r w:rsidRPr="00C41944">
        <w:rPr>
          <w:rFonts w:ascii="Times New Roman" w:hAnsi="Times New Roman" w:cs="Times New Roman"/>
        </w:rPr>
        <w:t>of 1986, as amended (42 U.S.C. 11101 et</w:t>
      </w:r>
      <w:r>
        <w:rPr>
          <w:rFonts w:ascii="Times New Roman" w:hAnsi="Times New Roman" w:cs="Times New Roman"/>
        </w:rPr>
        <w:t xml:space="preserve"> </w:t>
      </w:r>
      <w:r w:rsidRPr="00C41944">
        <w:rPr>
          <w:rFonts w:ascii="Times New Roman" w:hAnsi="Times New Roman" w:cs="Times New Roman"/>
        </w:rPr>
        <w:t>seq.).</w:t>
      </w:r>
      <w:r>
        <w:rPr>
          <w:rFonts w:ascii="Times New Roman" w:hAnsi="Times New Roman" w:cs="Times New Roman"/>
        </w:rPr>
        <w:t xml:space="preserve">  This repository may reinforce any reputational consequences of malpractice liability.</w:t>
      </w:r>
    </w:p>
  </w:footnote>
  <w:footnote w:id="6">
    <w:p w:rsidR="00B15D4B" w:rsidRDefault="00B15D4B" w:rsidP="00B15D4B">
      <w:pPr>
        <w:pStyle w:val="FootnoteText"/>
      </w:pPr>
      <w:r>
        <w:rPr>
          <w:rStyle w:val="FootnoteReference"/>
        </w:rPr>
        <w:footnoteRef/>
      </w:r>
      <w:r>
        <w:t xml:space="preserve"> For a general discussion of these matters and of the potentially greater role for systems-based initiatives, see Peters (2008).  </w:t>
      </w:r>
    </w:p>
  </w:footnote>
  <w:footnote w:id="7">
    <w:p w:rsidR="00B07608" w:rsidRPr="000F63A6" w:rsidRDefault="00B07608" w:rsidP="00BD4819">
      <w:pPr>
        <w:pStyle w:val="FootnoteText"/>
        <w:rPr>
          <w:rFonts w:ascii="Times New Roman" w:hAnsi="Times New Roman" w:cs="Times New Roman"/>
        </w:rPr>
      </w:pPr>
      <w:r>
        <w:rPr>
          <w:rStyle w:val="FootnoteReference"/>
        </w:rPr>
        <w:footnoteRef/>
      </w:r>
      <w:r>
        <w:t xml:space="preserve"> </w:t>
      </w:r>
      <w:r w:rsidRPr="000F63A6">
        <w:rPr>
          <w:rFonts w:ascii="Times New Roman" w:hAnsi="Times New Roman" w:cs="Times New Roman"/>
        </w:rPr>
        <w:t>See http://www.qualityindicators.ahrq.gov/Downloads/Modules/PQI/PQI%20Summary%20Report.pdf.</w:t>
      </w:r>
    </w:p>
  </w:footnote>
  <w:footnote w:id="8">
    <w:p w:rsidR="00B07608" w:rsidRDefault="00B07608" w:rsidP="00BD4819">
      <w:pPr>
        <w:pStyle w:val="FootnoteText"/>
      </w:pPr>
      <w:r w:rsidRPr="000F63A6">
        <w:rPr>
          <w:rStyle w:val="FootnoteReference"/>
          <w:rFonts w:ascii="Times New Roman" w:hAnsi="Times New Roman" w:cs="Times New Roman"/>
        </w:rPr>
        <w:footnoteRef/>
      </w:r>
      <w:r w:rsidRPr="000F63A6">
        <w:rPr>
          <w:rFonts w:ascii="Times New Roman" w:hAnsi="Times New Roman" w:cs="Times New Roman"/>
        </w:rPr>
        <w:t xml:space="preserve"> Those conditions represented in the </w:t>
      </w:r>
      <w:proofErr w:type="spellStart"/>
      <w:r w:rsidRPr="000F63A6">
        <w:rPr>
          <w:rFonts w:ascii="Times New Roman" w:hAnsi="Times New Roman" w:cs="Times New Roman"/>
        </w:rPr>
        <w:t>Weissman</w:t>
      </w:r>
      <w:proofErr w:type="spellEnd"/>
      <w:r w:rsidRPr="000F63A6">
        <w:rPr>
          <w:rFonts w:ascii="Times New Roman" w:hAnsi="Times New Roman" w:cs="Times New Roman"/>
        </w:rPr>
        <w:t xml:space="preserve"> et al. (1992) classification include: ruptured appendix, asthma, cellulitis, congestive heart failure, diabetes, gangrene, hypokalemia, </w:t>
      </w:r>
      <w:proofErr w:type="spellStart"/>
      <w:r w:rsidRPr="000F63A6">
        <w:rPr>
          <w:rFonts w:ascii="Times New Roman" w:hAnsi="Times New Roman" w:cs="Times New Roman"/>
        </w:rPr>
        <w:t>immunizable</w:t>
      </w:r>
      <w:proofErr w:type="spellEnd"/>
      <w:r w:rsidRPr="000F63A6">
        <w:rPr>
          <w:rFonts w:ascii="Times New Roman" w:hAnsi="Times New Roman" w:cs="Times New Roman"/>
        </w:rPr>
        <w:t xml:space="preserve"> conditions, malignant hypertension, pneumonia, pyelonephritis, and perforated or bleeding ulcer.</w:t>
      </w:r>
    </w:p>
  </w:footnote>
  <w:footnote w:id="9">
    <w:p w:rsidR="00B07608" w:rsidRPr="0007433D" w:rsidRDefault="00B07608" w:rsidP="00BD4819">
      <w:pPr>
        <w:pStyle w:val="FootnoteText"/>
        <w:rPr>
          <w:rFonts w:ascii="Times New Roman" w:hAnsi="Times New Roman" w:cs="Times New Roman"/>
        </w:rPr>
      </w:pPr>
      <w:r>
        <w:rPr>
          <w:rStyle w:val="FootnoteReference"/>
        </w:rPr>
        <w:footnoteRef/>
      </w:r>
      <w:r>
        <w:t xml:space="preserve"> </w:t>
      </w:r>
      <w:r w:rsidRPr="0007433D">
        <w:rPr>
          <w:rFonts w:ascii="Times New Roman" w:hAnsi="Times New Roman" w:cs="Times New Roman"/>
        </w:rPr>
        <w:t>The NHDS weights are not designed to generate representative state-specific estimates</w:t>
      </w:r>
      <w:r>
        <w:rPr>
          <w:rFonts w:ascii="Times New Roman" w:hAnsi="Times New Roman" w:cs="Times New Roman"/>
        </w:rPr>
        <w:t>.  Of course, o</w:t>
      </w:r>
      <w:r w:rsidRPr="0007433D">
        <w:rPr>
          <w:rFonts w:ascii="Times New Roman" w:hAnsi="Times New Roman" w:cs="Times New Roman"/>
        </w:rPr>
        <w:t xml:space="preserve">bserving within-state changes over time in the set of records included in the state-year cells nonetheless affords the ability to identify the intended relationships </w:t>
      </w:r>
      <w:r>
        <w:rPr>
          <w:rFonts w:ascii="Times New Roman" w:hAnsi="Times New Roman" w:cs="Times New Roman"/>
        </w:rPr>
        <w:t>(</w:t>
      </w:r>
      <w:proofErr w:type="spellStart"/>
      <w:r w:rsidRPr="0007433D">
        <w:rPr>
          <w:rFonts w:ascii="Times New Roman" w:hAnsi="Times New Roman" w:cs="Times New Roman"/>
        </w:rPr>
        <w:t>Dafny</w:t>
      </w:r>
      <w:proofErr w:type="spellEnd"/>
      <w:r w:rsidRPr="0007433D">
        <w:rPr>
          <w:rFonts w:ascii="Times New Roman" w:hAnsi="Times New Roman" w:cs="Times New Roman"/>
        </w:rPr>
        <w:t xml:space="preserve"> and Gruber 2005)</w:t>
      </w:r>
      <w:r>
        <w:rPr>
          <w:rFonts w:ascii="Times New Roman" w:hAnsi="Times New Roman" w:cs="Times New Roman"/>
        </w:rPr>
        <w:t xml:space="preserve">.  In any event, though noisier, the results of this exercise generally persist under alternative approaches that either (1) multiply observations by the NHDS sample weights and form AH rates by dividing weighted AH counts by </w:t>
      </w:r>
      <w:r w:rsidRPr="0007433D">
        <w:rPr>
          <w:rFonts w:ascii="Times New Roman" w:hAnsi="Times New Roman" w:cs="Times New Roman"/>
        </w:rPr>
        <w:t xml:space="preserve">the </w:t>
      </w:r>
      <w:r>
        <w:rPr>
          <w:rFonts w:ascii="Times New Roman" w:hAnsi="Times New Roman" w:cs="Times New Roman"/>
        </w:rPr>
        <w:t xml:space="preserve">total </w:t>
      </w:r>
      <w:r w:rsidRPr="0007433D">
        <w:rPr>
          <w:rFonts w:ascii="Times New Roman" w:hAnsi="Times New Roman" w:cs="Times New Roman"/>
        </w:rPr>
        <w:t>population of that state</w:t>
      </w:r>
      <w:r>
        <w:rPr>
          <w:rFonts w:ascii="Times New Roman" w:hAnsi="Times New Roman" w:cs="Times New Roman"/>
        </w:rPr>
        <w:t xml:space="preserve"> (yet another normalization approach), or (2) forming dependent variables based on the natural log of the state-year AH counts (i.e., under no normalization at all)</w:t>
      </w:r>
      <w:r w:rsidRPr="0007433D">
        <w:rPr>
          <w:rFonts w:ascii="Times New Roman" w:hAnsi="Times New Roman" w:cs="Times New Roman"/>
        </w:rPr>
        <w:t xml:space="preserve">.  </w:t>
      </w:r>
      <w:r>
        <w:rPr>
          <w:rFonts w:ascii="Times New Roman" w:hAnsi="Times New Roman" w:cs="Times New Roman"/>
        </w:rPr>
        <w:t xml:space="preserve">The primary approaches taken, however, soften some of the sampling variability that occurs within states over time, while normalizing by a measure that is more directly reflective of the scale of the hospital sampled.  </w:t>
      </w:r>
    </w:p>
  </w:footnote>
  <w:footnote w:id="10">
    <w:p w:rsidR="00B07608" w:rsidRDefault="00B07608" w:rsidP="00BD4819">
      <w:pPr>
        <w:pStyle w:val="FootnoteText"/>
      </w:pPr>
      <w:r>
        <w:rPr>
          <w:rStyle w:val="FootnoteReference"/>
        </w:rPr>
        <w:footnoteRef/>
      </w:r>
      <w:r>
        <w:t xml:space="preserve"> </w:t>
      </w:r>
      <w:r>
        <w:rPr>
          <w:rFonts w:ascii="Times New Roman" w:hAnsi="Times New Roman" w:cs="Times New Roman"/>
        </w:rPr>
        <w:t xml:space="preserve">See Frakes (2013) for empirical support over the contention that the incidences of these low-variation conditions are not sensitive to medical liability standards.  Note that </w:t>
      </w:r>
      <w:r w:rsidRPr="00D349D8">
        <w:rPr>
          <w:rFonts w:ascii="Times New Roman" w:hAnsi="Times New Roman" w:cs="Times New Roman"/>
        </w:rPr>
        <w:t xml:space="preserve">higher quality outpatient care may be effective at reducing some amount of hospitalizations for the above-indicated low-variation conditions, though likely to an extent less than quality care may reduce the incidence of the </w:t>
      </w:r>
      <w:proofErr w:type="spellStart"/>
      <w:r>
        <w:rPr>
          <w:rFonts w:ascii="Times New Roman" w:hAnsi="Times New Roman" w:cs="Times New Roman"/>
        </w:rPr>
        <w:t>Weissman</w:t>
      </w:r>
      <w:proofErr w:type="spellEnd"/>
      <w:r>
        <w:rPr>
          <w:rFonts w:ascii="Times New Roman" w:hAnsi="Times New Roman" w:cs="Times New Roman"/>
        </w:rPr>
        <w:t xml:space="preserve"> et al. (1992) </w:t>
      </w:r>
      <w:r w:rsidRPr="00D349D8">
        <w:rPr>
          <w:rFonts w:ascii="Times New Roman" w:hAnsi="Times New Roman" w:cs="Times New Roman"/>
        </w:rPr>
        <w:t>avoidable conditions, in which case the proposed avoidable hospitalization rate nonetheless identifies a relative quality measure.</w:t>
      </w:r>
      <w:r>
        <w:rPr>
          <w:rFonts w:ascii="Times New Roman" w:hAnsi="Times New Roman" w:cs="Times New Roman"/>
        </w:rPr>
        <w:t xml:space="preserve">     </w:t>
      </w:r>
    </w:p>
  </w:footnote>
  <w:footnote w:id="11">
    <w:p w:rsidR="00B07608" w:rsidRPr="001C69AC" w:rsidRDefault="00B07608" w:rsidP="00BD4819">
      <w:pPr>
        <w:pStyle w:val="FootnoteText"/>
        <w:rPr>
          <w:rFonts w:ascii="Times New Roman" w:hAnsi="Times New Roman" w:cs="Times New Roman"/>
        </w:rPr>
      </w:pPr>
      <w:r w:rsidRPr="001C69AC">
        <w:rPr>
          <w:rStyle w:val="FootnoteReference"/>
          <w:rFonts w:ascii="Times New Roman" w:hAnsi="Times New Roman" w:cs="Times New Roman"/>
        </w:rPr>
        <w:footnoteRef/>
      </w:r>
      <w:r w:rsidRPr="001C69AC">
        <w:rPr>
          <w:rFonts w:ascii="Times New Roman" w:hAnsi="Times New Roman" w:cs="Times New Roman"/>
        </w:rPr>
        <w:t xml:space="preserve"> For a discussion of the selection of low-discretionary hospitalization</w:t>
      </w:r>
      <w:r>
        <w:rPr>
          <w:rFonts w:ascii="Times New Roman" w:hAnsi="Times New Roman" w:cs="Times New Roman"/>
        </w:rPr>
        <w:t xml:space="preserve"> categories</w:t>
      </w:r>
      <w:r w:rsidRPr="001C69AC">
        <w:rPr>
          <w:rFonts w:ascii="Times New Roman" w:hAnsi="Times New Roman" w:cs="Times New Roman"/>
        </w:rPr>
        <w:t>, see Carter (2003).</w:t>
      </w:r>
      <w:r>
        <w:rPr>
          <w:rFonts w:ascii="Times New Roman" w:hAnsi="Times New Roman" w:cs="Times New Roman"/>
        </w:rPr>
        <w:t xml:space="preserve">  </w:t>
      </w:r>
    </w:p>
  </w:footnote>
  <w:footnote w:id="12">
    <w:p w:rsidR="00B07608" w:rsidRDefault="00B07608" w:rsidP="006E159E">
      <w:pPr>
        <w:pStyle w:val="FootnoteText"/>
      </w:pPr>
      <w:r>
        <w:rPr>
          <w:rStyle w:val="FootnoteReference"/>
        </w:rPr>
        <w:footnoteRef/>
      </w:r>
      <w:r>
        <w:t xml:space="preserve"> </w:t>
      </w:r>
      <w:r w:rsidRPr="001C77ED">
        <w:rPr>
          <w:rFonts w:ascii="Times New Roman" w:hAnsi="Times New Roman" w:cs="Times New Roman"/>
        </w:rPr>
        <w:t>For evidence of this claim, see Cohen (2005) and Hyman et al. (2009).</w:t>
      </w:r>
      <w:r>
        <w:t xml:space="preserve">  </w:t>
      </w:r>
    </w:p>
  </w:footnote>
  <w:footnote w:id="13">
    <w:p w:rsidR="00B07608" w:rsidRDefault="00B07608" w:rsidP="006E159E">
      <w:pPr>
        <w:pStyle w:val="FootnoteText"/>
      </w:pPr>
      <w:r>
        <w:rPr>
          <w:rStyle w:val="FootnoteReference"/>
        </w:rPr>
        <w:footnoteRef/>
      </w:r>
      <w:r>
        <w:t xml:space="preserve"> </w:t>
      </w:r>
      <w:r w:rsidRPr="000F63A6">
        <w:rPr>
          <w:rFonts w:ascii="Times New Roman" w:hAnsi="Times New Roman" w:cs="Times New Roman"/>
        </w:rPr>
        <w:t>The results presented below for the damage caps and collateral source rule reform coefficients are entirely robust to inclusion of a richer set of controls for each of the individual components of Kessler and McClellan's indirect reform category.</w:t>
      </w:r>
      <w:r>
        <w:t xml:space="preserve"> </w:t>
      </w:r>
    </w:p>
  </w:footnote>
  <w:footnote w:id="14">
    <w:p w:rsidR="00B07608" w:rsidRPr="0001301A" w:rsidRDefault="00B07608" w:rsidP="00D1518C">
      <w:pPr>
        <w:pStyle w:val="FootnoteText"/>
        <w:jc w:val="both"/>
        <w:rPr>
          <w:rFonts w:ascii="Times New Roman" w:hAnsi="Times New Roman" w:cs="Times New Roman"/>
        </w:rPr>
      </w:pPr>
      <w:r>
        <w:rPr>
          <w:rStyle w:val="FootnoteReference"/>
        </w:rPr>
        <w:footnoteRef/>
      </w:r>
      <w:r w:rsidRPr="0001301A">
        <w:rPr>
          <w:rFonts w:ascii="Times New Roman" w:hAnsi="Times New Roman" w:cs="Times New Roman"/>
        </w:rPr>
        <w:t xml:space="preserve"> Age-sex categories </w:t>
      </w:r>
      <w:r>
        <w:rPr>
          <w:rFonts w:ascii="Times New Roman" w:hAnsi="Times New Roman" w:cs="Times New Roman"/>
        </w:rPr>
        <w:t xml:space="preserve">for the inpatient mortality and AH specifications </w:t>
      </w:r>
      <w:r w:rsidRPr="0001301A">
        <w:rPr>
          <w:rFonts w:ascii="Times New Roman" w:hAnsi="Times New Roman" w:cs="Times New Roman"/>
        </w:rPr>
        <w:t xml:space="preserve">are as follows: male under 30, female under 30, male 30-45, female 30-45, male 45-55, female 45-55, male 55-65, female 55-65, male 65-75, female 65-75, male over 75 and female over 75.  </w:t>
      </w:r>
      <w:r>
        <w:rPr>
          <w:rFonts w:ascii="Times New Roman" w:hAnsi="Times New Roman" w:cs="Times New Roman"/>
        </w:rPr>
        <w:t xml:space="preserve">Age-sex categories for the obstetric specifications are as follows: </w:t>
      </w:r>
      <w:r w:rsidRPr="00602CE3">
        <w:rPr>
          <w:rFonts w:ascii="Times New Roman" w:hAnsi="Times New Roman" w:cs="Times New Roman"/>
        </w:rPr>
        <w:t>15-19, 20-24, 25-29, 30-34, 35-39 and 40+ years old</w:t>
      </w:r>
      <w:r>
        <w:rPr>
          <w:rFonts w:ascii="Times New Roman" w:hAnsi="Times New Roman" w:cs="Times New Roman"/>
        </w:rPr>
        <w:t xml:space="preserve">.  </w:t>
      </w:r>
    </w:p>
  </w:footnote>
  <w:footnote w:id="15">
    <w:p w:rsidR="00B07608" w:rsidRDefault="00B07608" w:rsidP="00D1518C">
      <w:pPr>
        <w:pStyle w:val="FootnoteText"/>
        <w:jc w:val="both"/>
      </w:pPr>
      <w:r w:rsidRPr="0001301A">
        <w:rPr>
          <w:rStyle w:val="FootnoteReference"/>
          <w:rFonts w:ascii="Times New Roman" w:hAnsi="Times New Roman" w:cs="Times New Roman"/>
        </w:rPr>
        <w:footnoteRef/>
      </w:r>
      <w:r w:rsidRPr="0001301A">
        <w:rPr>
          <w:rFonts w:ascii="Times New Roman" w:hAnsi="Times New Roman" w:cs="Times New Roman"/>
        </w:rPr>
        <w:t xml:space="preserve">  </w:t>
      </w:r>
      <w:r>
        <w:rPr>
          <w:rFonts w:ascii="Times New Roman" w:hAnsi="Times New Roman" w:cs="Times New Roman"/>
        </w:rPr>
        <w:t>We</w:t>
      </w:r>
      <w:r w:rsidRPr="0001301A">
        <w:rPr>
          <w:rFonts w:ascii="Times New Roman" w:hAnsi="Times New Roman" w:cs="Times New Roman"/>
        </w:rPr>
        <w:t xml:space="preserve"> form the incidences of the relevant demographic variables using the NHDS sample itself, though the results are entirely robust to alternative state-year controls based off of the Census data.  Following Frakes (201</w:t>
      </w:r>
      <w:r>
        <w:rPr>
          <w:rFonts w:ascii="Times New Roman" w:hAnsi="Times New Roman" w:cs="Times New Roman"/>
        </w:rPr>
        <w:t>3</w:t>
      </w:r>
      <w:r w:rsidRPr="0001301A">
        <w:rPr>
          <w:rFonts w:ascii="Times New Roman" w:hAnsi="Times New Roman" w:cs="Times New Roman"/>
        </w:rPr>
        <w:t xml:space="preserve">), in the </w:t>
      </w:r>
      <w:r>
        <w:rPr>
          <w:rFonts w:ascii="Times New Roman" w:hAnsi="Times New Roman" w:cs="Times New Roman"/>
        </w:rPr>
        <w:t>AH rate and mortality rate</w:t>
      </w:r>
      <w:r w:rsidRPr="0001301A">
        <w:rPr>
          <w:rFonts w:ascii="Times New Roman" w:hAnsi="Times New Roman" w:cs="Times New Roman"/>
        </w:rPr>
        <w:t xml:space="preserve"> specifications, </w:t>
      </w:r>
      <w:r>
        <w:rPr>
          <w:rFonts w:ascii="Times New Roman" w:hAnsi="Times New Roman" w:cs="Times New Roman"/>
        </w:rPr>
        <w:t>we</w:t>
      </w:r>
      <w:r w:rsidRPr="0001301A">
        <w:rPr>
          <w:rFonts w:ascii="Times New Roman" w:hAnsi="Times New Roman" w:cs="Times New Roman"/>
        </w:rPr>
        <w:t xml:space="preserve"> form the relevant incidences using the sample of discharges in which patients present themselves for acute myocardial infarction, stroke, gastro-intestinal bleeding or hip fracture.  This subsample consists of patients that will almost universally seek hospitalization upon the occurrence of the event, in which case the sample itself is generally not sensitive to the prevailing legal environment.  In any event, the results of this exercise are also robust to the formation of the demographic covariates using the entire sample of state-year NHDS discharges.</w:t>
      </w:r>
      <w:r>
        <w:rPr>
          <w:rFonts w:ascii="Times New Roman" w:hAnsi="Times New Roman" w:cs="Times New Roman"/>
        </w:rPr>
        <w:t xml:space="preserve">  In the obstetrics specifications, we form all relevant incidences using the subsample of discharges associated with deliveries.  </w:t>
      </w:r>
      <w:r w:rsidRPr="0001301A">
        <w:rPr>
          <w:rFonts w:ascii="Times New Roman" w:hAnsi="Times New Roman" w:cs="Times New Roman"/>
        </w:rPr>
        <w:t xml:space="preserve">    </w:t>
      </w:r>
    </w:p>
  </w:footnote>
  <w:footnote w:id="16">
    <w:p w:rsidR="00B07608" w:rsidRDefault="00B07608" w:rsidP="00D1518C">
      <w:pPr>
        <w:pStyle w:val="FootnoteText"/>
        <w:jc w:val="both"/>
      </w:pPr>
      <w:r>
        <w:rPr>
          <w:rStyle w:val="FootnoteReference"/>
        </w:rPr>
        <w:footnoteRef/>
      </w:r>
      <w:r>
        <w:t xml:space="preserve"> </w:t>
      </w:r>
      <w:r w:rsidRPr="006E360F">
        <w:rPr>
          <w:rFonts w:ascii="Times New Roman" w:hAnsi="Times New Roman" w:cs="Times New Roman"/>
        </w:rPr>
        <w:t xml:space="preserve">HMO penetration rates are from </w:t>
      </w:r>
      <w:proofErr w:type="spellStart"/>
      <w:r w:rsidRPr="006E360F">
        <w:rPr>
          <w:rFonts w:ascii="Times New Roman" w:hAnsi="Times New Roman" w:cs="Times New Roman"/>
        </w:rPr>
        <w:t>Interstudy</w:t>
      </w:r>
      <w:proofErr w:type="spellEnd"/>
      <w:r w:rsidRPr="006E360F">
        <w:rPr>
          <w:rFonts w:ascii="Times New Roman" w:hAnsi="Times New Roman" w:cs="Times New Roman"/>
        </w:rPr>
        <w:t xml:space="preserve"> Publications.  Household income data is </w:t>
      </w:r>
      <w:r>
        <w:rPr>
          <w:rFonts w:ascii="Times New Roman" w:hAnsi="Times New Roman" w:cs="Times New Roman"/>
        </w:rPr>
        <w:t>from the decennial Census files</w:t>
      </w:r>
      <w:r w:rsidRPr="006E360F">
        <w:rPr>
          <w:rFonts w:ascii="Times New Roman" w:hAnsi="Times New Roman" w:cs="Times New Roman"/>
        </w:rPr>
        <w:t xml:space="preserve"> and the American Community Surveys</w:t>
      </w:r>
      <w:r>
        <w:rPr>
          <w:rFonts w:ascii="Times New Roman" w:hAnsi="Times New Roman" w:cs="Times New Roman"/>
        </w:rPr>
        <w:t xml:space="preserve">.  </w:t>
      </w:r>
      <w:r w:rsidRPr="001271CD">
        <w:rPr>
          <w:rFonts w:ascii="Times New Roman" w:hAnsi="Times New Roman" w:cs="Times New Roman"/>
        </w:rPr>
        <w:t xml:space="preserve">Data on physician population counts are from the American Medical Association (AMA) administrative records and were obtained from the Area Resource File.  </w:t>
      </w:r>
    </w:p>
  </w:footnote>
  <w:footnote w:id="17">
    <w:p w:rsidR="00B07608" w:rsidRPr="007B06E4" w:rsidRDefault="00B07608" w:rsidP="007B06E4">
      <w:pPr>
        <w:pStyle w:val="FootnoteText"/>
        <w:jc w:val="both"/>
        <w:rPr>
          <w:rFonts w:ascii="Times New Roman" w:hAnsi="Times New Roman" w:cs="Times New Roman"/>
        </w:rPr>
      </w:pPr>
      <w:r>
        <w:rPr>
          <w:rStyle w:val="FootnoteReference"/>
        </w:rPr>
        <w:footnoteRef/>
      </w:r>
      <w:r>
        <w:t xml:space="preserve"> </w:t>
      </w:r>
      <w:r w:rsidRPr="007B06E4">
        <w:rPr>
          <w:rFonts w:ascii="Times New Roman" w:hAnsi="Times New Roman" w:cs="Times New Roman"/>
        </w:rPr>
        <w:t xml:space="preserve">Fertility rates are calculated according to Gruber and Owings (1996) as the number of births per population and come from the Vital Statistics </w:t>
      </w:r>
      <w:proofErr w:type="spellStart"/>
      <w:r w:rsidRPr="007B06E4">
        <w:rPr>
          <w:rFonts w:ascii="Times New Roman" w:hAnsi="Times New Roman" w:cs="Times New Roman"/>
        </w:rPr>
        <w:t>Natality</w:t>
      </w:r>
      <w:proofErr w:type="spellEnd"/>
      <w:r w:rsidRPr="007B06E4">
        <w:rPr>
          <w:rFonts w:ascii="Times New Roman" w:hAnsi="Times New Roman" w:cs="Times New Roman"/>
        </w:rPr>
        <w:t xml:space="preserve"> files (also obtained via the ARF).  </w:t>
      </w:r>
    </w:p>
    <w:p w:rsidR="00B07608" w:rsidRDefault="00B07608">
      <w:pPr>
        <w:pStyle w:val="FootnoteText"/>
      </w:pPr>
    </w:p>
  </w:footnote>
  <w:footnote w:id="18">
    <w:p w:rsidR="00B07608" w:rsidRDefault="00B07608">
      <w:pPr>
        <w:pStyle w:val="FootnoteText"/>
      </w:pPr>
      <w:r>
        <w:rPr>
          <w:rStyle w:val="FootnoteReference"/>
        </w:rPr>
        <w:footnoteRef/>
      </w:r>
      <w:r w:rsidR="00225CD0">
        <w:t xml:space="preserve"> </w:t>
      </w:r>
      <w:r>
        <w:t>Average hospital bed data was likewise obtained from the ARF.</w:t>
      </w:r>
    </w:p>
  </w:footnote>
  <w:footnote w:id="19">
    <w:p w:rsidR="00B07608" w:rsidRDefault="00B07608" w:rsidP="00BA5405">
      <w:pPr>
        <w:pStyle w:val="FootnoteText"/>
      </w:pPr>
      <w:r>
        <w:rPr>
          <w:rStyle w:val="FootnoteReference"/>
        </w:rPr>
        <w:footnoteRef/>
      </w:r>
      <w:r>
        <w:t xml:space="preserve"> </w:t>
      </w:r>
      <w:r>
        <w:rPr>
          <w:rFonts w:ascii="Times New Roman" w:hAnsi="Times New Roman" w:cs="Times New Roman"/>
          <w:sz w:val="24"/>
          <w:szCs w:val="24"/>
        </w:rPr>
        <w:t xml:space="preserve">In the below figures, time is set such that year “1” in the graph represents the time in which the national standard reform is adopted.  We do this (rather than setting it at year “0”) so that any decline in the indicator (representing an improvement in quality) observed over the first year will manifest itself as a downward slope between year 0 and year 1 in the graph, rather than year -1 and 0 if we were to set the year of reform at year 0, providing the misleading impression that the decline in the indicator emerged prior to the reform.  </w:t>
      </w:r>
      <w:r>
        <w:rPr>
          <w:rFonts w:ascii="Times New Roman" w:hAnsi="Times New Roman" w:cs="Times New Roman"/>
          <w:sz w:val="24"/>
          <w:szCs w:val="24"/>
        </w:rPr>
        <w:br w:type="page"/>
      </w:r>
    </w:p>
  </w:footnote>
  <w:footnote w:id="20">
    <w:p w:rsidR="00B07608" w:rsidRDefault="00B07608">
      <w:pPr>
        <w:pStyle w:val="FootnoteText"/>
      </w:pPr>
      <w:r>
        <w:rPr>
          <w:rStyle w:val="FootnoteReference"/>
        </w:rPr>
        <w:footnoteRef/>
      </w:r>
      <w:r>
        <w:t xml:space="preserve"> We focus here on estimating the impact of heightened liability standards as opposed to diminished standards.  Estimation of this latter type of variation in the law is also compromised by such few treatment groups.  Nonetheless, results of this alternative exercise are available upon request.  If anything, the results actually suggest that screening rates also increase slightly upon national standard adoptions in those 1-2 states that adopt such reforms when they arguably entail a slackening of standards.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548"/>
    <w:multiLevelType w:val="hybridMultilevel"/>
    <w:tmpl w:val="E508E242"/>
    <w:lvl w:ilvl="0" w:tplc="C3B4782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CE4EF5"/>
    <w:multiLevelType w:val="hybridMultilevel"/>
    <w:tmpl w:val="E508E242"/>
    <w:lvl w:ilvl="0" w:tplc="C3B4782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4C1C23"/>
    <w:multiLevelType w:val="hybridMultilevel"/>
    <w:tmpl w:val="3F7ABCBC"/>
    <w:lvl w:ilvl="0" w:tplc="2D8A4B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302C1"/>
    <w:multiLevelType w:val="hybridMultilevel"/>
    <w:tmpl w:val="25FA6D24"/>
    <w:lvl w:ilvl="0" w:tplc="E12044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D5269A"/>
    <w:multiLevelType w:val="hybridMultilevel"/>
    <w:tmpl w:val="F698D1AC"/>
    <w:lvl w:ilvl="0" w:tplc="72045E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672881"/>
    <w:multiLevelType w:val="hybridMultilevel"/>
    <w:tmpl w:val="C2CA4A24"/>
    <w:lvl w:ilvl="0" w:tplc="6FA2F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5314A82"/>
    <w:multiLevelType w:val="hybridMultilevel"/>
    <w:tmpl w:val="4984B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B41026"/>
    <w:multiLevelType w:val="multilevel"/>
    <w:tmpl w:val="8A26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654340"/>
    <w:multiLevelType w:val="hybridMultilevel"/>
    <w:tmpl w:val="55726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216748"/>
    <w:multiLevelType w:val="hybridMultilevel"/>
    <w:tmpl w:val="659C77DC"/>
    <w:lvl w:ilvl="0" w:tplc="F37C89D0">
      <w:start w:val="1"/>
      <w:numFmt w:val="decimal"/>
      <w:lvlText w:val="(%1)"/>
      <w:lvlJc w:val="left"/>
      <w:pPr>
        <w:ind w:left="1845" w:hanging="11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20E2DDC"/>
    <w:multiLevelType w:val="hybridMultilevel"/>
    <w:tmpl w:val="17E863E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39F4B42"/>
    <w:multiLevelType w:val="hybridMultilevel"/>
    <w:tmpl w:val="E508E242"/>
    <w:lvl w:ilvl="0" w:tplc="C3B478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A054C8E"/>
    <w:multiLevelType w:val="hybridMultilevel"/>
    <w:tmpl w:val="7CEE265C"/>
    <w:lvl w:ilvl="0" w:tplc="1DDCF898">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D2B7FDF"/>
    <w:multiLevelType w:val="hybridMultilevel"/>
    <w:tmpl w:val="E508E242"/>
    <w:lvl w:ilvl="0" w:tplc="C3B4782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1862F05"/>
    <w:multiLevelType w:val="hybridMultilevel"/>
    <w:tmpl w:val="2B142CCA"/>
    <w:lvl w:ilvl="0" w:tplc="24F4F98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C361A3"/>
    <w:multiLevelType w:val="hybridMultilevel"/>
    <w:tmpl w:val="1EFE4CF8"/>
    <w:lvl w:ilvl="0" w:tplc="1BE8F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8847C9"/>
    <w:multiLevelType w:val="hybridMultilevel"/>
    <w:tmpl w:val="5DC48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16"/>
  </w:num>
  <w:num w:numId="5">
    <w:abstractNumId w:val="3"/>
  </w:num>
  <w:num w:numId="6">
    <w:abstractNumId w:val="0"/>
  </w:num>
  <w:num w:numId="7">
    <w:abstractNumId w:val="11"/>
  </w:num>
  <w:num w:numId="8">
    <w:abstractNumId w:val="4"/>
  </w:num>
  <w:num w:numId="9">
    <w:abstractNumId w:val="9"/>
  </w:num>
  <w:num w:numId="10">
    <w:abstractNumId w:val="10"/>
  </w:num>
  <w:num w:numId="11">
    <w:abstractNumId w:val="7"/>
  </w:num>
  <w:num w:numId="12">
    <w:abstractNumId w:val="14"/>
  </w:num>
  <w:num w:numId="13">
    <w:abstractNumId w:val="12"/>
  </w:num>
  <w:num w:numId="14">
    <w:abstractNumId w:val="1"/>
  </w:num>
  <w:num w:numId="15">
    <w:abstractNumId w:val="13"/>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A11"/>
    <w:rsid w:val="000005BF"/>
    <w:rsid w:val="00000E3B"/>
    <w:rsid w:val="00001069"/>
    <w:rsid w:val="00001D63"/>
    <w:rsid w:val="00002D48"/>
    <w:rsid w:val="000041E7"/>
    <w:rsid w:val="000044B2"/>
    <w:rsid w:val="00004DBA"/>
    <w:rsid w:val="000053D9"/>
    <w:rsid w:val="00006938"/>
    <w:rsid w:val="00006CA2"/>
    <w:rsid w:val="00007029"/>
    <w:rsid w:val="00010744"/>
    <w:rsid w:val="000109C9"/>
    <w:rsid w:val="0001184F"/>
    <w:rsid w:val="000118AF"/>
    <w:rsid w:val="0001301A"/>
    <w:rsid w:val="0001341D"/>
    <w:rsid w:val="00013604"/>
    <w:rsid w:val="0001381F"/>
    <w:rsid w:val="0001382A"/>
    <w:rsid w:val="00013B90"/>
    <w:rsid w:val="00014031"/>
    <w:rsid w:val="00014D32"/>
    <w:rsid w:val="00014F89"/>
    <w:rsid w:val="00015364"/>
    <w:rsid w:val="00015BAA"/>
    <w:rsid w:val="00015EB0"/>
    <w:rsid w:val="00017421"/>
    <w:rsid w:val="0001748B"/>
    <w:rsid w:val="000215FF"/>
    <w:rsid w:val="00021DC3"/>
    <w:rsid w:val="000220B8"/>
    <w:rsid w:val="00022F8C"/>
    <w:rsid w:val="00023D02"/>
    <w:rsid w:val="0002436A"/>
    <w:rsid w:val="0002536A"/>
    <w:rsid w:val="000253AE"/>
    <w:rsid w:val="000258ED"/>
    <w:rsid w:val="0002590D"/>
    <w:rsid w:val="0002757C"/>
    <w:rsid w:val="00030943"/>
    <w:rsid w:val="00031C09"/>
    <w:rsid w:val="00032954"/>
    <w:rsid w:val="00032B86"/>
    <w:rsid w:val="0003350A"/>
    <w:rsid w:val="0003365A"/>
    <w:rsid w:val="00033CA5"/>
    <w:rsid w:val="0003486E"/>
    <w:rsid w:val="00034B9C"/>
    <w:rsid w:val="000373EC"/>
    <w:rsid w:val="00041672"/>
    <w:rsid w:val="0004234E"/>
    <w:rsid w:val="00042C66"/>
    <w:rsid w:val="000453E5"/>
    <w:rsid w:val="0005036D"/>
    <w:rsid w:val="000503C5"/>
    <w:rsid w:val="0005049C"/>
    <w:rsid w:val="000510A7"/>
    <w:rsid w:val="00051744"/>
    <w:rsid w:val="0005241D"/>
    <w:rsid w:val="00052A71"/>
    <w:rsid w:val="00052A7F"/>
    <w:rsid w:val="00053564"/>
    <w:rsid w:val="00053AEB"/>
    <w:rsid w:val="00054844"/>
    <w:rsid w:val="000555BC"/>
    <w:rsid w:val="00055C37"/>
    <w:rsid w:val="000571CC"/>
    <w:rsid w:val="00060024"/>
    <w:rsid w:val="000608F2"/>
    <w:rsid w:val="00060DD6"/>
    <w:rsid w:val="00061234"/>
    <w:rsid w:val="0006212F"/>
    <w:rsid w:val="00062309"/>
    <w:rsid w:val="00063EA8"/>
    <w:rsid w:val="00064754"/>
    <w:rsid w:val="00066E45"/>
    <w:rsid w:val="00071367"/>
    <w:rsid w:val="00071BA4"/>
    <w:rsid w:val="00071F2A"/>
    <w:rsid w:val="00071F6B"/>
    <w:rsid w:val="000725A2"/>
    <w:rsid w:val="00072DAE"/>
    <w:rsid w:val="0007433D"/>
    <w:rsid w:val="00074D54"/>
    <w:rsid w:val="00075002"/>
    <w:rsid w:val="0007617D"/>
    <w:rsid w:val="00076D6C"/>
    <w:rsid w:val="00077046"/>
    <w:rsid w:val="00077A20"/>
    <w:rsid w:val="00077C02"/>
    <w:rsid w:val="0008229F"/>
    <w:rsid w:val="000823AC"/>
    <w:rsid w:val="00083556"/>
    <w:rsid w:val="00084DD2"/>
    <w:rsid w:val="00086F1B"/>
    <w:rsid w:val="0009115E"/>
    <w:rsid w:val="00091180"/>
    <w:rsid w:val="0009377D"/>
    <w:rsid w:val="000939C9"/>
    <w:rsid w:val="00094C73"/>
    <w:rsid w:val="00094D2A"/>
    <w:rsid w:val="00095E68"/>
    <w:rsid w:val="00096A4B"/>
    <w:rsid w:val="00096B48"/>
    <w:rsid w:val="00096BB9"/>
    <w:rsid w:val="0009702B"/>
    <w:rsid w:val="000A072B"/>
    <w:rsid w:val="000A0888"/>
    <w:rsid w:val="000A1C9F"/>
    <w:rsid w:val="000A364F"/>
    <w:rsid w:val="000A415E"/>
    <w:rsid w:val="000A4A1C"/>
    <w:rsid w:val="000A4F13"/>
    <w:rsid w:val="000A5271"/>
    <w:rsid w:val="000A5735"/>
    <w:rsid w:val="000A6C9E"/>
    <w:rsid w:val="000A7F04"/>
    <w:rsid w:val="000B02CF"/>
    <w:rsid w:val="000B1BDA"/>
    <w:rsid w:val="000B1D2A"/>
    <w:rsid w:val="000B26AB"/>
    <w:rsid w:val="000B2ED3"/>
    <w:rsid w:val="000B32E4"/>
    <w:rsid w:val="000B3FBF"/>
    <w:rsid w:val="000B459D"/>
    <w:rsid w:val="000B5B69"/>
    <w:rsid w:val="000B5C15"/>
    <w:rsid w:val="000B5E88"/>
    <w:rsid w:val="000B7216"/>
    <w:rsid w:val="000B772D"/>
    <w:rsid w:val="000C037A"/>
    <w:rsid w:val="000C1648"/>
    <w:rsid w:val="000C1B97"/>
    <w:rsid w:val="000C35A8"/>
    <w:rsid w:val="000C37D3"/>
    <w:rsid w:val="000C3F7A"/>
    <w:rsid w:val="000C5BF9"/>
    <w:rsid w:val="000C5EFC"/>
    <w:rsid w:val="000C6C02"/>
    <w:rsid w:val="000C7BFF"/>
    <w:rsid w:val="000D0FE1"/>
    <w:rsid w:val="000D147E"/>
    <w:rsid w:val="000D30FE"/>
    <w:rsid w:val="000D4CA0"/>
    <w:rsid w:val="000D7C51"/>
    <w:rsid w:val="000E09E0"/>
    <w:rsid w:val="000E1073"/>
    <w:rsid w:val="000E1F60"/>
    <w:rsid w:val="000E2487"/>
    <w:rsid w:val="000E2782"/>
    <w:rsid w:val="000E2B92"/>
    <w:rsid w:val="000E425E"/>
    <w:rsid w:val="000E4DF7"/>
    <w:rsid w:val="000E6BE0"/>
    <w:rsid w:val="000E77F1"/>
    <w:rsid w:val="000F061F"/>
    <w:rsid w:val="000F07BC"/>
    <w:rsid w:val="000F0A16"/>
    <w:rsid w:val="000F0DCD"/>
    <w:rsid w:val="000F1D43"/>
    <w:rsid w:val="000F2F9E"/>
    <w:rsid w:val="000F3B8E"/>
    <w:rsid w:val="000F50F2"/>
    <w:rsid w:val="000F5700"/>
    <w:rsid w:val="000F5CAB"/>
    <w:rsid w:val="000F63A6"/>
    <w:rsid w:val="000F70A2"/>
    <w:rsid w:val="000F722B"/>
    <w:rsid w:val="0010109F"/>
    <w:rsid w:val="00102908"/>
    <w:rsid w:val="001030B6"/>
    <w:rsid w:val="0010348A"/>
    <w:rsid w:val="00104277"/>
    <w:rsid w:val="00104FCB"/>
    <w:rsid w:val="0010515E"/>
    <w:rsid w:val="00106E19"/>
    <w:rsid w:val="001104EB"/>
    <w:rsid w:val="001107D8"/>
    <w:rsid w:val="00111ECA"/>
    <w:rsid w:val="0011223D"/>
    <w:rsid w:val="00113CAC"/>
    <w:rsid w:val="00114DF1"/>
    <w:rsid w:val="00115F7D"/>
    <w:rsid w:val="00116135"/>
    <w:rsid w:val="001173D8"/>
    <w:rsid w:val="0012164A"/>
    <w:rsid w:val="001223E8"/>
    <w:rsid w:val="00122BFE"/>
    <w:rsid w:val="001230C2"/>
    <w:rsid w:val="00126584"/>
    <w:rsid w:val="0012698C"/>
    <w:rsid w:val="00126EF1"/>
    <w:rsid w:val="001271AF"/>
    <w:rsid w:val="001271CD"/>
    <w:rsid w:val="0012722C"/>
    <w:rsid w:val="00130142"/>
    <w:rsid w:val="001301F4"/>
    <w:rsid w:val="00130F9D"/>
    <w:rsid w:val="001327EB"/>
    <w:rsid w:val="00132D14"/>
    <w:rsid w:val="00133205"/>
    <w:rsid w:val="00134EE9"/>
    <w:rsid w:val="00135F7F"/>
    <w:rsid w:val="001361F8"/>
    <w:rsid w:val="001372C7"/>
    <w:rsid w:val="00137BF4"/>
    <w:rsid w:val="0014079A"/>
    <w:rsid w:val="00141982"/>
    <w:rsid w:val="001420BB"/>
    <w:rsid w:val="00143B97"/>
    <w:rsid w:val="00144179"/>
    <w:rsid w:val="00145338"/>
    <w:rsid w:val="001456C6"/>
    <w:rsid w:val="00146487"/>
    <w:rsid w:val="001466F9"/>
    <w:rsid w:val="00147F25"/>
    <w:rsid w:val="00150B4A"/>
    <w:rsid w:val="0015167B"/>
    <w:rsid w:val="00152C28"/>
    <w:rsid w:val="00153407"/>
    <w:rsid w:val="00153705"/>
    <w:rsid w:val="001544F6"/>
    <w:rsid w:val="00154AD4"/>
    <w:rsid w:val="00154CEC"/>
    <w:rsid w:val="00154E02"/>
    <w:rsid w:val="001565FA"/>
    <w:rsid w:val="00160039"/>
    <w:rsid w:val="00160187"/>
    <w:rsid w:val="00160327"/>
    <w:rsid w:val="00160C0E"/>
    <w:rsid w:val="00161C53"/>
    <w:rsid w:val="00163058"/>
    <w:rsid w:val="001630D4"/>
    <w:rsid w:val="00163AD6"/>
    <w:rsid w:val="00163C01"/>
    <w:rsid w:val="0016490E"/>
    <w:rsid w:val="00164CCC"/>
    <w:rsid w:val="00167B0D"/>
    <w:rsid w:val="00170A24"/>
    <w:rsid w:val="00174A38"/>
    <w:rsid w:val="00175A19"/>
    <w:rsid w:val="00182AAD"/>
    <w:rsid w:val="00182C3A"/>
    <w:rsid w:val="00184022"/>
    <w:rsid w:val="00186C21"/>
    <w:rsid w:val="00187807"/>
    <w:rsid w:val="00187C34"/>
    <w:rsid w:val="00190237"/>
    <w:rsid w:val="001918CD"/>
    <w:rsid w:val="001927BE"/>
    <w:rsid w:val="00193354"/>
    <w:rsid w:val="001936C6"/>
    <w:rsid w:val="00193FDB"/>
    <w:rsid w:val="001946F1"/>
    <w:rsid w:val="0019563E"/>
    <w:rsid w:val="00195908"/>
    <w:rsid w:val="00196385"/>
    <w:rsid w:val="0019708E"/>
    <w:rsid w:val="001A2627"/>
    <w:rsid w:val="001A29E8"/>
    <w:rsid w:val="001A3011"/>
    <w:rsid w:val="001A386D"/>
    <w:rsid w:val="001A57A6"/>
    <w:rsid w:val="001A5C6C"/>
    <w:rsid w:val="001B0D5A"/>
    <w:rsid w:val="001B0D87"/>
    <w:rsid w:val="001B0F01"/>
    <w:rsid w:val="001B0F53"/>
    <w:rsid w:val="001B1607"/>
    <w:rsid w:val="001B2B2D"/>
    <w:rsid w:val="001B4289"/>
    <w:rsid w:val="001B4614"/>
    <w:rsid w:val="001B4814"/>
    <w:rsid w:val="001B54B0"/>
    <w:rsid w:val="001B72FC"/>
    <w:rsid w:val="001B7A05"/>
    <w:rsid w:val="001C13ED"/>
    <w:rsid w:val="001C2C24"/>
    <w:rsid w:val="001C2F6F"/>
    <w:rsid w:val="001C3A41"/>
    <w:rsid w:val="001C5BEA"/>
    <w:rsid w:val="001C69AC"/>
    <w:rsid w:val="001C77ED"/>
    <w:rsid w:val="001C7C12"/>
    <w:rsid w:val="001D09C9"/>
    <w:rsid w:val="001D0BE1"/>
    <w:rsid w:val="001D22B9"/>
    <w:rsid w:val="001D28EA"/>
    <w:rsid w:val="001D3C65"/>
    <w:rsid w:val="001D46A3"/>
    <w:rsid w:val="001D5E15"/>
    <w:rsid w:val="001D615F"/>
    <w:rsid w:val="001D677E"/>
    <w:rsid w:val="001D6DBF"/>
    <w:rsid w:val="001D7E52"/>
    <w:rsid w:val="001E1A24"/>
    <w:rsid w:val="001E2ADC"/>
    <w:rsid w:val="001E53D2"/>
    <w:rsid w:val="001E5CBE"/>
    <w:rsid w:val="001E7454"/>
    <w:rsid w:val="001E7BED"/>
    <w:rsid w:val="001F166C"/>
    <w:rsid w:val="001F1D18"/>
    <w:rsid w:val="001F3949"/>
    <w:rsid w:val="001F3FF5"/>
    <w:rsid w:val="001F49F8"/>
    <w:rsid w:val="001F4AC5"/>
    <w:rsid w:val="001F5329"/>
    <w:rsid w:val="00200751"/>
    <w:rsid w:val="0020203C"/>
    <w:rsid w:val="00203661"/>
    <w:rsid w:val="00204381"/>
    <w:rsid w:val="0020448A"/>
    <w:rsid w:val="002054BA"/>
    <w:rsid w:val="00206983"/>
    <w:rsid w:val="00206D26"/>
    <w:rsid w:val="002071FB"/>
    <w:rsid w:val="002104BF"/>
    <w:rsid w:val="00211320"/>
    <w:rsid w:val="00211920"/>
    <w:rsid w:val="002127CF"/>
    <w:rsid w:val="00213013"/>
    <w:rsid w:val="0021319C"/>
    <w:rsid w:val="00213A99"/>
    <w:rsid w:val="002149E1"/>
    <w:rsid w:val="00214C90"/>
    <w:rsid w:val="00214FC5"/>
    <w:rsid w:val="00215A16"/>
    <w:rsid w:val="00216189"/>
    <w:rsid w:val="00217BA5"/>
    <w:rsid w:val="00221639"/>
    <w:rsid w:val="00222142"/>
    <w:rsid w:val="002248F5"/>
    <w:rsid w:val="00225717"/>
    <w:rsid w:val="00225888"/>
    <w:rsid w:val="00225CD0"/>
    <w:rsid w:val="00225F50"/>
    <w:rsid w:val="002263EC"/>
    <w:rsid w:val="00227C37"/>
    <w:rsid w:val="00230454"/>
    <w:rsid w:val="00231185"/>
    <w:rsid w:val="002315C3"/>
    <w:rsid w:val="00231F19"/>
    <w:rsid w:val="00233126"/>
    <w:rsid w:val="00233187"/>
    <w:rsid w:val="00234668"/>
    <w:rsid w:val="00236137"/>
    <w:rsid w:val="00240A24"/>
    <w:rsid w:val="00240E10"/>
    <w:rsid w:val="00240EBC"/>
    <w:rsid w:val="00241C9D"/>
    <w:rsid w:val="00245BD2"/>
    <w:rsid w:val="002526CD"/>
    <w:rsid w:val="00252963"/>
    <w:rsid w:val="0025325B"/>
    <w:rsid w:val="00254A23"/>
    <w:rsid w:val="00256595"/>
    <w:rsid w:val="0025720B"/>
    <w:rsid w:val="00257C5F"/>
    <w:rsid w:val="002609CA"/>
    <w:rsid w:val="00260C57"/>
    <w:rsid w:val="00260C5D"/>
    <w:rsid w:val="0026180D"/>
    <w:rsid w:val="0026199F"/>
    <w:rsid w:val="00262E8F"/>
    <w:rsid w:val="0026300A"/>
    <w:rsid w:val="00263727"/>
    <w:rsid w:val="002646A8"/>
    <w:rsid w:val="00264CF1"/>
    <w:rsid w:val="00270D23"/>
    <w:rsid w:val="0027114F"/>
    <w:rsid w:val="002722AE"/>
    <w:rsid w:val="0027244F"/>
    <w:rsid w:val="00273769"/>
    <w:rsid w:val="002738A6"/>
    <w:rsid w:val="00273D76"/>
    <w:rsid w:val="00275313"/>
    <w:rsid w:val="002756C4"/>
    <w:rsid w:val="00276084"/>
    <w:rsid w:val="00276EBF"/>
    <w:rsid w:val="00280061"/>
    <w:rsid w:val="002806BD"/>
    <w:rsid w:val="00280E8F"/>
    <w:rsid w:val="0028198D"/>
    <w:rsid w:val="002829E6"/>
    <w:rsid w:val="00283742"/>
    <w:rsid w:val="002840B5"/>
    <w:rsid w:val="002857EA"/>
    <w:rsid w:val="00286C0A"/>
    <w:rsid w:val="00286DEB"/>
    <w:rsid w:val="002879E3"/>
    <w:rsid w:val="00290151"/>
    <w:rsid w:val="002901E9"/>
    <w:rsid w:val="00292825"/>
    <w:rsid w:val="00292CD4"/>
    <w:rsid w:val="00293672"/>
    <w:rsid w:val="002938B3"/>
    <w:rsid w:val="00294C6F"/>
    <w:rsid w:val="00296D1E"/>
    <w:rsid w:val="00296DEB"/>
    <w:rsid w:val="002A0D75"/>
    <w:rsid w:val="002A1455"/>
    <w:rsid w:val="002A1522"/>
    <w:rsid w:val="002A2EE9"/>
    <w:rsid w:val="002A3973"/>
    <w:rsid w:val="002A4D4A"/>
    <w:rsid w:val="002A574A"/>
    <w:rsid w:val="002A5CD6"/>
    <w:rsid w:val="002A6360"/>
    <w:rsid w:val="002B1B54"/>
    <w:rsid w:val="002B1DBE"/>
    <w:rsid w:val="002B2DD5"/>
    <w:rsid w:val="002B33E9"/>
    <w:rsid w:val="002B3450"/>
    <w:rsid w:val="002B3AEA"/>
    <w:rsid w:val="002B3D2D"/>
    <w:rsid w:val="002B5481"/>
    <w:rsid w:val="002B682F"/>
    <w:rsid w:val="002B7310"/>
    <w:rsid w:val="002C0C96"/>
    <w:rsid w:val="002C1A40"/>
    <w:rsid w:val="002C2917"/>
    <w:rsid w:val="002C3FA0"/>
    <w:rsid w:val="002C463A"/>
    <w:rsid w:val="002C4821"/>
    <w:rsid w:val="002C5110"/>
    <w:rsid w:val="002C548D"/>
    <w:rsid w:val="002C56B7"/>
    <w:rsid w:val="002C5709"/>
    <w:rsid w:val="002C57FF"/>
    <w:rsid w:val="002C6278"/>
    <w:rsid w:val="002C7014"/>
    <w:rsid w:val="002C7342"/>
    <w:rsid w:val="002C73F9"/>
    <w:rsid w:val="002D1CDB"/>
    <w:rsid w:val="002D246E"/>
    <w:rsid w:val="002D2F6A"/>
    <w:rsid w:val="002D3F62"/>
    <w:rsid w:val="002D453E"/>
    <w:rsid w:val="002D4E59"/>
    <w:rsid w:val="002D5F3C"/>
    <w:rsid w:val="002D6182"/>
    <w:rsid w:val="002D6E5B"/>
    <w:rsid w:val="002D7350"/>
    <w:rsid w:val="002D75C5"/>
    <w:rsid w:val="002E0224"/>
    <w:rsid w:val="002E15F4"/>
    <w:rsid w:val="002E219C"/>
    <w:rsid w:val="002E2EEA"/>
    <w:rsid w:val="002E3056"/>
    <w:rsid w:val="002E667F"/>
    <w:rsid w:val="002E6C3E"/>
    <w:rsid w:val="002E78D4"/>
    <w:rsid w:val="002E7BA9"/>
    <w:rsid w:val="002F0AA8"/>
    <w:rsid w:val="002F14D5"/>
    <w:rsid w:val="002F18C1"/>
    <w:rsid w:val="002F1AF1"/>
    <w:rsid w:val="002F1F06"/>
    <w:rsid w:val="002F2B4C"/>
    <w:rsid w:val="002F396B"/>
    <w:rsid w:val="002F3F29"/>
    <w:rsid w:val="002F56AE"/>
    <w:rsid w:val="002F59F8"/>
    <w:rsid w:val="002F694C"/>
    <w:rsid w:val="00302B68"/>
    <w:rsid w:val="00303A5D"/>
    <w:rsid w:val="003041B4"/>
    <w:rsid w:val="003044D3"/>
    <w:rsid w:val="0030529C"/>
    <w:rsid w:val="00307801"/>
    <w:rsid w:val="00307DDF"/>
    <w:rsid w:val="00312BC8"/>
    <w:rsid w:val="0031351F"/>
    <w:rsid w:val="003135E6"/>
    <w:rsid w:val="00314415"/>
    <w:rsid w:val="00315378"/>
    <w:rsid w:val="00315BEF"/>
    <w:rsid w:val="00316D39"/>
    <w:rsid w:val="00317532"/>
    <w:rsid w:val="003175FC"/>
    <w:rsid w:val="00317F17"/>
    <w:rsid w:val="00321EB1"/>
    <w:rsid w:val="00321F60"/>
    <w:rsid w:val="00321F68"/>
    <w:rsid w:val="00322470"/>
    <w:rsid w:val="003241C7"/>
    <w:rsid w:val="00324C82"/>
    <w:rsid w:val="0032543C"/>
    <w:rsid w:val="003262A3"/>
    <w:rsid w:val="00330835"/>
    <w:rsid w:val="0033253C"/>
    <w:rsid w:val="003333DB"/>
    <w:rsid w:val="0033346D"/>
    <w:rsid w:val="0033523C"/>
    <w:rsid w:val="00335512"/>
    <w:rsid w:val="00335781"/>
    <w:rsid w:val="00335C17"/>
    <w:rsid w:val="00335E3D"/>
    <w:rsid w:val="0033716C"/>
    <w:rsid w:val="0034053B"/>
    <w:rsid w:val="003418B9"/>
    <w:rsid w:val="00341CB3"/>
    <w:rsid w:val="00341FD7"/>
    <w:rsid w:val="00343198"/>
    <w:rsid w:val="00343D82"/>
    <w:rsid w:val="0034518A"/>
    <w:rsid w:val="00345E58"/>
    <w:rsid w:val="00350296"/>
    <w:rsid w:val="003509D9"/>
    <w:rsid w:val="00351B94"/>
    <w:rsid w:val="00352D69"/>
    <w:rsid w:val="003536ED"/>
    <w:rsid w:val="00353979"/>
    <w:rsid w:val="00353A8B"/>
    <w:rsid w:val="003547CF"/>
    <w:rsid w:val="003556CC"/>
    <w:rsid w:val="0035688A"/>
    <w:rsid w:val="003614B9"/>
    <w:rsid w:val="0036201E"/>
    <w:rsid w:val="0036224A"/>
    <w:rsid w:val="00363827"/>
    <w:rsid w:val="00363C41"/>
    <w:rsid w:val="003648F7"/>
    <w:rsid w:val="00365129"/>
    <w:rsid w:val="00366B84"/>
    <w:rsid w:val="00366C46"/>
    <w:rsid w:val="003671D9"/>
    <w:rsid w:val="003674E4"/>
    <w:rsid w:val="003710D6"/>
    <w:rsid w:val="00371473"/>
    <w:rsid w:val="0037371C"/>
    <w:rsid w:val="00373B63"/>
    <w:rsid w:val="00374B02"/>
    <w:rsid w:val="0037619C"/>
    <w:rsid w:val="00377192"/>
    <w:rsid w:val="0037793A"/>
    <w:rsid w:val="00380011"/>
    <w:rsid w:val="003817FE"/>
    <w:rsid w:val="00382B67"/>
    <w:rsid w:val="00383623"/>
    <w:rsid w:val="00384CB3"/>
    <w:rsid w:val="0038598E"/>
    <w:rsid w:val="00385B57"/>
    <w:rsid w:val="003860AD"/>
    <w:rsid w:val="003864CA"/>
    <w:rsid w:val="003871F3"/>
    <w:rsid w:val="003872B2"/>
    <w:rsid w:val="003919D4"/>
    <w:rsid w:val="00391DAB"/>
    <w:rsid w:val="00392409"/>
    <w:rsid w:val="00392462"/>
    <w:rsid w:val="00393DE6"/>
    <w:rsid w:val="003951DA"/>
    <w:rsid w:val="003957A8"/>
    <w:rsid w:val="00396036"/>
    <w:rsid w:val="00396146"/>
    <w:rsid w:val="003963FE"/>
    <w:rsid w:val="00396738"/>
    <w:rsid w:val="00397B53"/>
    <w:rsid w:val="003A068F"/>
    <w:rsid w:val="003A071B"/>
    <w:rsid w:val="003A0E83"/>
    <w:rsid w:val="003A235C"/>
    <w:rsid w:val="003A3684"/>
    <w:rsid w:val="003A3DCA"/>
    <w:rsid w:val="003A3EB8"/>
    <w:rsid w:val="003A61E7"/>
    <w:rsid w:val="003A7F17"/>
    <w:rsid w:val="003B039F"/>
    <w:rsid w:val="003B313A"/>
    <w:rsid w:val="003B4733"/>
    <w:rsid w:val="003B5B60"/>
    <w:rsid w:val="003B5CD6"/>
    <w:rsid w:val="003B662D"/>
    <w:rsid w:val="003B79A6"/>
    <w:rsid w:val="003C1BC2"/>
    <w:rsid w:val="003C27B1"/>
    <w:rsid w:val="003C2E19"/>
    <w:rsid w:val="003C46C2"/>
    <w:rsid w:val="003C5003"/>
    <w:rsid w:val="003C549D"/>
    <w:rsid w:val="003C6757"/>
    <w:rsid w:val="003D0B9F"/>
    <w:rsid w:val="003D1713"/>
    <w:rsid w:val="003D25A7"/>
    <w:rsid w:val="003D274A"/>
    <w:rsid w:val="003D3D65"/>
    <w:rsid w:val="003D3F10"/>
    <w:rsid w:val="003D4AFB"/>
    <w:rsid w:val="003D4B10"/>
    <w:rsid w:val="003D4D79"/>
    <w:rsid w:val="003D7A41"/>
    <w:rsid w:val="003E06CD"/>
    <w:rsid w:val="003E20C0"/>
    <w:rsid w:val="003E210A"/>
    <w:rsid w:val="003E24D8"/>
    <w:rsid w:val="003E3B62"/>
    <w:rsid w:val="003E3EAC"/>
    <w:rsid w:val="003E408F"/>
    <w:rsid w:val="003E45A3"/>
    <w:rsid w:val="003E4B43"/>
    <w:rsid w:val="003E5F58"/>
    <w:rsid w:val="003E6204"/>
    <w:rsid w:val="003E6F39"/>
    <w:rsid w:val="003E75E8"/>
    <w:rsid w:val="003E7FA2"/>
    <w:rsid w:val="003F28DD"/>
    <w:rsid w:val="003F2C9D"/>
    <w:rsid w:val="003F583E"/>
    <w:rsid w:val="003F5D97"/>
    <w:rsid w:val="00401081"/>
    <w:rsid w:val="00401634"/>
    <w:rsid w:val="004061B6"/>
    <w:rsid w:val="0040651F"/>
    <w:rsid w:val="0040718B"/>
    <w:rsid w:val="0041048C"/>
    <w:rsid w:val="00411047"/>
    <w:rsid w:val="004111CC"/>
    <w:rsid w:val="00411513"/>
    <w:rsid w:val="00411DEA"/>
    <w:rsid w:val="004136B5"/>
    <w:rsid w:val="004154AC"/>
    <w:rsid w:val="0041726E"/>
    <w:rsid w:val="004211C3"/>
    <w:rsid w:val="00422087"/>
    <w:rsid w:val="0042232F"/>
    <w:rsid w:val="0042265A"/>
    <w:rsid w:val="004230A5"/>
    <w:rsid w:val="00423C80"/>
    <w:rsid w:val="00423ED8"/>
    <w:rsid w:val="00423EFB"/>
    <w:rsid w:val="00424589"/>
    <w:rsid w:val="00425ED8"/>
    <w:rsid w:val="0042740E"/>
    <w:rsid w:val="00427DEA"/>
    <w:rsid w:val="00430055"/>
    <w:rsid w:val="004302E5"/>
    <w:rsid w:val="00430492"/>
    <w:rsid w:val="00431787"/>
    <w:rsid w:val="00431C3B"/>
    <w:rsid w:val="00431EF5"/>
    <w:rsid w:val="00432FFE"/>
    <w:rsid w:val="004334D4"/>
    <w:rsid w:val="00434B5B"/>
    <w:rsid w:val="00435238"/>
    <w:rsid w:val="00435758"/>
    <w:rsid w:val="00436AF0"/>
    <w:rsid w:val="00436F56"/>
    <w:rsid w:val="00437994"/>
    <w:rsid w:val="00441126"/>
    <w:rsid w:val="00441477"/>
    <w:rsid w:val="00441A1B"/>
    <w:rsid w:val="004429CB"/>
    <w:rsid w:val="00442BEB"/>
    <w:rsid w:val="00442C4D"/>
    <w:rsid w:val="0044406D"/>
    <w:rsid w:val="004443F3"/>
    <w:rsid w:val="004443F7"/>
    <w:rsid w:val="004445C8"/>
    <w:rsid w:val="00444C27"/>
    <w:rsid w:val="00444E3B"/>
    <w:rsid w:val="00445C4E"/>
    <w:rsid w:val="00445DDD"/>
    <w:rsid w:val="00446B7C"/>
    <w:rsid w:val="004502DD"/>
    <w:rsid w:val="0045316F"/>
    <w:rsid w:val="00453386"/>
    <w:rsid w:val="004535E6"/>
    <w:rsid w:val="004539DD"/>
    <w:rsid w:val="00454331"/>
    <w:rsid w:val="0045666F"/>
    <w:rsid w:val="0045687A"/>
    <w:rsid w:val="00456F4A"/>
    <w:rsid w:val="004570E8"/>
    <w:rsid w:val="004606F9"/>
    <w:rsid w:val="00462AD8"/>
    <w:rsid w:val="00463F93"/>
    <w:rsid w:val="0046435A"/>
    <w:rsid w:val="00464A22"/>
    <w:rsid w:val="00465251"/>
    <w:rsid w:val="004706BD"/>
    <w:rsid w:val="00472C52"/>
    <w:rsid w:val="00473A5D"/>
    <w:rsid w:val="00473BC3"/>
    <w:rsid w:val="00474BBE"/>
    <w:rsid w:val="00475A91"/>
    <w:rsid w:val="00475C03"/>
    <w:rsid w:val="00476A3A"/>
    <w:rsid w:val="00477E03"/>
    <w:rsid w:val="00477F5C"/>
    <w:rsid w:val="00481299"/>
    <w:rsid w:val="00482606"/>
    <w:rsid w:val="0048313B"/>
    <w:rsid w:val="00483D7F"/>
    <w:rsid w:val="004840AE"/>
    <w:rsid w:val="004848CD"/>
    <w:rsid w:val="004866B6"/>
    <w:rsid w:val="00486DC3"/>
    <w:rsid w:val="00486FBF"/>
    <w:rsid w:val="004871F5"/>
    <w:rsid w:val="00487591"/>
    <w:rsid w:val="004876A0"/>
    <w:rsid w:val="00487BC8"/>
    <w:rsid w:val="0049049B"/>
    <w:rsid w:val="00493022"/>
    <w:rsid w:val="00493653"/>
    <w:rsid w:val="00493C2D"/>
    <w:rsid w:val="00495475"/>
    <w:rsid w:val="004957CC"/>
    <w:rsid w:val="004958F0"/>
    <w:rsid w:val="00496136"/>
    <w:rsid w:val="00497048"/>
    <w:rsid w:val="00497364"/>
    <w:rsid w:val="004A1EB1"/>
    <w:rsid w:val="004A23D1"/>
    <w:rsid w:val="004A2ACA"/>
    <w:rsid w:val="004A3440"/>
    <w:rsid w:val="004A3FF7"/>
    <w:rsid w:val="004A586D"/>
    <w:rsid w:val="004A5D88"/>
    <w:rsid w:val="004A687A"/>
    <w:rsid w:val="004B0A27"/>
    <w:rsid w:val="004B1578"/>
    <w:rsid w:val="004B1876"/>
    <w:rsid w:val="004B290C"/>
    <w:rsid w:val="004B4261"/>
    <w:rsid w:val="004B4F41"/>
    <w:rsid w:val="004B5773"/>
    <w:rsid w:val="004B5A69"/>
    <w:rsid w:val="004B5A88"/>
    <w:rsid w:val="004B5B48"/>
    <w:rsid w:val="004B66DA"/>
    <w:rsid w:val="004B71C9"/>
    <w:rsid w:val="004B72C4"/>
    <w:rsid w:val="004B7495"/>
    <w:rsid w:val="004B7591"/>
    <w:rsid w:val="004C1ABF"/>
    <w:rsid w:val="004C266C"/>
    <w:rsid w:val="004C34B4"/>
    <w:rsid w:val="004C4155"/>
    <w:rsid w:val="004C56D3"/>
    <w:rsid w:val="004C57F6"/>
    <w:rsid w:val="004C5BCF"/>
    <w:rsid w:val="004C73C1"/>
    <w:rsid w:val="004C771D"/>
    <w:rsid w:val="004C77E3"/>
    <w:rsid w:val="004C7C13"/>
    <w:rsid w:val="004D00BE"/>
    <w:rsid w:val="004D0895"/>
    <w:rsid w:val="004D215C"/>
    <w:rsid w:val="004D2A84"/>
    <w:rsid w:val="004D2C39"/>
    <w:rsid w:val="004D3797"/>
    <w:rsid w:val="004D3F57"/>
    <w:rsid w:val="004D41EA"/>
    <w:rsid w:val="004D44BC"/>
    <w:rsid w:val="004D44D2"/>
    <w:rsid w:val="004D48A9"/>
    <w:rsid w:val="004D50B4"/>
    <w:rsid w:val="004D5BD9"/>
    <w:rsid w:val="004D6825"/>
    <w:rsid w:val="004D7289"/>
    <w:rsid w:val="004D7FD3"/>
    <w:rsid w:val="004E0BAE"/>
    <w:rsid w:val="004E0E80"/>
    <w:rsid w:val="004E0ED4"/>
    <w:rsid w:val="004E0F98"/>
    <w:rsid w:val="004E11BB"/>
    <w:rsid w:val="004E1969"/>
    <w:rsid w:val="004E2064"/>
    <w:rsid w:val="004E23DF"/>
    <w:rsid w:val="004E331B"/>
    <w:rsid w:val="004E3368"/>
    <w:rsid w:val="004E360C"/>
    <w:rsid w:val="004E3D94"/>
    <w:rsid w:val="004E4613"/>
    <w:rsid w:val="004E49DF"/>
    <w:rsid w:val="004F0FDB"/>
    <w:rsid w:val="004F1AC3"/>
    <w:rsid w:val="004F1CEF"/>
    <w:rsid w:val="004F3207"/>
    <w:rsid w:val="004F38C0"/>
    <w:rsid w:val="004F420D"/>
    <w:rsid w:val="004F592C"/>
    <w:rsid w:val="004F6412"/>
    <w:rsid w:val="004F7260"/>
    <w:rsid w:val="004F7FED"/>
    <w:rsid w:val="00500572"/>
    <w:rsid w:val="0050111F"/>
    <w:rsid w:val="005012DF"/>
    <w:rsid w:val="005014BC"/>
    <w:rsid w:val="00502DF3"/>
    <w:rsid w:val="005056B9"/>
    <w:rsid w:val="00506E63"/>
    <w:rsid w:val="005132E6"/>
    <w:rsid w:val="00513D5B"/>
    <w:rsid w:val="00514686"/>
    <w:rsid w:val="00514999"/>
    <w:rsid w:val="00515167"/>
    <w:rsid w:val="005151F3"/>
    <w:rsid w:val="005159CE"/>
    <w:rsid w:val="00516D1D"/>
    <w:rsid w:val="00516E12"/>
    <w:rsid w:val="00516F8A"/>
    <w:rsid w:val="00517FEC"/>
    <w:rsid w:val="00523579"/>
    <w:rsid w:val="005249EA"/>
    <w:rsid w:val="0052522D"/>
    <w:rsid w:val="00525A11"/>
    <w:rsid w:val="00526C08"/>
    <w:rsid w:val="00526D6A"/>
    <w:rsid w:val="00526F7A"/>
    <w:rsid w:val="00527897"/>
    <w:rsid w:val="0053157F"/>
    <w:rsid w:val="00533070"/>
    <w:rsid w:val="005332FA"/>
    <w:rsid w:val="00533506"/>
    <w:rsid w:val="005346EC"/>
    <w:rsid w:val="00534A6C"/>
    <w:rsid w:val="00534D61"/>
    <w:rsid w:val="0053508C"/>
    <w:rsid w:val="00535761"/>
    <w:rsid w:val="00536FE3"/>
    <w:rsid w:val="00540D48"/>
    <w:rsid w:val="00541DEA"/>
    <w:rsid w:val="005427FC"/>
    <w:rsid w:val="00542AF3"/>
    <w:rsid w:val="00542C43"/>
    <w:rsid w:val="005436B8"/>
    <w:rsid w:val="00544496"/>
    <w:rsid w:val="005447F3"/>
    <w:rsid w:val="005448EF"/>
    <w:rsid w:val="005463C3"/>
    <w:rsid w:val="00546809"/>
    <w:rsid w:val="005470E1"/>
    <w:rsid w:val="005506C9"/>
    <w:rsid w:val="005509CC"/>
    <w:rsid w:val="0055197D"/>
    <w:rsid w:val="00552DB3"/>
    <w:rsid w:val="00554405"/>
    <w:rsid w:val="00554E50"/>
    <w:rsid w:val="005551A0"/>
    <w:rsid w:val="00555415"/>
    <w:rsid w:val="005558C8"/>
    <w:rsid w:val="005567CA"/>
    <w:rsid w:val="005569FA"/>
    <w:rsid w:val="00557457"/>
    <w:rsid w:val="00557D09"/>
    <w:rsid w:val="00562BEA"/>
    <w:rsid w:val="0056396F"/>
    <w:rsid w:val="0056485E"/>
    <w:rsid w:val="00564907"/>
    <w:rsid w:val="00570452"/>
    <w:rsid w:val="00571E5A"/>
    <w:rsid w:val="00572972"/>
    <w:rsid w:val="00573956"/>
    <w:rsid w:val="00573E23"/>
    <w:rsid w:val="00574BA8"/>
    <w:rsid w:val="0057524E"/>
    <w:rsid w:val="00575E7A"/>
    <w:rsid w:val="00576198"/>
    <w:rsid w:val="0058143A"/>
    <w:rsid w:val="00581631"/>
    <w:rsid w:val="005830E9"/>
    <w:rsid w:val="0058408C"/>
    <w:rsid w:val="0058442D"/>
    <w:rsid w:val="005855DB"/>
    <w:rsid w:val="00585B4F"/>
    <w:rsid w:val="00585FEC"/>
    <w:rsid w:val="005869AA"/>
    <w:rsid w:val="00590504"/>
    <w:rsid w:val="0059092A"/>
    <w:rsid w:val="00592E7A"/>
    <w:rsid w:val="00593C0C"/>
    <w:rsid w:val="00595202"/>
    <w:rsid w:val="0059543F"/>
    <w:rsid w:val="005A0924"/>
    <w:rsid w:val="005A09DE"/>
    <w:rsid w:val="005A0A80"/>
    <w:rsid w:val="005A10EC"/>
    <w:rsid w:val="005A14F3"/>
    <w:rsid w:val="005A1F19"/>
    <w:rsid w:val="005A2886"/>
    <w:rsid w:val="005A2954"/>
    <w:rsid w:val="005A3182"/>
    <w:rsid w:val="005A3503"/>
    <w:rsid w:val="005A3CFA"/>
    <w:rsid w:val="005A45BC"/>
    <w:rsid w:val="005A4C90"/>
    <w:rsid w:val="005A53AA"/>
    <w:rsid w:val="005A56D0"/>
    <w:rsid w:val="005A5FD3"/>
    <w:rsid w:val="005A7A2D"/>
    <w:rsid w:val="005B0BFB"/>
    <w:rsid w:val="005B12D1"/>
    <w:rsid w:val="005B23A8"/>
    <w:rsid w:val="005B3415"/>
    <w:rsid w:val="005B40B1"/>
    <w:rsid w:val="005B4173"/>
    <w:rsid w:val="005B419E"/>
    <w:rsid w:val="005B52C9"/>
    <w:rsid w:val="005B541A"/>
    <w:rsid w:val="005B62FC"/>
    <w:rsid w:val="005B6B86"/>
    <w:rsid w:val="005C081E"/>
    <w:rsid w:val="005C0AEF"/>
    <w:rsid w:val="005C1E10"/>
    <w:rsid w:val="005C30E1"/>
    <w:rsid w:val="005C58CF"/>
    <w:rsid w:val="005C5EB7"/>
    <w:rsid w:val="005C6EAC"/>
    <w:rsid w:val="005C7FC8"/>
    <w:rsid w:val="005D15F1"/>
    <w:rsid w:val="005D2D2E"/>
    <w:rsid w:val="005D3136"/>
    <w:rsid w:val="005D37F4"/>
    <w:rsid w:val="005D4FC8"/>
    <w:rsid w:val="005D5D07"/>
    <w:rsid w:val="005D5F83"/>
    <w:rsid w:val="005D7916"/>
    <w:rsid w:val="005E0606"/>
    <w:rsid w:val="005E3428"/>
    <w:rsid w:val="005E34CF"/>
    <w:rsid w:val="005E426C"/>
    <w:rsid w:val="005E4E2D"/>
    <w:rsid w:val="005E4F17"/>
    <w:rsid w:val="005E576D"/>
    <w:rsid w:val="005E5AE7"/>
    <w:rsid w:val="005E6A80"/>
    <w:rsid w:val="005E7A1E"/>
    <w:rsid w:val="005F1232"/>
    <w:rsid w:val="005F2366"/>
    <w:rsid w:val="005F4511"/>
    <w:rsid w:val="005F67C7"/>
    <w:rsid w:val="005F6DFA"/>
    <w:rsid w:val="005F7AD7"/>
    <w:rsid w:val="005F7F19"/>
    <w:rsid w:val="006012B1"/>
    <w:rsid w:val="006013A5"/>
    <w:rsid w:val="00601DF5"/>
    <w:rsid w:val="006024AC"/>
    <w:rsid w:val="0060475E"/>
    <w:rsid w:val="00604D12"/>
    <w:rsid w:val="00605C5B"/>
    <w:rsid w:val="00605CF1"/>
    <w:rsid w:val="006067A0"/>
    <w:rsid w:val="00606CE5"/>
    <w:rsid w:val="00612131"/>
    <w:rsid w:val="00612CC4"/>
    <w:rsid w:val="006133C3"/>
    <w:rsid w:val="00614129"/>
    <w:rsid w:val="006148C4"/>
    <w:rsid w:val="00614BEE"/>
    <w:rsid w:val="00615765"/>
    <w:rsid w:val="006171DB"/>
    <w:rsid w:val="00617E34"/>
    <w:rsid w:val="006214D1"/>
    <w:rsid w:val="00621942"/>
    <w:rsid w:val="00621F7F"/>
    <w:rsid w:val="00622753"/>
    <w:rsid w:val="00622BCA"/>
    <w:rsid w:val="0062353E"/>
    <w:rsid w:val="00623632"/>
    <w:rsid w:val="006238AE"/>
    <w:rsid w:val="006238D0"/>
    <w:rsid w:val="00623A7A"/>
    <w:rsid w:val="00624BAD"/>
    <w:rsid w:val="00626295"/>
    <w:rsid w:val="00626650"/>
    <w:rsid w:val="00626F80"/>
    <w:rsid w:val="00633626"/>
    <w:rsid w:val="00633BF9"/>
    <w:rsid w:val="00640CD2"/>
    <w:rsid w:val="00640D52"/>
    <w:rsid w:val="00640FE0"/>
    <w:rsid w:val="00641C26"/>
    <w:rsid w:val="00642839"/>
    <w:rsid w:val="006428F4"/>
    <w:rsid w:val="00642B19"/>
    <w:rsid w:val="00642ED4"/>
    <w:rsid w:val="006450DF"/>
    <w:rsid w:val="0064791B"/>
    <w:rsid w:val="00647BAC"/>
    <w:rsid w:val="00651463"/>
    <w:rsid w:val="0065215D"/>
    <w:rsid w:val="00652DA5"/>
    <w:rsid w:val="00652FD8"/>
    <w:rsid w:val="006534EE"/>
    <w:rsid w:val="0065387E"/>
    <w:rsid w:val="00653961"/>
    <w:rsid w:val="0065502A"/>
    <w:rsid w:val="00655FB3"/>
    <w:rsid w:val="00657553"/>
    <w:rsid w:val="00657873"/>
    <w:rsid w:val="0065791C"/>
    <w:rsid w:val="00657A2F"/>
    <w:rsid w:val="0066099F"/>
    <w:rsid w:val="00660C96"/>
    <w:rsid w:val="006621BD"/>
    <w:rsid w:val="006624A7"/>
    <w:rsid w:val="00662554"/>
    <w:rsid w:val="0066282E"/>
    <w:rsid w:val="0066347A"/>
    <w:rsid w:val="006635AA"/>
    <w:rsid w:val="00663FF6"/>
    <w:rsid w:val="00664B8F"/>
    <w:rsid w:val="006719B7"/>
    <w:rsid w:val="006723BB"/>
    <w:rsid w:val="00672562"/>
    <w:rsid w:val="00672AB2"/>
    <w:rsid w:val="00673FCA"/>
    <w:rsid w:val="00674280"/>
    <w:rsid w:val="00674F54"/>
    <w:rsid w:val="00675A4B"/>
    <w:rsid w:val="00675F84"/>
    <w:rsid w:val="0067716F"/>
    <w:rsid w:val="0067764A"/>
    <w:rsid w:val="006801DA"/>
    <w:rsid w:val="0068164D"/>
    <w:rsid w:val="00681A44"/>
    <w:rsid w:val="00681AB5"/>
    <w:rsid w:val="00683EB2"/>
    <w:rsid w:val="00684DA5"/>
    <w:rsid w:val="006903DF"/>
    <w:rsid w:val="0069173A"/>
    <w:rsid w:val="0069181B"/>
    <w:rsid w:val="00693074"/>
    <w:rsid w:val="00693FCE"/>
    <w:rsid w:val="00694901"/>
    <w:rsid w:val="00694FEE"/>
    <w:rsid w:val="006952D2"/>
    <w:rsid w:val="00695E27"/>
    <w:rsid w:val="00695E42"/>
    <w:rsid w:val="00695F22"/>
    <w:rsid w:val="0069692F"/>
    <w:rsid w:val="006A01FB"/>
    <w:rsid w:val="006A18CD"/>
    <w:rsid w:val="006A1D24"/>
    <w:rsid w:val="006A2522"/>
    <w:rsid w:val="006A3576"/>
    <w:rsid w:val="006A3613"/>
    <w:rsid w:val="006A3B65"/>
    <w:rsid w:val="006A500D"/>
    <w:rsid w:val="006A5752"/>
    <w:rsid w:val="006A6375"/>
    <w:rsid w:val="006B0235"/>
    <w:rsid w:val="006B0301"/>
    <w:rsid w:val="006B182B"/>
    <w:rsid w:val="006B2584"/>
    <w:rsid w:val="006B2AF0"/>
    <w:rsid w:val="006B3741"/>
    <w:rsid w:val="006B43D9"/>
    <w:rsid w:val="006B452C"/>
    <w:rsid w:val="006B469F"/>
    <w:rsid w:val="006B48F4"/>
    <w:rsid w:val="006B49D9"/>
    <w:rsid w:val="006B4A8E"/>
    <w:rsid w:val="006B5958"/>
    <w:rsid w:val="006B5EAA"/>
    <w:rsid w:val="006B73D2"/>
    <w:rsid w:val="006C0268"/>
    <w:rsid w:val="006C0A82"/>
    <w:rsid w:val="006C292E"/>
    <w:rsid w:val="006C6C02"/>
    <w:rsid w:val="006C6E03"/>
    <w:rsid w:val="006C6FE6"/>
    <w:rsid w:val="006C789F"/>
    <w:rsid w:val="006D11E1"/>
    <w:rsid w:val="006D1857"/>
    <w:rsid w:val="006D2E7A"/>
    <w:rsid w:val="006D3074"/>
    <w:rsid w:val="006D342F"/>
    <w:rsid w:val="006D4236"/>
    <w:rsid w:val="006D4C6A"/>
    <w:rsid w:val="006D6056"/>
    <w:rsid w:val="006D6877"/>
    <w:rsid w:val="006D6C54"/>
    <w:rsid w:val="006E0068"/>
    <w:rsid w:val="006E0092"/>
    <w:rsid w:val="006E0220"/>
    <w:rsid w:val="006E140E"/>
    <w:rsid w:val="006E159E"/>
    <w:rsid w:val="006E27EE"/>
    <w:rsid w:val="006E360F"/>
    <w:rsid w:val="006E39ED"/>
    <w:rsid w:val="006E3B88"/>
    <w:rsid w:val="006E46E6"/>
    <w:rsid w:val="006E58A7"/>
    <w:rsid w:val="006E616E"/>
    <w:rsid w:val="006E61AB"/>
    <w:rsid w:val="006E7107"/>
    <w:rsid w:val="006E7DA9"/>
    <w:rsid w:val="006F05BA"/>
    <w:rsid w:val="006F29C2"/>
    <w:rsid w:val="006F4130"/>
    <w:rsid w:val="006F547E"/>
    <w:rsid w:val="006F574C"/>
    <w:rsid w:val="006F6685"/>
    <w:rsid w:val="006F71C6"/>
    <w:rsid w:val="006F7741"/>
    <w:rsid w:val="00701BDE"/>
    <w:rsid w:val="00702BEF"/>
    <w:rsid w:val="007039D0"/>
    <w:rsid w:val="00704AB7"/>
    <w:rsid w:val="00705F87"/>
    <w:rsid w:val="00706041"/>
    <w:rsid w:val="00707323"/>
    <w:rsid w:val="00710C6E"/>
    <w:rsid w:val="00711A11"/>
    <w:rsid w:val="00712612"/>
    <w:rsid w:val="007131EA"/>
    <w:rsid w:val="00713CCF"/>
    <w:rsid w:val="00714CE8"/>
    <w:rsid w:val="00715CA2"/>
    <w:rsid w:val="00720DB0"/>
    <w:rsid w:val="00721772"/>
    <w:rsid w:val="007217FD"/>
    <w:rsid w:val="00721A7D"/>
    <w:rsid w:val="00721B10"/>
    <w:rsid w:val="007234D5"/>
    <w:rsid w:val="00723527"/>
    <w:rsid w:val="00723C2B"/>
    <w:rsid w:val="00724245"/>
    <w:rsid w:val="00725A1B"/>
    <w:rsid w:val="007265D0"/>
    <w:rsid w:val="00726871"/>
    <w:rsid w:val="00726A0D"/>
    <w:rsid w:val="007306DF"/>
    <w:rsid w:val="00730D1F"/>
    <w:rsid w:val="00731218"/>
    <w:rsid w:val="00733DAF"/>
    <w:rsid w:val="00733F49"/>
    <w:rsid w:val="00734BB6"/>
    <w:rsid w:val="00735123"/>
    <w:rsid w:val="0073638B"/>
    <w:rsid w:val="00737181"/>
    <w:rsid w:val="007374DD"/>
    <w:rsid w:val="00737D61"/>
    <w:rsid w:val="00740854"/>
    <w:rsid w:val="00741FEE"/>
    <w:rsid w:val="00742247"/>
    <w:rsid w:val="00744CD8"/>
    <w:rsid w:val="00745116"/>
    <w:rsid w:val="0074634D"/>
    <w:rsid w:val="00746695"/>
    <w:rsid w:val="007470D3"/>
    <w:rsid w:val="00747399"/>
    <w:rsid w:val="00747403"/>
    <w:rsid w:val="0074774A"/>
    <w:rsid w:val="007500B7"/>
    <w:rsid w:val="00750AA9"/>
    <w:rsid w:val="00751206"/>
    <w:rsid w:val="00751526"/>
    <w:rsid w:val="00751956"/>
    <w:rsid w:val="0075385A"/>
    <w:rsid w:val="00753C3E"/>
    <w:rsid w:val="00754954"/>
    <w:rsid w:val="00755538"/>
    <w:rsid w:val="007558F7"/>
    <w:rsid w:val="0075713A"/>
    <w:rsid w:val="0075794B"/>
    <w:rsid w:val="00757CFB"/>
    <w:rsid w:val="007612FD"/>
    <w:rsid w:val="00763C11"/>
    <w:rsid w:val="007655F2"/>
    <w:rsid w:val="00765F84"/>
    <w:rsid w:val="00767B87"/>
    <w:rsid w:val="0077120F"/>
    <w:rsid w:val="00771DAD"/>
    <w:rsid w:val="00772DE8"/>
    <w:rsid w:val="00772F71"/>
    <w:rsid w:val="0077621F"/>
    <w:rsid w:val="007768AA"/>
    <w:rsid w:val="00777193"/>
    <w:rsid w:val="00780183"/>
    <w:rsid w:val="00780346"/>
    <w:rsid w:val="0078086C"/>
    <w:rsid w:val="00782431"/>
    <w:rsid w:val="00782981"/>
    <w:rsid w:val="00782F2F"/>
    <w:rsid w:val="00783519"/>
    <w:rsid w:val="00784B7B"/>
    <w:rsid w:val="00786262"/>
    <w:rsid w:val="00786580"/>
    <w:rsid w:val="00786CCA"/>
    <w:rsid w:val="00790043"/>
    <w:rsid w:val="00790913"/>
    <w:rsid w:val="00791249"/>
    <w:rsid w:val="00791442"/>
    <w:rsid w:val="00791550"/>
    <w:rsid w:val="00791A6E"/>
    <w:rsid w:val="00793D68"/>
    <w:rsid w:val="007940D3"/>
    <w:rsid w:val="00794F50"/>
    <w:rsid w:val="007951E0"/>
    <w:rsid w:val="00795B48"/>
    <w:rsid w:val="007A0A2F"/>
    <w:rsid w:val="007A0C1C"/>
    <w:rsid w:val="007A1509"/>
    <w:rsid w:val="007A1553"/>
    <w:rsid w:val="007A2716"/>
    <w:rsid w:val="007A3EEC"/>
    <w:rsid w:val="007A4AC3"/>
    <w:rsid w:val="007A4CC0"/>
    <w:rsid w:val="007A5447"/>
    <w:rsid w:val="007A5C99"/>
    <w:rsid w:val="007A5DD0"/>
    <w:rsid w:val="007A6B74"/>
    <w:rsid w:val="007A7334"/>
    <w:rsid w:val="007A7402"/>
    <w:rsid w:val="007A7BE3"/>
    <w:rsid w:val="007B0168"/>
    <w:rsid w:val="007B062D"/>
    <w:rsid w:val="007B06E4"/>
    <w:rsid w:val="007B0B88"/>
    <w:rsid w:val="007B3EC3"/>
    <w:rsid w:val="007B4F21"/>
    <w:rsid w:val="007B6996"/>
    <w:rsid w:val="007B6EBA"/>
    <w:rsid w:val="007C32C1"/>
    <w:rsid w:val="007C3C5A"/>
    <w:rsid w:val="007C419B"/>
    <w:rsid w:val="007C4473"/>
    <w:rsid w:val="007C4E72"/>
    <w:rsid w:val="007C4EFF"/>
    <w:rsid w:val="007C5CD6"/>
    <w:rsid w:val="007C6A41"/>
    <w:rsid w:val="007C7340"/>
    <w:rsid w:val="007C76B4"/>
    <w:rsid w:val="007C774C"/>
    <w:rsid w:val="007D02EC"/>
    <w:rsid w:val="007D03EA"/>
    <w:rsid w:val="007D5708"/>
    <w:rsid w:val="007D6D52"/>
    <w:rsid w:val="007D73F0"/>
    <w:rsid w:val="007E011B"/>
    <w:rsid w:val="007E02DF"/>
    <w:rsid w:val="007E0505"/>
    <w:rsid w:val="007E1153"/>
    <w:rsid w:val="007E3469"/>
    <w:rsid w:val="007E3694"/>
    <w:rsid w:val="007E39FC"/>
    <w:rsid w:val="007E4CC0"/>
    <w:rsid w:val="007E5623"/>
    <w:rsid w:val="007E70CB"/>
    <w:rsid w:val="007E7CC9"/>
    <w:rsid w:val="007F062B"/>
    <w:rsid w:val="007F0937"/>
    <w:rsid w:val="007F0D5E"/>
    <w:rsid w:val="007F2AA9"/>
    <w:rsid w:val="007F2BFE"/>
    <w:rsid w:val="007F48C0"/>
    <w:rsid w:val="007F5EF0"/>
    <w:rsid w:val="007F656F"/>
    <w:rsid w:val="0080075B"/>
    <w:rsid w:val="00800EDB"/>
    <w:rsid w:val="00800FF4"/>
    <w:rsid w:val="008017B5"/>
    <w:rsid w:val="00801C20"/>
    <w:rsid w:val="00802BBF"/>
    <w:rsid w:val="008039DE"/>
    <w:rsid w:val="00807BD4"/>
    <w:rsid w:val="00810409"/>
    <w:rsid w:val="00811683"/>
    <w:rsid w:val="00811776"/>
    <w:rsid w:val="00813BE4"/>
    <w:rsid w:val="00814B7F"/>
    <w:rsid w:val="00814F71"/>
    <w:rsid w:val="0081583C"/>
    <w:rsid w:val="008158FF"/>
    <w:rsid w:val="00816B54"/>
    <w:rsid w:val="00817C3F"/>
    <w:rsid w:val="00820DD0"/>
    <w:rsid w:val="008214CB"/>
    <w:rsid w:val="00821DE1"/>
    <w:rsid w:val="00822744"/>
    <w:rsid w:val="00823082"/>
    <w:rsid w:val="00823F71"/>
    <w:rsid w:val="008252A1"/>
    <w:rsid w:val="00825747"/>
    <w:rsid w:val="0082586A"/>
    <w:rsid w:val="00825B95"/>
    <w:rsid w:val="008266BB"/>
    <w:rsid w:val="008311F0"/>
    <w:rsid w:val="00832C03"/>
    <w:rsid w:val="00832F17"/>
    <w:rsid w:val="008369A2"/>
    <w:rsid w:val="00836C73"/>
    <w:rsid w:val="00837A07"/>
    <w:rsid w:val="00837AAB"/>
    <w:rsid w:val="0084012A"/>
    <w:rsid w:val="0084135A"/>
    <w:rsid w:val="0084212E"/>
    <w:rsid w:val="00842408"/>
    <w:rsid w:val="00842E7E"/>
    <w:rsid w:val="0084367B"/>
    <w:rsid w:val="00843777"/>
    <w:rsid w:val="0084392D"/>
    <w:rsid w:val="00843E47"/>
    <w:rsid w:val="008454F5"/>
    <w:rsid w:val="00846F41"/>
    <w:rsid w:val="00850163"/>
    <w:rsid w:val="00850EAF"/>
    <w:rsid w:val="00851F32"/>
    <w:rsid w:val="0085549C"/>
    <w:rsid w:val="00855D61"/>
    <w:rsid w:val="00855F54"/>
    <w:rsid w:val="0085615A"/>
    <w:rsid w:val="0086077F"/>
    <w:rsid w:val="008615A6"/>
    <w:rsid w:val="00861CB9"/>
    <w:rsid w:val="00862412"/>
    <w:rsid w:val="00865ABA"/>
    <w:rsid w:val="00866BC1"/>
    <w:rsid w:val="00867B4C"/>
    <w:rsid w:val="0087075F"/>
    <w:rsid w:val="00870806"/>
    <w:rsid w:val="00870BE6"/>
    <w:rsid w:val="00871A92"/>
    <w:rsid w:val="008731CF"/>
    <w:rsid w:val="008734BF"/>
    <w:rsid w:val="008738D9"/>
    <w:rsid w:val="008742D8"/>
    <w:rsid w:val="008746BD"/>
    <w:rsid w:val="00874761"/>
    <w:rsid w:val="0087664B"/>
    <w:rsid w:val="008767AA"/>
    <w:rsid w:val="00877BE0"/>
    <w:rsid w:val="00880B66"/>
    <w:rsid w:val="0088241D"/>
    <w:rsid w:val="0088263B"/>
    <w:rsid w:val="00882CB1"/>
    <w:rsid w:val="00883343"/>
    <w:rsid w:val="008842D1"/>
    <w:rsid w:val="00884F4B"/>
    <w:rsid w:val="00886800"/>
    <w:rsid w:val="00886EFC"/>
    <w:rsid w:val="00886F52"/>
    <w:rsid w:val="0089091F"/>
    <w:rsid w:val="00891D0E"/>
    <w:rsid w:val="00893283"/>
    <w:rsid w:val="00893287"/>
    <w:rsid w:val="0089498C"/>
    <w:rsid w:val="008949FF"/>
    <w:rsid w:val="00894FB6"/>
    <w:rsid w:val="00896D51"/>
    <w:rsid w:val="00897EC1"/>
    <w:rsid w:val="008A045E"/>
    <w:rsid w:val="008A1DFB"/>
    <w:rsid w:val="008A2CF3"/>
    <w:rsid w:val="008A333F"/>
    <w:rsid w:val="008A6D42"/>
    <w:rsid w:val="008B0533"/>
    <w:rsid w:val="008B0969"/>
    <w:rsid w:val="008B25EF"/>
    <w:rsid w:val="008B2692"/>
    <w:rsid w:val="008B3961"/>
    <w:rsid w:val="008B464B"/>
    <w:rsid w:val="008B48A4"/>
    <w:rsid w:val="008B52BD"/>
    <w:rsid w:val="008B66AF"/>
    <w:rsid w:val="008B7428"/>
    <w:rsid w:val="008C047D"/>
    <w:rsid w:val="008C14F1"/>
    <w:rsid w:val="008C1875"/>
    <w:rsid w:val="008C1C4F"/>
    <w:rsid w:val="008C2533"/>
    <w:rsid w:val="008C2D53"/>
    <w:rsid w:val="008C38E5"/>
    <w:rsid w:val="008C7975"/>
    <w:rsid w:val="008C7D9D"/>
    <w:rsid w:val="008C7E81"/>
    <w:rsid w:val="008D3904"/>
    <w:rsid w:val="008D3E32"/>
    <w:rsid w:val="008D41B2"/>
    <w:rsid w:val="008D4761"/>
    <w:rsid w:val="008D60C7"/>
    <w:rsid w:val="008D656B"/>
    <w:rsid w:val="008D6663"/>
    <w:rsid w:val="008D6AF1"/>
    <w:rsid w:val="008D708E"/>
    <w:rsid w:val="008D728C"/>
    <w:rsid w:val="008D7CF5"/>
    <w:rsid w:val="008E2940"/>
    <w:rsid w:val="008E4E80"/>
    <w:rsid w:val="008E5665"/>
    <w:rsid w:val="008E5CB5"/>
    <w:rsid w:val="008E608D"/>
    <w:rsid w:val="008E62A5"/>
    <w:rsid w:val="008E6830"/>
    <w:rsid w:val="008E6A7D"/>
    <w:rsid w:val="008F25A1"/>
    <w:rsid w:val="008F2886"/>
    <w:rsid w:val="008F2D20"/>
    <w:rsid w:val="008F2DA1"/>
    <w:rsid w:val="008F37E6"/>
    <w:rsid w:val="008F37E9"/>
    <w:rsid w:val="008F40FE"/>
    <w:rsid w:val="008F6E10"/>
    <w:rsid w:val="008F7306"/>
    <w:rsid w:val="00900F82"/>
    <w:rsid w:val="00901086"/>
    <w:rsid w:val="00905B83"/>
    <w:rsid w:val="00906417"/>
    <w:rsid w:val="0090658E"/>
    <w:rsid w:val="0090728E"/>
    <w:rsid w:val="0090753C"/>
    <w:rsid w:val="00907B49"/>
    <w:rsid w:val="0091010F"/>
    <w:rsid w:val="00910788"/>
    <w:rsid w:val="00911417"/>
    <w:rsid w:val="00912119"/>
    <w:rsid w:val="009121BC"/>
    <w:rsid w:val="0091286A"/>
    <w:rsid w:val="00912F7F"/>
    <w:rsid w:val="0091495B"/>
    <w:rsid w:val="00914FD5"/>
    <w:rsid w:val="00916C7F"/>
    <w:rsid w:val="00916E38"/>
    <w:rsid w:val="009177F7"/>
    <w:rsid w:val="00920C90"/>
    <w:rsid w:val="00920D57"/>
    <w:rsid w:val="0092128B"/>
    <w:rsid w:val="00921812"/>
    <w:rsid w:val="0092352F"/>
    <w:rsid w:val="00926F7C"/>
    <w:rsid w:val="009276A8"/>
    <w:rsid w:val="00930090"/>
    <w:rsid w:val="00930665"/>
    <w:rsid w:val="0093184D"/>
    <w:rsid w:val="00931E72"/>
    <w:rsid w:val="00932C95"/>
    <w:rsid w:val="009342B8"/>
    <w:rsid w:val="00935558"/>
    <w:rsid w:val="00936E34"/>
    <w:rsid w:val="00941402"/>
    <w:rsid w:val="00941FF9"/>
    <w:rsid w:val="00942083"/>
    <w:rsid w:val="009436B8"/>
    <w:rsid w:val="00944A8C"/>
    <w:rsid w:val="009451ED"/>
    <w:rsid w:val="0094670D"/>
    <w:rsid w:val="00946D7F"/>
    <w:rsid w:val="00950EB8"/>
    <w:rsid w:val="0095157B"/>
    <w:rsid w:val="0095681A"/>
    <w:rsid w:val="00956FA9"/>
    <w:rsid w:val="0095725B"/>
    <w:rsid w:val="0095796A"/>
    <w:rsid w:val="00957D9A"/>
    <w:rsid w:val="00957ED9"/>
    <w:rsid w:val="00960257"/>
    <w:rsid w:val="00960464"/>
    <w:rsid w:val="00961440"/>
    <w:rsid w:val="0096287C"/>
    <w:rsid w:val="009631A1"/>
    <w:rsid w:val="00965427"/>
    <w:rsid w:val="00966462"/>
    <w:rsid w:val="009666AA"/>
    <w:rsid w:val="00966AF0"/>
    <w:rsid w:val="00967033"/>
    <w:rsid w:val="0096721F"/>
    <w:rsid w:val="00967658"/>
    <w:rsid w:val="009676CF"/>
    <w:rsid w:val="0096781F"/>
    <w:rsid w:val="00967DC9"/>
    <w:rsid w:val="009708CD"/>
    <w:rsid w:val="00972073"/>
    <w:rsid w:val="009722E6"/>
    <w:rsid w:val="00972B42"/>
    <w:rsid w:val="0097370E"/>
    <w:rsid w:val="009741B5"/>
    <w:rsid w:val="00977476"/>
    <w:rsid w:val="00977CD9"/>
    <w:rsid w:val="00982A43"/>
    <w:rsid w:val="00983016"/>
    <w:rsid w:val="009841B2"/>
    <w:rsid w:val="009860DB"/>
    <w:rsid w:val="00986354"/>
    <w:rsid w:val="00990154"/>
    <w:rsid w:val="00990EB2"/>
    <w:rsid w:val="009916D4"/>
    <w:rsid w:val="00991933"/>
    <w:rsid w:val="00992BA1"/>
    <w:rsid w:val="00992C0D"/>
    <w:rsid w:val="009959E7"/>
    <w:rsid w:val="00995D16"/>
    <w:rsid w:val="0099635A"/>
    <w:rsid w:val="009A3035"/>
    <w:rsid w:val="009A30C6"/>
    <w:rsid w:val="009A331F"/>
    <w:rsid w:val="009A3C74"/>
    <w:rsid w:val="009A4FFD"/>
    <w:rsid w:val="009A66CA"/>
    <w:rsid w:val="009A7C8A"/>
    <w:rsid w:val="009B15E1"/>
    <w:rsid w:val="009B2D43"/>
    <w:rsid w:val="009B56D0"/>
    <w:rsid w:val="009C362E"/>
    <w:rsid w:val="009C3B65"/>
    <w:rsid w:val="009C5962"/>
    <w:rsid w:val="009C7351"/>
    <w:rsid w:val="009C75BA"/>
    <w:rsid w:val="009C7E2F"/>
    <w:rsid w:val="009D068A"/>
    <w:rsid w:val="009D0751"/>
    <w:rsid w:val="009D2D3C"/>
    <w:rsid w:val="009D3E52"/>
    <w:rsid w:val="009D3ECD"/>
    <w:rsid w:val="009D4C1B"/>
    <w:rsid w:val="009D56F9"/>
    <w:rsid w:val="009D659B"/>
    <w:rsid w:val="009D7F22"/>
    <w:rsid w:val="009E1A7F"/>
    <w:rsid w:val="009E1B48"/>
    <w:rsid w:val="009E2008"/>
    <w:rsid w:val="009E2955"/>
    <w:rsid w:val="009E440A"/>
    <w:rsid w:val="009E4991"/>
    <w:rsid w:val="009E5C70"/>
    <w:rsid w:val="009E6674"/>
    <w:rsid w:val="009E6C3A"/>
    <w:rsid w:val="009E7EB8"/>
    <w:rsid w:val="009F04EC"/>
    <w:rsid w:val="009F1736"/>
    <w:rsid w:val="009F2AA2"/>
    <w:rsid w:val="009F2B9F"/>
    <w:rsid w:val="009F3F20"/>
    <w:rsid w:val="009F4CBF"/>
    <w:rsid w:val="009F4EA8"/>
    <w:rsid w:val="009F76A6"/>
    <w:rsid w:val="009F7B35"/>
    <w:rsid w:val="00A0042B"/>
    <w:rsid w:val="00A0052E"/>
    <w:rsid w:val="00A013F0"/>
    <w:rsid w:val="00A027C7"/>
    <w:rsid w:val="00A04396"/>
    <w:rsid w:val="00A04917"/>
    <w:rsid w:val="00A049F2"/>
    <w:rsid w:val="00A06B38"/>
    <w:rsid w:val="00A06D8A"/>
    <w:rsid w:val="00A06E15"/>
    <w:rsid w:val="00A119FD"/>
    <w:rsid w:val="00A11D44"/>
    <w:rsid w:val="00A121A1"/>
    <w:rsid w:val="00A12353"/>
    <w:rsid w:val="00A14CAF"/>
    <w:rsid w:val="00A150C6"/>
    <w:rsid w:val="00A161DB"/>
    <w:rsid w:val="00A16CBB"/>
    <w:rsid w:val="00A178D1"/>
    <w:rsid w:val="00A17A71"/>
    <w:rsid w:val="00A21B0B"/>
    <w:rsid w:val="00A21E90"/>
    <w:rsid w:val="00A224DC"/>
    <w:rsid w:val="00A25331"/>
    <w:rsid w:val="00A26295"/>
    <w:rsid w:val="00A27743"/>
    <w:rsid w:val="00A301F7"/>
    <w:rsid w:val="00A334F7"/>
    <w:rsid w:val="00A33B1C"/>
    <w:rsid w:val="00A33C7F"/>
    <w:rsid w:val="00A34294"/>
    <w:rsid w:val="00A344FB"/>
    <w:rsid w:val="00A35344"/>
    <w:rsid w:val="00A35E72"/>
    <w:rsid w:val="00A37EC0"/>
    <w:rsid w:val="00A4085C"/>
    <w:rsid w:val="00A41492"/>
    <w:rsid w:val="00A4151D"/>
    <w:rsid w:val="00A423F3"/>
    <w:rsid w:val="00A42F38"/>
    <w:rsid w:val="00A43E29"/>
    <w:rsid w:val="00A44B90"/>
    <w:rsid w:val="00A46801"/>
    <w:rsid w:val="00A5099B"/>
    <w:rsid w:val="00A50E93"/>
    <w:rsid w:val="00A513ED"/>
    <w:rsid w:val="00A53069"/>
    <w:rsid w:val="00A55A61"/>
    <w:rsid w:val="00A55A62"/>
    <w:rsid w:val="00A566C1"/>
    <w:rsid w:val="00A60AC2"/>
    <w:rsid w:val="00A61CF4"/>
    <w:rsid w:val="00A6274C"/>
    <w:rsid w:val="00A628E5"/>
    <w:rsid w:val="00A62AD4"/>
    <w:rsid w:val="00A63208"/>
    <w:rsid w:val="00A637A5"/>
    <w:rsid w:val="00A67341"/>
    <w:rsid w:val="00A67D79"/>
    <w:rsid w:val="00A70C43"/>
    <w:rsid w:val="00A70C59"/>
    <w:rsid w:val="00A71683"/>
    <w:rsid w:val="00A72E5A"/>
    <w:rsid w:val="00A72F57"/>
    <w:rsid w:val="00A73A9C"/>
    <w:rsid w:val="00A74A68"/>
    <w:rsid w:val="00A74DB2"/>
    <w:rsid w:val="00A75B9A"/>
    <w:rsid w:val="00A76E13"/>
    <w:rsid w:val="00A776F6"/>
    <w:rsid w:val="00A819E4"/>
    <w:rsid w:val="00A82C9A"/>
    <w:rsid w:val="00A8429A"/>
    <w:rsid w:val="00A84C14"/>
    <w:rsid w:val="00A8577F"/>
    <w:rsid w:val="00A858CF"/>
    <w:rsid w:val="00A859BA"/>
    <w:rsid w:val="00A861AA"/>
    <w:rsid w:val="00A9187D"/>
    <w:rsid w:val="00A924EB"/>
    <w:rsid w:val="00A9344B"/>
    <w:rsid w:val="00A93E20"/>
    <w:rsid w:val="00A9437F"/>
    <w:rsid w:val="00A95307"/>
    <w:rsid w:val="00A95B05"/>
    <w:rsid w:val="00A95B16"/>
    <w:rsid w:val="00A95E3D"/>
    <w:rsid w:val="00A95F71"/>
    <w:rsid w:val="00A96391"/>
    <w:rsid w:val="00A96553"/>
    <w:rsid w:val="00A97FEA"/>
    <w:rsid w:val="00AA0BA9"/>
    <w:rsid w:val="00AA2E81"/>
    <w:rsid w:val="00AA332B"/>
    <w:rsid w:val="00AA3DAE"/>
    <w:rsid w:val="00AA40D4"/>
    <w:rsid w:val="00AA52E0"/>
    <w:rsid w:val="00AA5340"/>
    <w:rsid w:val="00AA6269"/>
    <w:rsid w:val="00AA63A6"/>
    <w:rsid w:val="00AA7646"/>
    <w:rsid w:val="00AB1665"/>
    <w:rsid w:val="00AB16C8"/>
    <w:rsid w:val="00AB1E49"/>
    <w:rsid w:val="00AB1F82"/>
    <w:rsid w:val="00AB3F85"/>
    <w:rsid w:val="00AB44B1"/>
    <w:rsid w:val="00AB479A"/>
    <w:rsid w:val="00AB5A41"/>
    <w:rsid w:val="00AB6421"/>
    <w:rsid w:val="00AB790C"/>
    <w:rsid w:val="00AB7A99"/>
    <w:rsid w:val="00AC1C1F"/>
    <w:rsid w:val="00AC27A8"/>
    <w:rsid w:val="00AC2B53"/>
    <w:rsid w:val="00AC2F52"/>
    <w:rsid w:val="00AC385B"/>
    <w:rsid w:val="00AC4060"/>
    <w:rsid w:val="00AC58C9"/>
    <w:rsid w:val="00AC6742"/>
    <w:rsid w:val="00AC68C6"/>
    <w:rsid w:val="00AC690C"/>
    <w:rsid w:val="00AC6DB1"/>
    <w:rsid w:val="00AC7F54"/>
    <w:rsid w:val="00AC7F9C"/>
    <w:rsid w:val="00AD0580"/>
    <w:rsid w:val="00AD0C6C"/>
    <w:rsid w:val="00AD2317"/>
    <w:rsid w:val="00AD30A9"/>
    <w:rsid w:val="00AD4046"/>
    <w:rsid w:val="00AD60A4"/>
    <w:rsid w:val="00AD64B9"/>
    <w:rsid w:val="00AE0A63"/>
    <w:rsid w:val="00AE0EEE"/>
    <w:rsid w:val="00AE5E51"/>
    <w:rsid w:val="00AE6330"/>
    <w:rsid w:val="00AE678B"/>
    <w:rsid w:val="00AE67F4"/>
    <w:rsid w:val="00AF009F"/>
    <w:rsid w:val="00AF0CCF"/>
    <w:rsid w:val="00AF24FF"/>
    <w:rsid w:val="00AF2550"/>
    <w:rsid w:val="00AF3252"/>
    <w:rsid w:val="00AF65CA"/>
    <w:rsid w:val="00AF6C21"/>
    <w:rsid w:val="00B00258"/>
    <w:rsid w:val="00B00D7B"/>
    <w:rsid w:val="00B01CB3"/>
    <w:rsid w:val="00B023E1"/>
    <w:rsid w:val="00B039FB"/>
    <w:rsid w:val="00B03D8E"/>
    <w:rsid w:val="00B046DA"/>
    <w:rsid w:val="00B059E9"/>
    <w:rsid w:val="00B05E06"/>
    <w:rsid w:val="00B07608"/>
    <w:rsid w:val="00B07A32"/>
    <w:rsid w:val="00B07F19"/>
    <w:rsid w:val="00B1034A"/>
    <w:rsid w:val="00B10899"/>
    <w:rsid w:val="00B110A4"/>
    <w:rsid w:val="00B11406"/>
    <w:rsid w:val="00B11BE8"/>
    <w:rsid w:val="00B1226F"/>
    <w:rsid w:val="00B12AAB"/>
    <w:rsid w:val="00B14B4A"/>
    <w:rsid w:val="00B15876"/>
    <w:rsid w:val="00B15D4B"/>
    <w:rsid w:val="00B201CA"/>
    <w:rsid w:val="00B20622"/>
    <w:rsid w:val="00B206C5"/>
    <w:rsid w:val="00B21BF3"/>
    <w:rsid w:val="00B22EEA"/>
    <w:rsid w:val="00B2399E"/>
    <w:rsid w:val="00B24DB4"/>
    <w:rsid w:val="00B25DDB"/>
    <w:rsid w:val="00B30950"/>
    <w:rsid w:val="00B30B36"/>
    <w:rsid w:val="00B30BA7"/>
    <w:rsid w:val="00B32088"/>
    <w:rsid w:val="00B32900"/>
    <w:rsid w:val="00B3462A"/>
    <w:rsid w:val="00B36980"/>
    <w:rsid w:val="00B406FB"/>
    <w:rsid w:val="00B409A4"/>
    <w:rsid w:val="00B40E44"/>
    <w:rsid w:val="00B42293"/>
    <w:rsid w:val="00B42ED9"/>
    <w:rsid w:val="00B44D39"/>
    <w:rsid w:val="00B461ED"/>
    <w:rsid w:val="00B46456"/>
    <w:rsid w:val="00B47415"/>
    <w:rsid w:val="00B47693"/>
    <w:rsid w:val="00B47922"/>
    <w:rsid w:val="00B51604"/>
    <w:rsid w:val="00B519BF"/>
    <w:rsid w:val="00B52379"/>
    <w:rsid w:val="00B52C43"/>
    <w:rsid w:val="00B53A30"/>
    <w:rsid w:val="00B53BA5"/>
    <w:rsid w:val="00B55C56"/>
    <w:rsid w:val="00B55C72"/>
    <w:rsid w:val="00B55EE8"/>
    <w:rsid w:val="00B56F49"/>
    <w:rsid w:val="00B5727A"/>
    <w:rsid w:val="00B578DA"/>
    <w:rsid w:val="00B57A06"/>
    <w:rsid w:val="00B602FE"/>
    <w:rsid w:val="00B61074"/>
    <w:rsid w:val="00B61A4B"/>
    <w:rsid w:val="00B61CC9"/>
    <w:rsid w:val="00B61CE8"/>
    <w:rsid w:val="00B62F71"/>
    <w:rsid w:val="00B63F82"/>
    <w:rsid w:val="00B66C70"/>
    <w:rsid w:val="00B67B1B"/>
    <w:rsid w:val="00B70D1B"/>
    <w:rsid w:val="00B74AE4"/>
    <w:rsid w:val="00B756B4"/>
    <w:rsid w:val="00B7608A"/>
    <w:rsid w:val="00B761E1"/>
    <w:rsid w:val="00B7642E"/>
    <w:rsid w:val="00B76435"/>
    <w:rsid w:val="00B76B19"/>
    <w:rsid w:val="00B77DAC"/>
    <w:rsid w:val="00B77F52"/>
    <w:rsid w:val="00B80094"/>
    <w:rsid w:val="00B81753"/>
    <w:rsid w:val="00B8190D"/>
    <w:rsid w:val="00B8269B"/>
    <w:rsid w:val="00B82AC0"/>
    <w:rsid w:val="00B83295"/>
    <w:rsid w:val="00B85672"/>
    <w:rsid w:val="00B85FED"/>
    <w:rsid w:val="00B87146"/>
    <w:rsid w:val="00B911FD"/>
    <w:rsid w:val="00B94153"/>
    <w:rsid w:val="00B94AA8"/>
    <w:rsid w:val="00B95396"/>
    <w:rsid w:val="00B957DE"/>
    <w:rsid w:val="00B958F9"/>
    <w:rsid w:val="00BA08B0"/>
    <w:rsid w:val="00BA19AD"/>
    <w:rsid w:val="00BA29C9"/>
    <w:rsid w:val="00BA2CE0"/>
    <w:rsid w:val="00BA3D20"/>
    <w:rsid w:val="00BA5405"/>
    <w:rsid w:val="00BA55DA"/>
    <w:rsid w:val="00BA57AB"/>
    <w:rsid w:val="00BA5C7A"/>
    <w:rsid w:val="00BA5D87"/>
    <w:rsid w:val="00BA63F1"/>
    <w:rsid w:val="00BA6AF2"/>
    <w:rsid w:val="00BB07EE"/>
    <w:rsid w:val="00BB3AC9"/>
    <w:rsid w:val="00BB58DA"/>
    <w:rsid w:val="00BB6111"/>
    <w:rsid w:val="00BB69BF"/>
    <w:rsid w:val="00BC18BD"/>
    <w:rsid w:val="00BC2AF9"/>
    <w:rsid w:val="00BC315B"/>
    <w:rsid w:val="00BC4396"/>
    <w:rsid w:val="00BC4CF3"/>
    <w:rsid w:val="00BC4FA2"/>
    <w:rsid w:val="00BC68F6"/>
    <w:rsid w:val="00BC6941"/>
    <w:rsid w:val="00BD1227"/>
    <w:rsid w:val="00BD1DAD"/>
    <w:rsid w:val="00BD43AC"/>
    <w:rsid w:val="00BD4819"/>
    <w:rsid w:val="00BD4B62"/>
    <w:rsid w:val="00BD4B87"/>
    <w:rsid w:val="00BE0992"/>
    <w:rsid w:val="00BE1F89"/>
    <w:rsid w:val="00BE2CEA"/>
    <w:rsid w:val="00BE38ED"/>
    <w:rsid w:val="00BE530B"/>
    <w:rsid w:val="00BE5C27"/>
    <w:rsid w:val="00BE5EA3"/>
    <w:rsid w:val="00BE5F1E"/>
    <w:rsid w:val="00BE64FF"/>
    <w:rsid w:val="00BE6711"/>
    <w:rsid w:val="00BE6919"/>
    <w:rsid w:val="00BE69C4"/>
    <w:rsid w:val="00BE6AD7"/>
    <w:rsid w:val="00BE7AB4"/>
    <w:rsid w:val="00BE7D9B"/>
    <w:rsid w:val="00BF0227"/>
    <w:rsid w:val="00BF0385"/>
    <w:rsid w:val="00BF0E50"/>
    <w:rsid w:val="00BF1266"/>
    <w:rsid w:val="00BF194D"/>
    <w:rsid w:val="00BF2800"/>
    <w:rsid w:val="00BF28B2"/>
    <w:rsid w:val="00BF339B"/>
    <w:rsid w:val="00BF4298"/>
    <w:rsid w:val="00BF4451"/>
    <w:rsid w:val="00BF5BD3"/>
    <w:rsid w:val="00BF5E8D"/>
    <w:rsid w:val="00BF62BC"/>
    <w:rsid w:val="00BF64A0"/>
    <w:rsid w:val="00BF70FC"/>
    <w:rsid w:val="00C00F78"/>
    <w:rsid w:val="00C01356"/>
    <w:rsid w:val="00C01607"/>
    <w:rsid w:val="00C021CF"/>
    <w:rsid w:val="00C03096"/>
    <w:rsid w:val="00C03A0F"/>
    <w:rsid w:val="00C04136"/>
    <w:rsid w:val="00C04D57"/>
    <w:rsid w:val="00C051D4"/>
    <w:rsid w:val="00C05442"/>
    <w:rsid w:val="00C061D4"/>
    <w:rsid w:val="00C066D9"/>
    <w:rsid w:val="00C066E9"/>
    <w:rsid w:val="00C0779F"/>
    <w:rsid w:val="00C108DC"/>
    <w:rsid w:val="00C113F9"/>
    <w:rsid w:val="00C129EC"/>
    <w:rsid w:val="00C12CEC"/>
    <w:rsid w:val="00C13922"/>
    <w:rsid w:val="00C1445E"/>
    <w:rsid w:val="00C145A3"/>
    <w:rsid w:val="00C14F98"/>
    <w:rsid w:val="00C16055"/>
    <w:rsid w:val="00C16D42"/>
    <w:rsid w:val="00C1779B"/>
    <w:rsid w:val="00C205FA"/>
    <w:rsid w:val="00C20B37"/>
    <w:rsid w:val="00C20E40"/>
    <w:rsid w:val="00C20EBF"/>
    <w:rsid w:val="00C215E6"/>
    <w:rsid w:val="00C21755"/>
    <w:rsid w:val="00C21A18"/>
    <w:rsid w:val="00C2509D"/>
    <w:rsid w:val="00C26193"/>
    <w:rsid w:val="00C269EC"/>
    <w:rsid w:val="00C27B4D"/>
    <w:rsid w:val="00C30526"/>
    <w:rsid w:val="00C30692"/>
    <w:rsid w:val="00C307DB"/>
    <w:rsid w:val="00C32971"/>
    <w:rsid w:val="00C32DA3"/>
    <w:rsid w:val="00C33F0B"/>
    <w:rsid w:val="00C34A89"/>
    <w:rsid w:val="00C37C70"/>
    <w:rsid w:val="00C402D7"/>
    <w:rsid w:val="00C40DF6"/>
    <w:rsid w:val="00C419F5"/>
    <w:rsid w:val="00C4331D"/>
    <w:rsid w:val="00C43B79"/>
    <w:rsid w:val="00C4491E"/>
    <w:rsid w:val="00C44C5A"/>
    <w:rsid w:val="00C45471"/>
    <w:rsid w:val="00C46845"/>
    <w:rsid w:val="00C47EEF"/>
    <w:rsid w:val="00C502D3"/>
    <w:rsid w:val="00C50525"/>
    <w:rsid w:val="00C50715"/>
    <w:rsid w:val="00C50B49"/>
    <w:rsid w:val="00C50F07"/>
    <w:rsid w:val="00C52FD8"/>
    <w:rsid w:val="00C53485"/>
    <w:rsid w:val="00C53547"/>
    <w:rsid w:val="00C540EF"/>
    <w:rsid w:val="00C54B72"/>
    <w:rsid w:val="00C57968"/>
    <w:rsid w:val="00C57C63"/>
    <w:rsid w:val="00C617D0"/>
    <w:rsid w:val="00C61925"/>
    <w:rsid w:val="00C62275"/>
    <w:rsid w:val="00C624EB"/>
    <w:rsid w:val="00C62586"/>
    <w:rsid w:val="00C62ED0"/>
    <w:rsid w:val="00C65CA9"/>
    <w:rsid w:val="00C674AD"/>
    <w:rsid w:val="00C67514"/>
    <w:rsid w:val="00C675D1"/>
    <w:rsid w:val="00C700C4"/>
    <w:rsid w:val="00C70C52"/>
    <w:rsid w:val="00C720E9"/>
    <w:rsid w:val="00C737C0"/>
    <w:rsid w:val="00C74436"/>
    <w:rsid w:val="00C74F95"/>
    <w:rsid w:val="00C750A9"/>
    <w:rsid w:val="00C75E2D"/>
    <w:rsid w:val="00C761A7"/>
    <w:rsid w:val="00C77F54"/>
    <w:rsid w:val="00C81457"/>
    <w:rsid w:val="00C8231A"/>
    <w:rsid w:val="00C82352"/>
    <w:rsid w:val="00C82B3B"/>
    <w:rsid w:val="00C85C02"/>
    <w:rsid w:val="00C85CC3"/>
    <w:rsid w:val="00C865A3"/>
    <w:rsid w:val="00C866AA"/>
    <w:rsid w:val="00C86805"/>
    <w:rsid w:val="00C87E5B"/>
    <w:rsid w:val="00C910CB"/>
    <w:rsid w:val="00C910FA"/>
    <w:rsid w:val="00C91625"/>
    <w:rsid w:val="00C922E9"/>
    <w:rsid w:val="00C92A52"/>
    <w:rsid w:val="00C92A9D"/>
    <w:rsid w:val="00C931D3"/>
    <w:rsid w:val="00C94EF4"/>
    <w:rsid w:val="00C95210"/>
    <w:rsid w:val="00C972FC"/>
    <w:rsid w:val="00C977E2"/>
    <w:rsid w:val="00C979E3"/>
    <w:rsid w:val="00C97E1A"/>
    <w:rsid w:val="00CA184F"/>
    <w:rsid w:val="00CA1CDF"/>
    <w:rsid w:val="00CA366D"/>
    <w:rsid w:val="00CA4020"/>
    <w:rsid w:val="00CA5094"/>
    <w:rsid w:val="00CA5501"/>
    <w:rsid w:val="00CA56A5"/>
    <w:rsid w:val="00CA6030"/>
    <w:rsid w:val="00CB0276"/>
    <w:rsid w:val="00CB26C6"/>
    <w:rsid w:val="00CB2F87"/>
    <w:rsid w:val="00CB3F0D"/>
    <w:rsid w:val="00CB4C59"/>
    <w:rsid w:val="00CB67E2"/>
    <w:rsid w:val="00CB782C"/>
    <w:rsid w:val="00CC010D"/>
    <w:rsid w:val="00CC07FF"/>
    <w:rsid w:val="00CC1185"/>
    <w:rsid w:val="00CC1677"/>
    <w:rsid w:val="00CC2707"/>
    <w:rsid w:val="00CC2BD3"/>
    <w:rsid w:val="00CC400F"/>
    <w:rsid w:val="00CC44FC"/>
    <w:rsid w:val="00CC5389"/>
    <w:rsid w:val="00CC5F07"/>
    <w:rsid w:val="00CC6AAD"/>
    <w:rsid w:val="00CC6ED5"/>
    <w:rsid w:val="00CC7CD4"/>
    <w:rsid w:val="00CD00A9"/>
    <w:rsid w:val="00CD00D3"/>
    <w:rsid w:val="00CD0B46"/>
    <w:rsid w:val="00CD0D79"/>
    <w:rsid w:val="00CD1577"/>
    <w:rsid w:val="00CD1A8B"/>
    <w:rsid w:val="00CD1ECA"/>
    <w:rsid w:val="00CD22AB"/>
    <w:rsid w:val="00CD2A75"/>
    <w:rsid w:val="00CD3A67"/>
    <w:rsid w:val="00CD55D0"/>
    <w:rsid w:val="00CD63BF"/>
    <w:rsid w:val="00CD6B50"/>
    <w:rsid w:val="00CD744B"/>
    <w:rsid w:val="00CD79CB"/>
    <w:rsid w:val="00CE01D7"/>
    <w:rsid w:val="00CE0E9F"/>
    <w:rsid w:val="00CE17F1"/>
    <w:rsid w:val="00CE3241"/>
    <w:rsid w:val="00CE327C"/>
    <w:rsid w:val="00CE3C11"/>
    <w:rsid w:val="00CE5031"/>
    <w:rsid w:val="00CE6AA4"/>
    <w:rsid w:val="00CE6C8B"/>
    <w:rsid w:val="00CE6E88"/>
    <w:rsid w:val="00CE7539"/>
    <w:rsid w:val="00CF0D00"/>
    <w:rsid w:val="00CF15B7"/>
    <w:rsid w:val="00CF1A93"/>
    <w:rsid w:val="00CF43FE"/>
    <w:rsid w:val="00CF4DFB"/>
    <w:rsid w:val="00CF5C05"/>
    <w:rsid w:val="00CF666C"/>
    <w:rsid w:val="00CF6C0C"/>
    <w:rsid w:val="00CF7A4B"/>
    <w:rsid w:val="00D00574"/>
    <w:rsid w:val="00D030A3"/>
    <w:rsid w:val="00D047A4"/>
    <w:rsid w:val="00D078C4"/>
    <w:rsid w:val="00D078EE"/>
    <w:rsid w:val="00D1085A"/>
    <w:rsid w:val="00D11C3A"/>
    <w:rsid w:val="00D11F5B"/>
    <w:rsid w:val="00D12EE4"/>
    <w:rsid w:val="00D1339D"/>
    <w:rsid w:val="00D14D1C"/>
    <w:rsid w:val="00D14EF7"/>
    <w:rsid w:val="00D1518C"/>
    <w:rsid w:val="00D1621E"/>
    <w:rsid w:val="00D162C4"/>
    <w:rsid w:val="00D175F4"/>
    <w:rsid w:val="00D206EB"/>
    <w:rsid w:val="00D215B2"/>
    <w:rsid w:val="00D2384C"/>
    <w:rsid w:val="00D2611A"/>
    <w:rsid w:val="00D27B98"/>
    <w:rsid w:val="00D3064A"/>
    <w:rsid w:val="00D31851"/>
    <w:rsid w:val="00D345D2"/>
    <w:rsid w:val="00D349D8"/>
    <w:rsid w:val="00D36A41"/>
    <w:rsid w:val="00D3739E"/>
    <w:rsid w:val="00D3753A"/>
    <w:rsid w:val="00D37636"/>
    <w:rsid w:val="00D40455"/>
    <w:rsid w:val="00D412F5"/>
    <w:rsid w:val="00D42FFD"/>
    <w:rsid w:val="00D435A3"/>
    <w:rsid w:val="00D46BDC"/>
    <w:rsid w:val="00D46CB7"/>
    <w:rsid w:val="00D47A07"/>
    <w:rsid w:val="00D47EB0"/>
    <w:rsid w:val="00D50264"/>
    <w:rsid w:val="00D50F89"/>
    <w:rsid w:val="00D515C7"/>
    <w:rsid w:val="00D519BA"/>
    <w:rsid w:val="00D51F7A"/>
    <w:rsid w:val="00D5221C"/>
    <w:rsid w:val="00D527E3"/>
    <w:rsid w:val="00D541C6"/>
    <w:rsid w:val="00D546A1"/>
    <w:rsid w:val="00D54E1B"/>
    <w:rsid w:val="00D55B4A"/>
    <w:rsid w:val="00D5625C"/>
    <w:rsid w:val="00D56509"/>
    <w:rsid w:val="00D56868"/>
    <w:rsid w:val="00D6074B"/>
    <w:rsid w:val="00D61505"/>
    <w:rsid w:val="00D61558"/>
    <w:rsid w:val="00D6184E"/>
    <w:rsid w:val="00D63930"/>
    <w:rsid w:val="00D642F7"/>
    <w:rsid w:val="00D64980"/>
    <w:rsid w:val="00D64B7F"/>
    <w:rsid w:val="00D652E3"/>
    <w:rsid w:val="00D66526"/>
    <w:rsid w:val="00D668E1"/>
    <w:rsid w:val="00D66904"/>
    <w:rsid w:val="00D67BCF"/>
    <w:rsid w:val="00D71768"/>
    <w:rsid w:val="00D71ED9"/>
    <w:rsid w:val="00D73360"/>
    <w:rsid w:val="00D73BBB"/>
    <w:rsid w:val="00D744CD"/>
    <w:rsid w:val="00D7587D"/>
    <w:rsid w:val="00D80692"/>
    <w:rsid w:val="00D83D13"/>
    <w:rsid w:val="00D84EFD"/>
    <w:rsid w:val="00D85DCF"/>
    <w:rsid w:val="00D8795A"/>
    <w:rsid w:val="00D87C14"/>
    <w:rsid w:val="00D87C98"/>
    <w:rsid w:val="00D90349"/>
    <w:rsid w:val="00D90F8A"/>
    <w:rsid w:val="00D91681"/>
    <w:rsid w:val="00D93B7A"/>
    <w:rsid w:val="00D94277"/>
    <w:rsid w:val="00D942AE"/>
    <w:rsid w:val="00D95095"/>
    <w:rsid w:val="00D95CC7"/>
    <w:rsid w:val="00D96324"/>
    <w:rsid w:val="00D968A0"/>
    <w:rsid w:val="00D974CC"/>
    <w:rsid w:val="00D97E4A"/>
    <w:rsid w:val="00DA0DE1"/>
    <w:rsid w:val="00DA0F1E"/>
    <w:rsid w:val="00DA30CD"/>
    <w:rsid w:val="00DA3886"/>
    <w:rsid w:val="00DA423A"/>
    <w:rsid w:val="00DA4726"/>
    <w:rsid w:val="00DA5227"/>
    <w:rsid w:val="00DA6FAC"/>
    <w:rsid w:val="00DB00ED"/>
    <w:rsid w:val="00DB0FB8"/>
    <w:rsid w:val="00DB19FF"/>
    <w:rsid w:val="00DB3650"/>
    <w:rsid w:val="00DB404B"/>
    <w:rsid w:val="00DB4A7B"/>
    <w:rsid w:val="00DB5DEE"/>
    <w:rsid w:val="00DB6E4C"/>
    <w:rsid w:val="00DB6E5E"/>
    <w:rsid w:val="00DB748A"/>
    <w:rsid w:val="00DB7B83"/>
    <w:rsid w:val="00DC2DB7"/>
    <w:rsid w:val="00DC404D"/>
    <w:rsid w:val="00DC46AF"/>
    <w:rsid w:val="00DC6607"/>
    <w:rsid w:val="00DC6703"/>
    <w:rsid w:val="00DC74A8"/>
    <w:rsid w:val="00DC74E7"/>
    <w:rsid w:val="00DD07DF"/>
    <w:rsid w:val="00DD1E38"/>
    <w:rsid w:val="00DD37E1"/>
    <w:rsid w:val="00DD45CD"/>
    <w:rsid w:val="00DD71AA"/>
    <w:rsid w:val="00DD74EE"/>
    <w:rsid w:val="00DD75D6"/>
    <w:rsid w:val="00DD7829"/>
    <w:rsid w:val="00DE016C"/>
    <w:rsid w:val="00DE147F"/>
    <w:rsid w:val="00DE3D8C"/>
    <w:rsid w:val="00DE5018"/>
    <w:rsid w:val="00DF1972"/>
    <w:rsid w:val="00DF2B30"/>
    <w:rsid w:val="00DF2FF2"/>
    <w:rsid w:val="00DF37EE"/>
    <w:rsid w:val="00DF50A0"/>
    <w:rsid w:val="00DF5164"/>
    <w:rsid w:val="00DF5F4D"/>
    <w:rsid w:val="00DF6EF4"/>
    <w:rsid w:val="00DF700A"/>
    <w:rsid w:val="00E00B1B"/>
    <w:rsid w:val="00E00FC0"/>
    <w:rsid w:val="00E01759"/>
    <w:rsid w:val="00E02E7B"/>
    <w:rsid w:val="00E034CF"/>
    <w:rsid w:val="00E03D5E"/>
    <w:rsid w:val="00E051DB"/>
    <w:rsid w:val="00E06FEA"/>
    <w:rsid w:val="00E1199B"/>
    <w:rsid w:val="00E1393E"/>
    <w:rsid w:val="00E1394A"/>
    <w:rsid w:val="00E13BCE"/>
    <w:rsid w:val="00E14624"/>
    <w:rsid w:val="00E1493E"/>
    <w:rsid w:val="00E1581E"/>
    <w:rsid w:val="00E178E2"/>
    <w:rsid w:val="00E2028E"/>
    <w:rsid w:val="00E20E9E"/>
    <w:rsid w:val="00E21516"/>
    <w:rsid w:val="00E2173B"/>
    <w:rsid w:val="00E2269B"/>
    <w:rsid w:val="00E24CCB"/>
    <w:rsid w:val="00E250B4"/>
    <w:rsid w:val="00E25DAF"/>
    <w:rsid w:val="00E26950"/>
    <w:rsid w:val="00E26FEC"/>
    <w:rsid w:val="00E300AC"/>
    <w:rsid w:val="00E3073F"/>
    <w:rsid w:val="00E310DA"/>
    <w:rsid w:val="00E31B6F"/>
    <w:rsid w:val="00E32889"/>
    <w:rsid w:val="00E33D1A"/>
    <w:rsid w:val="00E3452C"/>
    <w:rsid w:val="00E34C79"/>
    <w:rsid w:val="00E34C93"/>
    <w:rsid w:val="00E359B1"/>
    <w:rsid w:val="00E36B88"/>
    <w:rsid w:val="00E371CB"/>
    <w:rsid w:val="00E37943"/>
    <w:rsid w:val="00E430C2"/>
    <w:rsid w:val="00E43BD5"/>
    <w:rsid w:val="00E43C11"/>
    <w:rsid w:val="00E45CEC"/>
    <w:rsid w:val="00E46D0A"/>
    <w:rsid w:val="00E475AE"/>
    <w:rsid w:val="00E50723"/>
    <w:rsid w:val="00E50E94"/>
    <w:rsid w:val="00E51798"/>
    <w:rsid w:val="00E51FD6"/>
    <w:rsid w:val="00E528AF"/>
    <w:rsid w:val="00E52C12"/>
    <w:rsid w:val="00E52EC8"/>
    <w:rsid w:val="00E55FA7"/>
    <w:rsid w:val="00E566C5"/>
    <w:rsid w:val="00E56D18"/>
    <w:rsid w:val="00E57F9E"/>
    <w:rsid w:val="00E60774"/>
    <w:rsid w:val="00E619B2"/>
    <w:rsid w:val="00E61B24"/>
    <w:rsid w:val="00E62150"/>
    <w:rsid w:val="00E6297D"/>
    <w:rsid w:val="00E62A2B"/>
    <w:rsid w:val="00E6524F"/>
    <w:rsid w:val="00E6577A"/>
    <w:rsid w:val="00E66FF1"/>
    <w:rsid w:val="00E67008"/>
    <w:rsid w:val="00E67CCC"/>
    <w:rsid w:val="00E717B5"/>
    <w:rsid w:val="00E7273E"/>
    <w:rsid w:val="00E72D03"/>
    <w:rsid w:val="00E72D5A"/>
    <w:rsid w:val="00E73117"/>
    <w:rsid w:val="00E74DC3"/>
    <w:rsid w:val="00E75026"/>
    <w:rsid w:val="00E75A36"/>
    <w:rsid w:val="00E75C18"/>
    <w:rsid w:val="00E75D54"/>
    <w:rsid w:val="00E76441"/>
    <w:rsid w:val="00E76545"/>
    <w:rsid w:val="00E76D6C"/>
    <w:rsid w:val="00E775D4"/>
    <w:rsid w:val="00E77B6F"/>
    <w:rsid w:val="00E813F7"/>
    <w:rsid w:val="00E8161B"/>
    <w:rsid w:val="00E8355A"/>
    <w:rsid w:val="00E83A2B"/>
    <w:rsid w:val="00E8415A"/>
    <w:rsid w:val="00E845F8"/>
    <w:rsid w:val="00E85B94"/>
    <w:rsid w:val="00E85CB4"/>
    <w:rsid w:val="00E86216"/>
    <w:rsid w:val="00E86325"/>
    <w:rsid w:val="00E86539"/>
    <w:rsid w:val="00E87264"/>
    <w:rsid w:val="00E90AE9"/>
    <w:rsid w:val="00E934C2"/>
    <w:rsid w:val="00E94184"/>
    <w:rsid w:val="00E944AC"/>
    <w:rsid w:val="00E96090"/>
    <w:rsid w:val="00E96480"/>
    <w:rsid w:val="00E96528"/>
    <w:rsid w:val="00E96600"/>
    <w:rsid w:val="00EA0A63"/>
    <w:rsid w:val="00EA204D"/>
    <w:rsid w:val="00EA2174"/>
    <w:rsid w:val="00EA4B52"/>
    <w:rsid w:val="00EA59DF"/>
    <w:rsid w:val="00EA6D76"/>
    <w:rsid w:val="00EA7854"/>
    <w:rsid w:val="00EB1083"/>
    <w:rsid w:val="00EB1797"/>
    <w:rsid w:val="00EB342A"/>
    <w:rsid w:val="00EB343A"/>
    <w:rsid w:val="00EB3845"/>
    <w:rsid w:val="00EB5008"/>
    <w:rsid w:val="00EB5AB4"/>
    <w:rsid w:val="00EB6A08"/>
    <w:rsid w:val="00EB72FE"/>
    <w:rsid w:val="00EB7D8E"/>
    <w:rsid w:val="00EC0751"/>
    <w:rsid w:val="00EC0BFC"/>
    <w:rsid w:val="00EC1BD2"/>
    <w:rsid w:val="00EC2080"/>
    <w:rsid w:val="00EC2BB8"/>
    <w:rsid w:val="00EC4376"/>
    <w:rsid w:val="00EC4D39"/>
    <w:rsid w:val="00EC5883"/>
    <w:rsid w:val="00EC5C04"/>
    <w:rsid w:val="00EC7477"/>
    <w:rsid w:val="00EC7AF2"/>
    <w:rsid w:val="00ED0312"/>
    <w:rsid w:val="00ED1CE6"/>
    <w:rsid w:val="00ED22B1"/>
    <w:rsid w:val="00ED4324"/>
    <w:rsid w:val="00ED47E6"/>
    <w:rsid w:val="00ED4839"/>
    <w:rsid w:val="00ED4E6A"/>
    <w:rsid w:val="00ED5777"/>
    <w:rsid w:val="00ED612A"/>
    <w:rsid w:val="00ED614A"/>
    <w:rsid w:val="00ED6A6E"/>
    <w:rsid w:val="00EE0292"/>
    <w:rsid w:val="00EE1C8D"/>
    <w:rsid w:val="00EE2D75"/>
    <w:rsid w:val="00EE3BB0"/>
    <w:rsid w:val="00EE3E8A"/>
    <w:rsid w:val="00EE4B2E"/>
    <w:rsid w:val="00EE4EB5"/>
    <w:rsid w:val="00EE5023"/>
    <w:rsid w:val="00EE5833"/>
    <w:rsid w:val="00EE71F7"/>
    <w:rsid w:val="00EE77B3"/>
    <w:rsid w:val="00EF0B15"/>
    <w:rsid w:val="00EF0C3A"/>
    <w:rsid w:val="00EF2291"/>
    <w:rsid w:val="00EF331F"/>
    <w:rsid w:val="00EF4D54"/>
    <w:rsid w:val="00EF4FCF"/>
    <w:rsid w:val="00EF504C"/>
    <w:rsid w:val="00EF506D"/>
    <w:rsid w:val="00EF6996"/>
    <w:rsid w:val="00EF6AF1"/>
    <w:rsid w:val="00EF6C6B"/>
    <w:rsid w:val="00EF7885"/>
    <w:rsid w:val="00F00DB9"/>
    <w:rsid w:val="00F02D41"/>
    <w:rsid w:val="00F03200"/>
    <w:rsid w:val="00F03436"/>
    <w:rsid w:val="00F03B0E"/>
    <w:rsid w:val="00F03B53"/>
    <w:rsid w:val="00F03EE7"/>
    <w:rsid w:val="00F04245"/>
    <w:rsid w:val="00F04A9B"/>
    <w:rsid w:val="00F05B6B"/>
    <w:rsid w:val="00F068C3"/>
    <w:rsid w:val="00F0739C"/>
    <w:rsid w:val="00F0744F"/>
    <w:rsid w:val="00F07506"/>
    <w:rsid w:val="00F07A2E"/>
    <w:rsid w:val="00F07EDD"/>
    <w:rsid w:val="00F10AF5"/>
    <w:rsid w:val="00F122A7"/>
    <w:rsid w:val="00F124A3"/>
    <w:rsid w:val="00F12681"/>
    <w:rsid w:val="00F13FCA"/>
    <w:rsid w:val="00F1424B"/>
    <w:rsid w:val="00F1460F"/>
    <w:rsid w:val="00F14CA6"/>
    <w:rsid w:val="00F1549D"/>
    <w:rsid w:val="00F155A2"/>
    <w:rsid w:val="00F1599A"/>
    <w:rsid w:val="00F15C5B"/>
    <w:rsid w:val="00F16D9A"/>
    <w:rsid w:val="00F16DFC"/>
    <w:rsid w:val="00F17047"/>
    <w:rsid w:val="00F17055"/>
    <w:rsid w:val="00F17376"/>
    <w:rsid w:val="00F20553"/>
    <w:rsid w:val="00F21F7E"/>
    <w:rsid w:val="00F228AD"/>
    <w:rsid w:val="00F2554C"/>
    <w:rsid w:val="00F2569E"/>
    <w:rsid w:val="00F25F40"/>
    <w:rsid w:val="00F264D2"/>
    <w:rsid w:val="00F26B61"/>
    <w:rsid w:val="00F272BB"/>
    <w:rsid w:val="00F27F87"/>
    <w:rsid w:val="00F30A6D"/>
    <w:rsid w:val="00F31B47"/>
    <w:rsid w:val="00F33024"/>
    <w:rsid w:val="00F33793"/>
    <w:rsid w:val="00F34769"/>
    <w:rsid w:val="00F35C94"/>
    <w:rsid w:val="00F37BE6"/>
    <w:rsid w:val="00F401F5"/>
    <w:rsid w:val="00F4051E"/>
    <w:rsid w:val="00F40C74"/>
    <w:rsid w:val="00F41C3F"/>
    <w:rsid w:val="00F43034"/>
    <w:rsid w:val="00F43480"/>
    <w:rsid w:val="00F438F8"/>
    <w:rsid w:val="00F44996"/>
    <w:rsid w:val="00F44F7C"/>
    <w:rsid w:val="00F46C29"/>
    <w:rsid w:val="00F47236"/>
    <w:rsid w:val="00F47C03"/>
    <w:rsid w:val="00F50D36"/>
    <w:rsid w:val="00F50F2F"/>
    <w:rsid w:val="00F51E41"/>
    <w:rsid w:val="00F5208E"/>
    <w:rsid w:val="00F524BE"/>
    <w:rsid w:val="00F534F7"/>
    <w:rsid w:val="00F534FB"/>
    <w:rsid w:val="00F5479B"/>
    <w:rsid w:val="00F55801"/>
    <w:rsid w:val="00F56507"/>
    <w:rsid w:val="00F56854"/>
    <w:rsid w:val="00F575D8"/>
    <w:rsid w:val="00F57B94"/>
    <w:rsid w:val="00F60323"/>
    <w:rsid w:val="00F60B13"/>
    <w:rsid w:val="00F61415"/>
    <w:rsid w:val="00F628F2"/>
    <w:rsid w:val="00F62EFF"/>
    <w:rsid w:val="00F6367B"/>
    <w:rsid w:val="00F63C74"/>
    <w:rsid w:val="00F65B67"/>
    <w:rsid w:val="00F65B98"/>
    <w:rsid w:val="00F661EE"/>
    <w:rsid w:val="00F67C8E"/>
    <w:rsid w:val="00F67F00"/>
    <w:rsid w:val="00F7019F"/>
    <w:rsid w:val="00F713F3"/>
    <w:rsid w:val="00F71B6F"/>
    <w:rsid w:val="00F72FC1"/>
    <w:rsid w:val="00F75EF8"/>
    <w:rsid w:val="00F764F0"/>
    <w:rsid w:val="00F76B9B"/>
    <w:rsid w:val="00F8082D"/>
    <w:rsid w:val="00F814FA"/>
    <w:rsid w:val="00F8170C"/>
    <w:rsid w:val="00F82408"/>
    <w:rsid w:val="00F829BF"/>
    <w:rsid w:val="00F82FD4"/>
    <w:rsid w:val="00F83476"/>
    <w:rsid w:val="00F83BAB"/>
    <w:rsid w:val="00F84BBA"/>
    <w:rsid w:val="00F84F96"/>
    <w:rsid w:val="00F85EC5"/>
    <w:rsid w:val="00F86B1C"/>
    <w:rsid w:val="00F877C1"/>
    <w:rsid w:val="00F904AA"/>
    <w:rsid w:val="00F9099E"/>
    <w:rsid w:val="00F91230"/>
    <w:rsid w:val="00F91BE8"/>
    <w:rsid w:val="00F91D5F"/>
    <w:rsid w:val="00F930B6"/>
    <w:rsid w:val="00F93E2E"/>
    <w:rsid w:val="00F94FE1"/>
    <w:rsid w:val="00F953FA"/>
    <w:rsid w:val="00F955BB"/>
    <w:rsid w:val="00F96CB8"/>
    <w:rsid w:val="00FA0574"/>
    <w:rsid w:val="00FA2117"/>
    <w:rsid w:val="00FA2513"/>
    <w:rsid w:val="00FA27FB"/>
    <w:rsid w:val="00FA28A7"/>
    <w:rsid w:val="00FA333D"/>
    <w:rsid w:val="00FA349F"/>
    <w:rsid w:val="00FA358E"/>
    <w:rsid w:val="00FA3C5E"/>
    <w:rsid w:val="00FA3DDC"/>
    <w:rsid w:val="00FA4D9B"/>
    <w:rsid w:val="00FA5A80"/>
    <w:rsid w:val="00FA712D"/>
    <w:rsid w:val="00FB1BF6"/>
    <w:rsid w:val="00FB3D26"/>
    <w:rsid w:val="00FB4BD1"/>
    <w:rsid w:val="00FB5061"/>
    <w:rsid w:val="00FB5B5D"/>
    <w:rsid w:val="00FB769C"/>
    <w:rsid w:val="00FB7C2C"/>
    <w:rsid w:val="00FC1E1F"/>
    <w:rsid w:val="00FC385D"/>
    <w:rsid w:val="00FC3F1A"/>
    <w:rsid w:val="00FC4A3B"/>
    <w:rsid w:val="00FC6B28"/>
    <w:rsid w:val="00FC70AB"/>
    <w:rsid w:val="00FC7577"/>
    <w:rsid w:val="00FD14A8"/>
    <w:rsid w:val="00FD27B0"/>
    <w:rsid w:val="00FD3384"/>
    <w:rsid w:val="00FD3BE6"/>
    <w:rsid w:val="00FD3FAF"/>
    <w:rsid w:val="00FD43FA"/>
    <w:rsid w:val="00FD50A5"/>
    <w:rsid w:val="00FD5EE4"/>
    <w:rsid w:val="00FE0429"/>
    <w:rsid w:val="00FE1820"/>
    <w:rsid w:val="00FE1F63"/>
    <w:rsid w:val="00FE22FF"/>
    <w:rsid w:val="00FE34CE"/>
    <w:rsid w:val="00FE3C51"/>
    <w:rsid w:val="00FE47AC"/>
    <w:rsid w:val="00FE5751"/>
    <w:rsid w:val="00FE60D7"/>
    <w:rsid w:val="00FE6705"/>
    <w:rsid w:val="00FE677C"/>
    <w:rsid w:val="00FE6E65"/>
    <w:rsid w:val="00FF136B"/>
    <w:rsid w:val="00FF1969"/>
    <w:rsid w:val="00FF6147"/>
    <w:rsid w:val="00FF6938"/>
    <w:rsid w:val="00FF72ED"/>
    <w:rsid w:val="00FF7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A11"/>
    <w:pPr>
      <w:ind w:left="720"/>
      <w:contextualSpacing/>
    </w:pPr>
  </w:style>
  <w:style w:type="paragraph" w:styleId="FootnoteText">
    <w:name w:val="footnote text"/>
    <w:basedOn w:val="Normal"/>
    <w:link w:val="FootnoteTextChar"/>
    <w:uiPriority w:val="99"/>
    <w:unhideWhenUsed/>
    <w:rsid w:val="00972B42"/>
    <w:pPr>
      <w:spacing w:after="0" w:line="240" w:lineRule="auto"/>
    </w:pPr>
    <w:rPr>
      <w:sz w:val="20"/>
      <w:szCs w:val="20"/>
    </w:rPr>
  </w:style>
  <w:style w:type="character" w:customStyle="1" w:styleId="FootnoteTextChar">
    <w:name w:val="Footnote Text Char"/>
    <w:basedOn w:val="DefaultParagraphFont"/>
    <w:link w:val="FootnoteText"/>
    <w:uiPriority w:val="99"/>
    <w:rsid w:val="00972B42"/>
    <w:rPr>
      <w:sz w:val="20"/>
      <w:szCs w:val="20"/>
    </w:rPr>
  </w:style>
  <w:style w:type="character" w:styleId="FootnoteReference">
    <w:name w:val="footnote reference"/>
    <w:basedOn w:val="DefaultParagraphFont"/>
    <w:uiPriority w:val="99"/>
    <w:unhideWhenUsed/>
    <w:rsid w:val="00972B42"/>
    <w:rPr>
      <w:vertAlign w:val="superscript"/>
    </w:rPr>
  </w:style>
  <w:style w:type="character" w:styleId="Hyperlink">
    <w:name w:val="Hyperlink"/>
    <w:basedOn w:val="DefaultParagraphFont"/>
    <w:uiPriority w:val="99"/>
    <w:unhideWhenUsed/>
    <w:rsid w:val="00707323"/>
    <w:rPr>
      <w:color w:val="0000FF"/>
      <w:u w:val="single"/>
    </w:rPr>
  </w:style>
  <w:style w:type="table" w:styleId="TableGrid">
    <w:name w:val="Table Grid"/>
    <w:basedOn w:val="TableNormal"/>
    <w:uiPriority w:val="59"/>
    <w:rsid w:val="001107D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0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7D8"/>
    <w:rPr>
      <w:rFonts w:ascii="Tahoma" w:hAnsi="Tahoma" w:cs="Tahoma"/>
      <w:sz w:val="16"/>
      <w:szCs w:val="16"/>
    </w:rPr>
  </w:style>
  <w:style w:type="paragraph" w:customStyle="1" w:styleId="Equation">
    <w:name w:val="Equation"/>
    <w:next w:val="Normal"/>
    <w:rsid w:val="007C32C1"/>
    <w:pPr>
      <w:tabs>
        <w:tab w:val="center" w:pos="3960"/>
      </w:tabs>
      <w:suppressAutoHyphens/>
      <w:spacing w:before="260" w:after="0" w:line="360" w:lineRule="auto"/>
    </w:pPr>
    <w:rPr>
      <w:rFonts w:ascii="Times New Roman" w:eastAsia="Calisto MT" w:hAnsi="Times New Roman" w:cs="TimesLTStd-Roman"/>
      <w:color w:val="000000"/>
      <w:sz w:val="24"/>
      <w:szCs w:val="20"/>
    </w:rPr>
  </w:style>
  <w:style w:type="character" w:styleId="FollowedHyperlink">
    <w:name w:val="FollowedHyperlink"/>
    <w:basedOn w:val="DefaultParagraphFont"/>
    <w:uiPriority w:val="99"/>
    <w:semiHidden/>
    <w:unhideWhenUsed/>
    <w:rsid w:val="00F829BF"/>
    <w:rPr>
      <w:color w:val="800080" w:themeColor="followedHyperlink"/>
      <w:u w:val="single"/>
    </w:rPr>
  </w:style>
  <w:style w:type="paragraph" w:styleId="Caption">
    <w:name w:val="caption"/>
    <w:basedOn w:val="Normal"/>
    <w:next w:val="Normal"/>
    <w:uiPriority w:val="35"/>
    <w:unhideWhenUsed/>
    <w:qFormat/>
    <w:rsid w:val="00BF62BC"/>
    <w:pPr>
      <w:spacing w:line="240" w:lineRule="auto"/>
    </w:pPr>
    <w:rPr>
      <w:rFonts w:eastAsiaTheme="minorEastAsia"/>
      <w:b/>
      <w:bCs/>
      <w:color w:val="4F81BD" w:themeColor="accent1"/>
      <w:sz w:val="18"/>
      <w:szCs w:val="18"/>
    </w:rPr>
  </w:style>
  <w:style w:type="paragraph" w:customStyle="1" w:styleId="TableNotes">
    <w:name w:val="Table Notes"/>
    <w:rsid w:val="00BF62BC"/>
    <w:pPr>
      <w:spacing w:before="120" w:after="0" w:line="180" w:lineRule="atLeast"/>
      <w:ind w:right="720"/>
      <w:jc w:val="both"/>
    </w:pPr>
    <w:rPr>
      <w:rFonts w:ascii="Times New Roman" w:eastAsia="Calisto MT" w:hAnsi="Times New Roman" w:cs="TimesLTStd-Roman"/>
      <w:color w:val="000000"/>
      <w:sz w:val="16"/>
      <w:szCs w:val="16"/>
    </w:rPr>
  </w:style>
  <w:style w:type="paragraph" w:styleId="Header">
    <w:name w:val="header"/>
    <w:basedOn w:val="Normal"/>
    <w:link w:val="HeaderChar"/>
    <w:uiPriority w:val="99"/>
    <w:unhideWhenUsed/>
    <w:rsid w:val="00F04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245"/>
  </w:style>
  <w:style w:type="paragraph" w:styleId="Footer">
    <w:name w:val="footer"/>
    <w:basedOn w:val="Normal"/>
    <w:link w:val="FooterChar"/>
    <w:uiPriority w:val="99"/>
    <w:unhideWhenUsed/>
    <w:rsid w:val="00F0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245"/>
  </w:style>
  <w:style w:type="character" w:styleId="PlaceholderText">
    <w:name w:val="Placeholder Text"/>
    <w:basedOn w:val="DefaultParagraphFont"/>
    <w:uiPriority w:val="99"/>
    <w:semiHidden/>
    <w:rsid w:val="0019023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A11"/>
    <w:pPr>
      <w:ind w:left="720"/>
      <w:contextualSpacing/>
    </w:pPr>
  </w:style>
  <w:style w:type="paragraph" w:styleId="FootnoteText">
    <w:name w:val="footnote text"/>
    <w:basedOn w:val="Normal"/>
    <w:link w:val="FootnoteTextChar"/>
    <w:uiPriority w:val="99"/>
    <w:unhideWhenUsed/>
    <w:rsid w:val="00972B42"/>
    <w:pPr>
      <w:spacing w:after="0" w:line="240" w:lineRule="auto"/>
    </w:pPr>
    <w:rPr>
      <w:sz w:val="20"/>
      <w:szCs w:val="20"/>
    </w:rPr>
  </w:style>
  <w:style w:type="character" w:customStyle="1" w:styleId="FootnoteTextChar">
    <w:name w:val="Footnote Text Char"/>
    <w:basedOn w:val="DefaultParagraphFont"/>
    <w:link w:val="FootnoteText"/>
    <w:uiPriority w:val="99"/>
    <w:rsid w:val="00972B42"/>
    <w:rPr>
      <w:sz w:val="20"/>
      <w:szCs w:val="20"/>
    </w:rPr>
  </w:style>
  <w:style w:type="character" w:styleId="FootnoteReference">
    <w:name w:val="footnote reference"/>
    <w:basedOn w:val="DefaultParagraphFont"/>
    <w:uiPriority w:val="99"/>
    <w:unhideWhenUsed/>
    <w:rsid w:val="00972B42"/>
    <w:rPr>
      <w:vertAlign w:val="superscript"/>
    </w:rPr>
  </w:style>
  <w:style w:type="character" w:styleId="Hyperlink">
    <w:name w:val="Hyperlink"/>
    <w:basedOn w:val="DefaultParagraphFont"/>
    <w:uiPriority w:val="99"/>
    <w:unhideWhenUsed/>
    <w:rsid w:val="00707323"/>
    <w:rPr>
      <w:color w:val="0000FF"/>
      <w:u w:val="single"/>
    </w:rPr>
  </w:style>
  <w:style w:type="table" w:styleId="TableGrid">
    <w:name w:val="Table Grid"/>
    <w:basedOn w:val="TableNormal"/>
    <w:uiPriority w:val="59"/>
    <w:rsid w:val="001107D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0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7D8"/>
    <w:rPr>
      <w:rFonts w:ascii="Tahoma" w:hAnsi="Tahoma" w:cs="Tahoma"/>
      <w:sz w:val="16"/>
      <w:szCs w:val="16"/>
    </w:rPr>
  </w:style>
  <w:style w:type="paragraph" w:customStyle="1" w:styleId="Equation">
    <w:name w:val="Equation"/>
    <w:next w:val="Normal"/>
    <w:rsid w:val="007C32C1"/>
    <w:pPr>
      <w:tabs>
        <w:tab w:val="center" w:pos="3960"/>
      </w:tabs>
      <w:suppressAutoHyphens/>
      <w:spacing w:before="260" w:after="0" w:line="360" w:lineRule="auto"/>
    </w:pPr>
    <w:rPr>
      <w:rFonts w:ascii="Times New Roman" w:eastAsia="Calisto MT" w:hAnsi="Times New Roman" w:cs="TimesLTStd-Roman"/>
      <w:color w:val="000000"/>
      <w:sz w:val="24"/>
      <w:szCs w:val="20"/>
    </w:rPr>
  </w:style>
  <w:style w:type="character" w:styleId="FollowedHyperlink">
    <w:name w:val="FollowedHyperlink"/>
    <w:basedOn w:val="DefaultParagraphFont"/>
    <w:uiPriority w:val="99"/>
    <w:semiHidden/>
    <w:unhideWhenUsed/>
    <w:rsid w:val="00F829BF"/>
    <w:rPr>
      <w:color w:val="800080" w:themeColor="followedHyperlink"/>
      <w:u w:val="single"/>
    </w:rPr>
  </w:style>
  <w:style w:type="paragraph" w:styleId="Caption">
    <w:name w:val="caption"/>
    <w:basedOn w:val="Normal"/>
    <w:next w:val="Normal"/>
    <w:uiPriority w:val="35"/>
    <w:unhideWhenUsed/>
    <w:qFormat/>
    <w:rsid w:val="00BF62BC"/>
    <w:pPr>
      <w:spacing w:line="240" w:lineRule="auto"/>
    </w:pPr>
    <w:rPr>
      <w:rFonts w:eastAsiaTheme="minorEastAsia"/>
      <w:b/>
      <w:bCs/>
      <w:color w:val="4F81BD" w:themeColor="accent1"/>
      <w:sz w:val="18"/>
      <w:szCs w:val="18"/>
    </w:rPr>
  </w:style>
  <w:style w:type="paragraph" w:customStyle="1" w:styleId="TableNotes">
    <w:name w:val="Table Notes"/>
    <w:rsid w:val="00BF62BC"/>
    <w:pPr>
      <w:spacing w:before="120" w:after="0" w:line="180" w:lineRule="atLeast"/>
      <w:ind w:right="720"/>
      <w:jc w:val="both"/>
    </w:pPr>
    <w:rPr>
      <w:rFonts w:ascii="Times New Roman" w:eastAsia="Calisto MT" w:hAnsi="Times New Roman" w:cs="TimesLTStd-Roman"/>
      <w:color w:val="000000"/>
      <w:sz w:val="16"/>
      <w:szCs w:val="16"/>
    </w:rPr>
  </w:style>
  <w:style w:type="paragraph" w:styleId="Header">
    <w:name w:val="header"/>
    <w:basedOn w:val="Normal"/>
    <w:link w:val="HeaderChar"/>
    <w:uiPriority w:val="99"/>
    <w:unhideWhenUsed/>
    <w:rsid w:val="00F04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245"/>
  </w:style>
  <w:style w:type="paragraph" w:styleId="Footer">
    <w:name w:val="footer"/>
    <w:basedOn w:val="Normal"/>
    <w:link w:val="FooterChar"/>
    <w:uiPriority w:val="99"/>
    <w:unhideWhenUsed/>
    <w:rsid w:val="00F0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245"/>
  </w:style>
  <w:style w:type="character" w:styleId="PlaceholderText">
    <w:name w:val="Placeholder Text"/>
    <w:basedOn w:val="DefaultParagraphFont"/>
    <w:uiPriority w:val="99"/>
    <w:semiHidden/>
    <w:rsid w:val="001902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41271">
      <w:bodyDiv w:val="1"/>
      <w:marLeft w:val="0"/>
      <w:marRight w:val="0"/>
      <w:marTop w:val="0"/>
      <w:marBottom w:val="0"/>
      <w:divBdr>
        <w:top w:val="none" w:sz="0" w:space="0" w:color="auto"/>
        <w:left w:val="none" w:sz="0" w:space="0" w:color="auto"/>
        <w:bottom w:val="none" w:sz="0" w:space="0" w:color="auto"/>
        <w:right w:val="none" w:sz="0" w:space="0" w:color="auto"/>
      </w:divBdr>
      <w:divsChild>
        <w:div w:id="1071848296">
          <w:marLeft w:val="0"/>
          <w:marRight w:val="0"/>
          <w:marTop w:val="0"/>
          <w:marBottom w:val="0"/>
          <w:divBdr>
            <w:top w:val="none" w:sz="0" w:space="0" w:color="auto"/>
            <w:left w:val="none" w:sz="0" w:space="0" w:color="auto"/>
            <w:bottom w:val="none" w:sz="0" w:space="0" w:color="auto"/>
            <w:right w:val="none" w:sz="0" w:space="0" w:color="auto"/>
          </w:divBdr>
          <w:divsChild>
            <w:div w:id="177083402">
              <w:marLeft w:val="0"/>
              <w:marRight w:val="0"/>
              <w:marTop w:val="0"/>
              <w:marBottom w:val="0"/>
              <w:divBdr>
                <w:top w:val="none" w:sz="0" w:space="0" w:color="auto"/>
                <w:left w:val="none" w:sz="0" w:space="0" w:color="auto"/>
                <w:bottom w:val="none" w:sz="0" w:space="0" w:color="auto"/>
                <w:right w:val="none" w:sz="0" w:space="0" w:color="auto"/>
              </w:divBdr>
              <w:divsChild>
                <w:div w:id="1201018601">
                  <w:marLeft w:val="0"/>
                  <w:marRight w:val="0"/>
                  <w:marTop w:val="0"/>
                  <w:marBottom w:val="0"/>
                  <w:divBdr>
                    <w:top w:val="none" w:sz="0" w:space="0" w:color="auto"/>
                    <w:left w:val="none" w:sz="0" w:space="0" w:color="auto"/>
                    <w:bottom w:val="none" w:sz="0" w:space="0" w:color="auto"/>
                    <w:right w:val="none" w:sz="0" w:space="0" w:color="auto"/>
                  </w:divBdr>
                  <w:divsChild>
                    <w:div w:id="1054700380">
                      <w:marLeft w:val="150"/>
                      <w:marRight w:val="375"/>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4951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frakes\Documents\avoidcomp2_dynamic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frakes\Documents\avoidcomp2_dynamic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frakes\Documents\avoidcomp2_dynamic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frakes\Documents\avoidcomp2_dynamic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frakes\Documents\avoidcomp2_dynamic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200" b="1" i="0" baseline="0">
                <a:effectLst/>
              </a:rPr>
              <a:t>Figure C1.  Liability Standards Analysis, Dynamic Difference-in-Difference Regression Results: Inpatient Mortality Rate for Selected Conditions, Initially Low-Quality States</a:t>
            </a:r>
            <a:endParaRPr lang="en-US" sz="1200">
              <a:effectLs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a:p>
        </c:rich>
      </c:tx>
      <c:layout>
        <c:manualLayout>
          <c:xMode val="edge"/>
          <c:yMode val="edge"/>
          <c:x val="0.13228477690288715"/>
          <c:y val="2.5431425976385105E-2"/>
        </c:manualLayout>
      </c:layout>
      <c:overlay val="0"/>
    </c:title>
    <c:autoTitleDeleted val="0"/>
    <c:plotArea>
      <c:layout/>
      <c:scatterChart>
        <c:scatterStyle val="smoothMarker"/>
        <c:varyColors val="0"/>
        <c:ser>
          <c:idx val="0"/>
          <c:order val="0"/>
          <c:tx>
            <c:strRef>
              <c:f>Sheet7!$J$4</c:f>
              <c:strCache>
                <c:ptCount val="1"/>
                <c:pt idx="0">
                  <c:v>Mean</c:v>
                </c:pt>
              </c:strCache>
            </c:strRef>
          </c:tx>
          <c:marker>
            <c:symbol val="none"/>
          </c:marker>
          <c:xVal>
            <c:numRef>
              <c:f>Sheet7!$I$5:$I$14</c:f>
              <c:numCache>
                <c:formatCode>General</c:formatCode>
                <c:ptCount val="10"/>
                <c:pt idx="0">
                  <c:v>-4</c:v>
                </c:pt>
                <c:pt idx="1">
                  <c:v>-3</c:v>
                </c:pt>
                <c:pt idx="2">
                  <c:v>-2</c:v>
                </c:pt>
                <c:pt idx="3">
                  <c:v>-1</c:v>
                </c:pt>
                <c:pt idx="4">
                  <c:v>0</c:v>
                </c:pt>
                <c:pt idx="5">
                  <c:v>1</c:v>
                </c:pt>
                <c:pt idx="6">
                  <c:v>2</c:v>
                </c:pt>
                <c:pt idx="7">
                  <c:v>3</c:v>
                </c:pt>
                <c:pt idx="8">
                  <c:v>4</c:v>
                </c:pt>
                <c:pt idx="9">
                  <c:v>5</c:v>
                </c:pt>
              </c:numCache>
            </c:numRef>
          </c:xVal>
          <c:yVal>
            <c:numRef>
              <c:f>Sheet7!$J$5:$J$14</c:f>
              <c:numCache>
                <c:formatCode>General</c:formatCode>
                <c:ptCount val="10"/>
                <c:pt idx="0">
                  <c:v>0</c:v>
                </c:pt>
                <c:pt idx="1">
                  <c:v>-4.0968699999999997E-2</c:v>
                </c:pt>
                <c:pt idx="2">
                  <c:v>-0.17953430000000001</c:v>
                </c:pt>
                <c:pt idx="3">
                  <c:v>-8.4169200000000013E-2</c:v>
                </c:pt>
                <c:pt idx="4">
                  <c:v>3.6243399999999981E-2</c:v>
                </c:pt>
                <c:pt idx="5">
                  <c:v>-7.1238100000000013E-2</c:v>
                </c:pt>
                <c:pt idx="6">
                  <c:v>-0.10306200000000001</c:v>
                </c:pt>
                <c:pt idx="7">
                  <c:v>-0.1802299</c:v>
                </c:pt>
                <c:pt idx="8">
                  <c:v>-9.6415100000000004E-2</c:v>
                </c:pt>
                <c:pt idx="9">
                  <c:v>-0.22683220000000001</c:v>
                </c:pt>
              </c:numCache>
            </c:numRef>
          </c:yVal>
          <c:smooth val="1"/>
        </c:ser>
        <c:ser>
          <c:idx val="1"/>
          <c:order val="1"/>
          <c:tx>
            <c:strRef>
              <c:f>Sheet7!$K$4</c:f>
              <c:strCache>
                <c:ptCount val="1"/>
                <c:pt idx="0">
                  <c:v>Bottom</c:v>
                </c:pt>
              </c:strCache>
            </c:strRef>
          </c:tx>
          <c:spPr>
            <a:ln>
              <a:prstDash val="sysDot"/>
            </a:ln>
          </c:spPr>
          <c:marker>
            <c:symbol val="none"/>
          </c:marker>
          <c:xVal>
            <c:numRef>
              <c:f>Sheet7!$I$5:$I$14</c:f>
              <c:numCache>
                <c:formatCode>General</c:formatCode>
                <c:ptCount val="10"/>
                <c:pt idx="0">
                  <c:v>-4</c:v>
                </c:pt>
                <c:pt idx="1">
                  <c:v>-3</c:v>
                </c:pt>
                <c:pt idx="2">
                  <c:v>-2</c:v>
                </c:pt>
                <c:pt idx="3">
                  <c:v>-1</c:v>
                </c:pt>
                <c:pt idx="4">
                  <c:v>0</c:v>
                </c:pt>
                <c:pt idx="5">
                  <c:v>1</c:v>
                </c:pt>
                <c:pt idx="6">
                  <c:v>2</c:v>
                </c:pt>
                <c:pt idx="7">
                  <c:v>3</c:v>
                </c:pt>
                <c:pt idx="8">
                  <c:v>4</c:v>
                </c:pt>
                <c:pt idx="9">
                  <c:v>5</c:v>
                </c:pt>
              </c:numCache>
            </c:numRef>
          </c:xVal>
          <c:yVal>
            <c:numRef>
              <c:f>Sheet7!$K$5:$K$14</c:f>
              <c:numCache>
                <c:formatCode>General</c:formatCode>
                <c:ptCount val="10"/>
                <c:pt idx="0">
                  <c:v>0</c:v>
                </c:pt>
                <c:pt idx="1">
                  <c:v>-0.2925913</c:v>
                </c:pt>
                <c:pt idx="2">
                  <c:v>-0.34626999999999997</c:v>
                </c:pt>
                <c:pt idx="3">
                  <c:v>-0.27190130000000001</c:v>
                </c:pt>
                <c:pt idx="4">
                  <c:v>-0.23970140000000001</c:v>
                </c:pt>
                <c:pt idx="5">
                  <c:v>-0.22481450000000003</c:v>
                </c:pt>
                <c:pt idx="6">
                  <c:v>-0.26566190000000001</c:v>
                </c:pt>
                <c:pt idx="7">
                  <c:v>-0.43146419999999996</c:v>
                </c:pt>
                <c:pt idx="8">
                  <c:v>-0.41159080000000003</c:v>
                </c:pt>
                <c:pt idx="9">
                  <c:v>-0.42248730000000001</c:v>
                </c:pt>
              </c:numCache>
            </c:numRef>
          </c:yVal>
          <c:smooth val="1"/>
        </c:ser>
        <c:ser>
          <c:idx val="2"/>
          <c:order val="2"/>
          <c:tx>
            <c:strRef>
              <c:f>Sheet7!$L$4</c:f>
              <c:strCache>
                <c:ptCount val="1"/>
                <c:pt idx="0">
                  <c:v>Top</c:v>
                </c:pt>
              </c:strCache>
            </c:strRef>
          </c:tx>
          <c:spPr>
            <a:ln>
              <a:prstDash val="sysDot"/>
            </a:ln>
          </c:spPr>
          <c:marker>
            <c:symbol val="none"/>
          </c:marker>
          <c:xVal>
            <c:numRef>
              <c:f>Sheet7!$I$5:$I$14</c:f>
              <c:numCache>
                <c:formatCode>General</c:formatCode>
                <c:ptCount val="10"/>
                <c:pt idx="0">
                  <c:v>-4</c:v>
                </c:pt>
                <c:pt idx="1">
                  <c:v>-3</c:v>
                </c:pt>
                <c:pt idx="2">
                  <c:v>-2</c:v>
                </c:pt>
                <c:pt idx="3">
                  <c:v>-1</c:v>
                </c:pt>
                <c:pt idx="4">
                  <c:v>0</c:v>
                </c:pt>
                <c:pt idx="5">
                  <c:v>1</c:v>
                </c:pt>
                <c:pt idx="6">
                  <c:v>2</c:v>
                </c:pt>
                <c:pt idx="7">
                  <c:v>3</c:v>
                </c:pt>
                <c:pt idx="8">
                  <c:v>4</c:v>
                </c:pt>
                <c:pt idx="9">
                  <c:v>5</c:v>
                </c:pt>
              </c:numCache>
            </c:numRef>
          </c:xVal>
          <c:yVal>
            <c:numRef>
              <c:f>Sheet7!$L$5:$L$14</c:f>
              <c:numCache>
                <c:formatCode>General</c:formatCode>
                <c:ptCount val="10"/>
                <c:pt idx="0">
                  <c:v>0</c:v>
                </c:pt>
                <c:pt idx="1">
                  <c:v>0.21065390000000003</c:v>
                </c:pt>
                <c:pt idx="2">
                  <c:v>-1.2798599999999993E-2</c:v>
                </c:pt>
                <c:pt idx="3">
                  <c:v>0.103563</c:v>
                </c:pt>
                <c:pt idx="4">
                  <c:v>0.31218820000000003</c:v>
                </c:pt>
                <c:pt idx="5">
                  <c:v>8.2338299999999989E-2</c:v>
                </c:pt>
                <c:pt idx="6">
                  <c:v>5.9537999999999994E-2</c:v>
                </c:pt>
                <c:pt idx="7">
                  <c:v>7.1005499999999985E-2</c:v>
                </c:pt>
                <c:pt idx="8">
                  <c:v>0.2187605</c:v>
                </c:pt>
                <c:pt idx="9">
                  <c:v>-3.1177099999999985E-2</c:v>
                </c:pt>
              </c:numCache>
            </c:numRef>
          </c:yVal>
          <c:smooth val="1"/>
        </c:ser>
        <c:dLbls>
          <c:showLegendKey val="0"/>
          <c:showVal val="0"/>
          <c:showCatName val="0"/>
          <c:showSerName val="0"/>
          <c:showPercent val="0"/>
          <c:showBubbleSize val="0"/>
        </c:dLbls>
        <c:axId val="169791872"/>
        <c:axId val="169793792"/>
      </c:scatterChart>
      <c:valAx>
        <c:axId val="169791872"/>
        <c:scaling>
          <c:orientation val="minMax"/>
        </c:scaling>
        <c:delete val="0"/>
        <c:axPos val="b"/>
        <c:title>
          <c:tx>
            <c:rich>
              <a:bodyPr/>
              <a:lstStyle/>
              <a:p>
                <a:pPr>
                  <a:defRPr/>
                </a:pPr>
                <a:r>
                  <a:rPr lang="en-US" sz="1000" b="1" i="0" u="none" strike="noStrike" baseline="0">
                    <a:effectLst/>
                  </a:rPr>
                  <a:t>Time (Years Prior to and Subsequent to Adoption of National Standard Rules</a:t>
                </a:r>
                <a:endParaRPr lang="en-US"/>
              </a:p>
            </c:rich>
          </c:tx>
          <c:overlay val="0"/>
        </c:title>
        <c:numFmt formatCode="General" sourceLinked="1"/>
        <c:majorTickMark val="none"/>
        <c:minorTickMark val="none"/>
        <c:tickLblPos val="nextTo"/>
        <c:spPr>
          <a:ln w="38100"/>
        </c:spPr>
        <c:crossAx val="169793792"/>
        <c:crosses val="autoZero"/>
        <c:crossBetween val="midCat"/>
      </c:valAx>
      <c:valAx>
        <c:axId val="169793792"/>
        <c:scaling>
          <c:orientation val="minMax"/>
        </c:scaling>
        <c:delete val="0"/>
        <c:axPos val="l"/>
        <c:majorGridlines/>
        <c:title>
          <c:tx>
            <c:rich>
              <a:bodyPr/>
              <a:lstStyle/>
              <a:p>
                <a:pPr>
                  <a:defRPr/>
                </a:pPr>
                <a:r>
                  <a:rPr lang="en-US" sz="1000" b="1" i="0" baseline="0">
                    <a:effectLst/>
                  </a:rPr>
                  <a:t>Time Trend in Differential Inpatient Mortality Rate</a:t>
                </a:r>
                <a:endParaRPr lang="en-US" sz="1000">
                  <a:effectLst/>
                </a:endParaRPr>
              </a:p>
              <a:p>
                <a:pPr>
                  <a:defRPr/>
                </a:pPr>
                <a:r>
                  <a:rPr lang="en-US" sz="1000" b="1" i="0" baseline="0">
                    <a:effectLst/>
                  </a:rPr>
                  <a:t>between Treatment and Control States, </a:t>
                </a:r>
                <a:endParaRPr lang="en-US" sz="1000">
                  <a:effectLst/>
                </a:endParaRPr>
              </a:p>
              <a:p>
                <a:pPr>
                  <a:defRPr/>
                </a:pPr>
                <a:r>
                  <a:rPr lang="en-US" sz="1000" b="1" i="0" baseline="0">
                    <a:effectLst/>
                  </a:rPr>
                  <a:t>Scaled by Overall Mean Rate</a:t>
                </a:r>
                <a:endParaRPr lang="en-US" sz="1000">
                  <a:effectLst/>
                </a:endParaRPr>
              </a:p>
              <a:p>
                <a:pPr>
                  <a:defRPr/>
                </a:pPr>
                <a:endParaRPr lang="en-US"/>
              </a:p>
            </c:rich>
          </c:tx>
          <c:overlay val="0"/>
        </c:title>
        <c:numFmt formatCode="General" sourceLinked="1"/>
        <c:majorTickMark val="none"/>
        <c:minorTickMark val="none"/>
        <c:tickLblPos val="nextTo"/>
        <c:crossAx val="169791872"/>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200" b="1" i="0" baseline="0">
                <a:effectLst/>
              </a:rPr>
              <a:t>Figure C2.  Liability Standards Analysis, Dynamic Difference-in-Difference Regression Results: Avoidable Hospitalizations, Initially Low-Quality States</a:t>
            </a:r>
            <a:endParaRPr lang="en-US" sz="1200">
              <a:effectLs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a:p>
        </c:rich>
      </c:tx>
      <c:overlay val="0"/>
    </c:title>
    <c:autoTitleDeleted val="0"/>
    <c:plotArea>
      <c:layout/>
      <c:scatterChart>
        <c:scatterStyle val="smoothMarker"/>
        <c:varyColors val="0"/>
        <c:ser>
          <c:idx val="0"/>
          <c:order val="0"/>
          <c:tx>
            <c:strRef>
              <c:f>Sheet10!$H$16</c:f>
              <c:strCache>
                <c:ptCount val="1"/>
                <c:pt idx="0">
                  <c:v>Mean</c:v>
                </c:pt>
              </c:strCache>
            </c:strRef>
          </c:tx>
          <c:marker>
            <c:symbol val="none"/>
          </c:marker>
          <c:xVal>
            <c:numRef>
              <c:f>Sheet10!$G$17:$G$26</c:f>
              <c:numCache>
                <c:formatCode>General</c:formatCode>
                <c:ptCount val="10"/>
                <c:pt idx="0">
                  <c:v>-4</c:v>
                </c:pt>
                <c:pt idx="1">
                  <c:v>-3</c:v>
                </c:pt>
                <c:pt idx="2">
                  <c:v>-2</c:v>
                </c:pt>
                <c:pt idx="3">
                  <c:v>-1</c:v>
                </c:pt>
                <c:pt idx="4">
                  <c:v>0</c:v>
                </c:pt>
                <c:pt idx="5">
                  <c:v>1</c:v>
                </c:pt>
                <c:pt idx="6">
                  <c:v>2</c:v>
                </c:pt>
                <c:pt idx="7">
                  <c:v>3</c:v>
                </c:pt>
                <c:pt idx="8">
                  <c:v>4</c:v>
                </c:pt>
                <c:pt idx="9">
                  <c:v>5</c:v>
                </c:pt>
              </c:numCache>
            </c:numRef>
          </c:xVal>
          <c:yVal>
            <c:numRef>
              <c:f>Sheet10!$H$17:$H$26</c:f>
              <c:numCache>
                <c:formatCode>General</c:formatCode>
                <c:ptCount val="10"/>
                <c:pt idx="0">
                  <c:v>0</c:v>
                </c:pt>
                <c:pt idx="1">
                  <c:v>7.5364500000000001E-2</c:v>
                </c:pt>
                <c:pt idx="2">
                  <c:v>0.1047305</c:v>
                </c:pt>
                <c:pt idx="3">
                  <c:v>0.1008646</c:v>
                </c:pt>
                <c:pt idx="4">
                  <c:v>3.66538E-2</c:v>
                </c:pt>
                <c:pt idx="5">
                  <c:v>2.9968000000000002E-2</c:v>
                </c:pt>
                <c:pt idx="6">
                  <c:v>-0.2025605</c:v>
                </c:pt>
                <c:pt idx="7">
                  <c:v>-0.15370110000000001</c:v>
                </c:pt>
                <c:pt idx="8">
                  <c:v>-0.28866890000000001</c:v>
                </c:pt>
                <c:pt idx="9">
                  <c:v>-0.45351059999999999</c:v>
                </c:pt>
              </c:numCache>
            </c:numRef>
          </c:yVal>
          <c:smooth val="1"/>
        </c:ser>
        <c:ser>
          <c:idx val="1"/>
          <c:order val="1"/>
          <c:tx>
            <c:strRef>
              <c:f>Sheet10!$I$16</c:f>
              <c:strCache>
                <c:ptCount val="1"/>
                <c:pt idx="0">
                  <c:v>Bottom</c:v>
                </c:pt>
              </c:strCache>
            </c:strRef>
          </c:tx>
          <c:spPr>
            <a:ln>
              <a:prstDash val="sysDot"/>
            </a:ln>
          </c:spPr>
          <c:marker>
            <c:symbol val="none"/>
          </c:marker>
          <c:xVal>
            <c:numRef>
              <c:f>Sheet10!$G$17:$G$26</c:f>
              <c:numCache>
                <c:formatCode>General</c:formatCode>
                <c:ptCount val="10"/>
                <c:pt idx="0">
                  <c:v>-4</c:v>
                </c:pt>
                <c:pt idx="1">
                  <c:v>-3</c:v>
                </c:pt>
                <c:pt idx="2">
                  <c:v>-2</c:v>
                </c:pt>
                <c:pt idx="3">
                  <c:v>-1</c:v>
                </c:pt>
                <c:pt idx="4">
                  <c:v>0</c:v>
                </c:pt>
                <c:pt idx="5">
                  <c:v>1</c:v>
                </c:pt>
                <c:pt idx="6">
                  <c:v>2</c:v>
                </c:pt>
                <c:pt idx="7">
                  <c:v>3</c:v>
                </c:pt>
                <c:pt idx="8">
                  <c:v>4</c:v>
                </c:pt>
                <c:pt idx="9">
                  <c:v>5</c:v>
                </c:pt>
              </c:numCache>
            </c:numRef>
          </c:xVal>
          <c:yVal>
            <c:numRef>
              <c:f>Sheet10!$I$17:$I$26</c:f>
              <c:numCache>
                <c:formatCode>General</c:formatCode>
                <c:ptCount val="10"/>
                <c:pt idx="0">
                  <c:v>0</c:v>
                </c:pt>
                <c:pt idx="1">
                  <c:v>-0.1029958</c:v>
                </c:pt>
                <c:pt idx="2">
                  <c:v>-0.1762879</c:v>
                </c:pt>
                <c:pt idx="3">
                  <c:v>-5.1527500000000004E-2</c:v>
                </c:pt>
                <c:pt idx="4">
                  <c:v>-0.12204540000000001</c:v>
                </c:pt>
                <c:pt idx="5">
                  <c:v>-0.1521769</c:v>
                </c:pt>
                <c:pt idx="6">
                  <c:v>-0.48904639999999999</c:v>
                </c:pt>
                <c:pt idx="7">
                  <c:v>-0.28987649999999998</c:v>
                </c:pt>
                <c:pt idx="8">
                  <c:v>-0.49740649999999997</c:v>
                </c:pt>
                <c:pt idx="9">
                  <c:v>-0.73052620000000001</c:v>
                </c:pt>
              </c:numCache>
            </c:numRef>
          </c:yVal>
          <c:smooth val="1"/>
        </c:ser>
        <c:ser>
          <c:idx val="2"/>
          <c:order val="2"/>
          <c:tx>
            <c:strRef>
              <c:f>Sheet10!$J$16</c:f>
              <c:strCache>
                <c:ptCount val="1"/>
                <c:pt idx="0">
                  <c:v>Top</c:v>
                </c:pt>
              </c:strCache>
            </c:strRef>
          </c:tx>
          <c:spPr>
            <a:ln>
              <a:prstDash val="sysDot"/>
            </a:ln>
          </c:spPr>
          <c:marker>
            <c:symbol val="none"/>
          </c:marker>
          <c:xVal>
            <c:numRef>
              <c:f>Sheet10!$G$17:$G$26</c:f>
              <c:numCache>
                <c:formatCode>General</c:formatCode>
                <c:ptCount val="10"/>
                <c:pt idx="0">
                  <c:v>-4</c:v>
                </c:pt>
                <c:pt idx="1">
                  <c:v>-3</c:v>
                </c:pt>
                <c:pt idx="2">
                  <c:v>-2</c:v>
                </c:pt>
                <c:pt idx="3">
                  <c:v>-1</c:v>
                </c:pt>
                <c:pt idx="4">
                  <c:v>0</c:v>
                </c:pt>
                <c:pt idx="5">
                  <c:v>1</c:v>
                </c:pt>
                <c:pt idx="6">
                  <c:v>2</c:v>
                </c:pt>
                <c:pt idx="7">
                  <c:v>3</c:v>
                </c:pt>
                <c:pt idx="8">
                  <c:v>4</c:v>
                </c:pt>
                <c:pt idx="9">
                  <c:v>5</c:v>
                </c:pt>
              </c:numCache>
            </c:numRef>
          </c:xVal>
          <c:yVal>
            <c:numRef>
              <c:f>Sheet10!$J$17:$J$26</c:f>
              <c:numCache>
                <c:formatCode>General</c:formatCode>
                <c:ptCount val="10"/>
                <c:pt idx="0">
                  <c:v>0</c:v>
                </c:pt>
                <c:pt idx="1">
                  <c:v>0.25369999999999998</c:v>
                </c:pt>
                <c:pt idx="2">
                  <c:v>0.38611450000000003</c:v>
                </c:pt>
                <c:pt idx="3">
                  <c:v>0.2532568</c:v>
                </c:pt>
                <c:pt idx="4">
                  <c:v>0.19325009999999998</c:v>
                </c:pt>
                <c:pt idx="5">
                  <c:v>0.21214479999999999</c:v>
                </c:pt>
                <c:pt idx="6">
                  <c:v>8.3925499999999986E-2</c:v>
                </c:pt>
                <c:pt idx="7">
                  <c:v>-1.7525499999999999E-2</c:v>
                </c:pt>
                <c:pt idx="8">
                  <c:v>-7.9931300000000011E-2</c:v>
                </c:pt>
                <c:pt idx="9">
                  <c:v>-0.17649499999999999</c:v>
                </c:pt>
              </c:numCache>
            </c:numRef>
          </c:yVal>
          <c:smooth val="1"/>
        </c:ser>
        <c:dLbls>
          <c:showLegendKey val="0"/>
          <c:showVal val="0"/>
          <c:showCatName val="0"/>
          <c:showSerName val="0"/>
          <c:showPercent val="0"/>
          <c:showBubbleSize val="0"/>
        </c:dLbls>
        <c:axId val="170119552"/>
        <c:axId val="170121472"/>
      </c:scatterChart>
      <c:valAx>
        <c:axId val="170119552"/>
        <c:scaling>
          <c:orientation val="minMax"/>
        </c:scaling>
        <c:delete val="0"/>
        <c:axPos val="b"/>
        <c:title>
          <c:tx>
            <c:rich>
              <a:bodyPr/>
              <a:lstStyle/>
              <a:p>
                <a:pPr>
                  <a:defRPr/>
                </a:pPr>
                <a:r>
                  <a:rPr lang="en-US" sz="1000" b="1" i="0" u="none" strike="noStrike" baseline="0">
                    <a:effectLst/>
                  </a:rPr>
                  <a:t>Time (Years Prior to and Subsequent to Adoption of National Standard Rules</a:t>
                </a:r>
                <a:endParaRPr lang="en-US"/>
              </a:p>
            </c:rich>
          </c:tx>
          <c:overlay val="0"/>
        </c:title>
        <c:numFmt formatCode="General" sourceLinked="1"/>
        <c:majorTickMark val="none"/>
        <c:minorTickMark val="none"/>
        <c:tickLblPos val="nextTo"/>
        <c:crossAx val="170121472"/>
        <c:crosses val="autoZero"/>
        <c:crossBetween val="midCat"/>
      </c:valAx>
      <c:valAx>
        <c:axId val="170121472"/>
        <c:scaling>
          <c:orientation val="minMax"/>
        </c:scaling>
        <c:delete val="0"/>
        <c:axPos val="l"/>
        <c:majorGridlines/>
        <c:title>
          <c:tx>
            <c:rich>
              <a:bodyPr/>
              <a:lstStyle/>
              <a:p>
                <a:pPr>
                  <a:defRPr/>
                </a:pPr>
                <a:r>
                  <a:rPr lang="en-US" sz="1000" b="1" i="0" baseline="0">
                    <a:effectLst/>
                  </a:rPr>
                  <a:t>Time Trend in Differential Avoidable </a:t>
                </a:r>
                <a:endParaRPr lang="en-US" sz="1000">
                  <a:effectLst/>
                </a:endParaRPr>
              </a:p>
              <a:p>
                <a:pPr>
                  <a:defRPr/>
                </a:pPr>
                <a:r>
                  <a:rPr lang="en-US" sz="1000" b="1" i="0" baseline="0">
                    <a:effectLst/>
                  </a:rPr>
                  <a:t>Hospitalization Rate between Treatment and </a:t>
                </a:r>
              </a:p>
              <a:p>
                <a:pPr>
                  <a:defRPr/>
                </a:pPr>
                <a:r>
                  <a:rPr lang="en-US" sz="1000" b="1" i="0" baseline="0">
                    <a:effectLst/>
                  </a:rPr>
                  <a:t>Control States, Scaled by Overall Mean Rate</a:t>
                </a:r>
                <a:endParaRPr lang="en-US" sz="1000">
                  <a:effectLst/>
                </a:endParaRPr>
              </a:p>
              <a:p>
                <a:pPr>
                  <a:defRPr/>
                </a:pPr>
                <a:endParaRPr lang="en-US"/>
              </a:p>
            </c:rich>
          </c:tx>
          <c:overlay val="0"/>
        </c:title>
        <c:numFmt formatCode="General" sourceLinked="1"/>
        <c:majorTickMark val="none"/>
        <c:minorTickMark val="none"/>
        <c:tickLblPos val="nextTo"/>
        <c:crossAx val="170119552"/>
        <c:crosses val="autoZero"/>
        <c:crossBetween val="midCat"/>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200" b="1" i="0" baseline="0">
                <a:effectLst/>
              </a:rPr>
              <a:t>Figure C3.  Liability Standards Analysis, Dynamic Difference-in-Difference Regression Results: Low-Discretionary Avoidable Hospitalizations, Initially Low-Quality States</a:t>
            </a:r>
            <a:endParaRPr lang="en-US" sz="1200">
              <a:effectLst/>
            </a:endParaRPr>
          </a:p>
        </c:rich>
      </c:tx>
      <c:overlay val="0"/>
    </c:title>
    <c:autoTitleDeleted val="0"/>
    <c:plotArea>
      <c:layout/>
      <c:scatterChart>
        <c:scatterStyle val="smoothMarker"/>
        <c:varyColors val="0"/>
        <c:ser>
          <c:idx val="0"/>
          <c:order val="0"/>
          <c:tx>
            <c:strRef>
              <c:f>Sheet6!$K$4</c:f>
              <c:strCache>
                <c:ptCount val="1"/>
                <c:pt idx="0">
                  <c:v>Mean</c:v>
                </c:pt>
              </c:strCache>
            </c:strRef>
          </c:tx>
          <c:marker>
            <c:symbol val="none"/>
          </c:marker>
          <c:xVal>
            <c:numRef>
              <c:f>Sheet6!$J$5:$J$14</c:f>
              <c:numCache>
                <c:formatCode>General</c:formatCode>
                <c:ptCount val="10"/>
                <c:pt idx="0">
                  <c:v>-4</c:v>
                </c:pt>
                <c:pt idx="1">
                  <c:v>-3</c:v>
                </c:pt>
                <c:pt idx="2">
                  <c:v>-2</c:v>
                </c:pt>
                <c:pt idx="3">
                  <c:v>-1</c:v>
                </c:pt>
                <c:pt idx="4">
                  <c:v>0</c:v>
                </c:pt>
                <c:pt idx="5">
                  <c:v>1</c:v>
                </c:pt>
                <c:pt idx="6">
                  <c:v>2</c:v>
                </c:pt>
                <c:pt idx="7">
                  <c:v>3</c:v>
                </c:pt>
                <c:pt idx="8">
                  <c:v>4</c:v>
                </c:pt>
                <c:pt idx="9">
                  <c:v>5</c:v>
                </c:pt>
              </c:numCache>
            </c:numRef>
          </c:xVal>
          <c:yVal>
            <c:numRef>
              <c:f>Sheet6!$K$5:$K$14</c:f>
              <c:numCache>
                <c:formatCode>General</c:formatCode>
                <c:ptCount val="10"/>
                <c:pt idx="0">
                  <c:v>0</c:v>
                </c:pt>
                <c:pt idx="1">
                  <c:v>0.1014137</c:v>
                </c:pt>
                <c:pt idx="2">
                  <c:v>0.18350919999999998</c:v>
                </c:pt>
                <c:pt idx="3">
                  <c:v>0.20813879999999998</c:v>
                </c:pt>
                <c:pt idx="4">
                  <c:v>9.2049299999999987E-2</c:v>
                </c:pt>
                <c:pt idx="5">
                  <c:v>8.847519999999999E-2</c:v>
                </c:pt>
                <c:pt idx="6">
                  <c:v>-0.1686705</c:v>
                </c:pt>
                <c:pt idx="7">
                  <c:v>-0.1419607</c:v>
                </c:pt>
                <c:pt idx="8">
                  <c:v>-0.27977830000000004</c:v>
                </c:pt>
                <c:pt idx="9">
                  <c:v>-0.46325310000000003</c:v>
                </c:pt>
              </c:numCache>
            </c:numRef>
          </c:yVal>
          <c:smooth val="1"/>
        </c:ser>
        <c:ser>
          <c:idx val="1"/>
          <c:order val="1"/>
          <c:tx>
            <c:strRef>
              <c:f>Sheet6!$L$4</c:f>
              <c:strCache>
                <c:ptCount val="1"/>
                <c:pt idx="0">
                  <c:v>Bottom</c:v>
                </c:pt>
              </c:strCache>
            </c:strRef>
          </c:tx>
          <c:spPr>
            <a:ln>
              <a:prstDash val="sysDot"/>
            </a:ln>
          </c:spPr>
          <c:marker>
            <c:symbol val="none"/>
          </c:marker>
          <c:xVal>
            <c:numRef>
              <c:f>Sheet6!$J$5:$J$14</c:f>
              <c:numCache>
                <c:formatCode>General</c:formatCode>
                <c:ptCount val="10"/>
                <c:pt idx="0">
                  <c:v>-4</c:v>
                </c:pt>
                <c:pt idx="1">
                  <c:v>-3</c:v>
                </c:pt>
                <c:pt idx="2">
                  <c:v>-2</c:v>
                </c:pt>
                <c:pt idx="3">
                  <c:v>-1</c:v>
                </c:pt>
                <c:pt idx="4">
                  <c:v>0</c:v>
                </c:pt>
                <c:pt idx="5">
                  <c:v>1</c:v>
                </c:pt>
                <c:pt idx="6">
                  <c:v>2</c:v>
                </c:pt>
                <c:pt idx="7">
                  <c:v>3</c:v>
                </c:pt>
                <c:pt idx="8">
                  <c:v>4</c:v>
                </c:pt>
                <c:pt idx="9">
                  <c:v>5</c:v>
                </c:pt>
              </c:numCache>
            </c:numRef>
          </c:xVal>
          <c:yVal>
            <c:numRef>
              <c:f>Sheet6!$L$5:$L$14</c:f>
              <c:numCache>
                <c:formatCode>General</c:formatCode>
                <c:ptCount val="10"/>
                <c:pt idx="0">
                  <c:v>0</c:v>
                </c:pt>
                <c:pt idx="1">
                  <c:v>-4.34417E-2</c:v>
                </c:pt>
                <c:pt idx="2">
                  <c:v>-0.16328510000000002</c:v>
                </c:pt>
                <c:pt idx="3">
                  <c:v>3.9611099999999982E-2</c:v>
                </c:pt>
                <c:pt idx="4">
                  <c:v>-0.10081180000000002</c:v>
                </c:pt>
                <c:pt idx="5">
                  <c:v>-8.2432400000000003E-2</c:v>
                </c:pt>
                <c:pt idx="6">
                  <c:v>-0.45950230000000003</c:v>
                </c:pt>
                <c:pt idx="7">
                  <c:v>-0.289518</c:v>
                </c:pt>
                <c:pt idx="8">
                  <c:v>-0.48545579999999999</c:v>
                </c:pt>
                <c:pt idx="9">
                  <c:v>-0.74502060000000003</c:v>
                </c:pt>
              </c:numCache>
            </c:numRef>
          </c:yVal>
          <c:smooth val="1"/>
        </c:ser>
        <c:ser>
          <c:idx val="2"/>
          <c:order val="2"/>
          <c:tx>
            <c:strRef>
              <c:f>Sheet6!$M$4</c:f>
              <c:strCache>
                <c:ptCount val="1"/>
                <c:pt idx="0">
                  <c:v>Top</c:v>
                </c:pt>
              </c:strCache>
            </c:strRef>
          </c:tx>
          <c:spPr>
            <a:ln>
              <a:prstDash val="sysDot"/>
            </a:ln>
          </c:spPr>
          <c:marker>
            <c:symbol val="none"/>
          </c:marker>
          <c:xVal>
            <c:numRef>
              <c:f>Sheet6!$J$5:$J$14</c:f>
              <c:numCache>
                <c:formatCode>General</c:formatCode>
                <c:ptCount val="10"/>
                <c:pt idx="0">
                  <c:v>-4</c:v>
                </c:pt>
                <c:pt idx="1">
                  <c:v>-3</c:v>
                </c:pt>
                <c:pt idx="2">
                  <c:v>-2</c:v>
                </c:pt>
                <c:pt idx="3">
                  <c:v>-1</c:v>
                </c:pt>
                <c:pt idx="4">
                  <c:v>0</c:v>
                </c:pt>
                <c:pt idx="5">
                  <c:v>1</c:v>
                </c:pt>
                <c:pt idx="6">
                  <c:v>2</c:v>
                </c:pt>
                <c:pt idx="7">
                  <c:v>3</c:v>
                </c:pt>
                <c:pt idx="8">
                  <c:v>4</c:v>
                </c:pt>
                <c:pt idx="9">
                  <c:v>5</c:v>
                </c:pt>
              </c:numCache>
            </c:numRef>
          </c:xVal>
          <c:yVal>
            <c:numRef>
              <c:f>Sheet6!$M$5:$M$14</c:f>
              <c:numCache>
                <c:formatCode>General</c:formatCode>
                <c:ptCount val="10"/>
                <c:pt idx="0">
                  <c:v>0</c:v>
                </c:pt>
                <c:pt idx="1">
                  <c:v>0.24626919999999999</c:v>
                </c:pt>
                <c:pt idx="2">
                  <c:v>0.53030350000000004</c:v>
                </c:pt>
                <c:pt idx="3">
                  <c:v>0.37666650000000002</c:v>
                </c:pt>
                <c:pt idx="4">
                  <c:v>0.28491040000000001</c:v>
                </c:pt>
                <c:pt idx="5">
                  <c:v>0.25938279999999997</c:v>
                </c:pt>
                <c:pt idx="6">
                  <c:v>0.12216129999999997</c:v>
                </c:pt>
                <c:pt idx="7">
                  <c:v>5.5966000000000071E-3</c:v>
                </c:pt>
                <c:pt idx="8">
                  <c:v>-7.4100900000000025E-2</c:v>
                </c:pt>
                <c:pt idx="9">
                  <c:v>-0.18148560000000002</c:v>
                </c:pt>
              </c:numCache>
            </c:numRef>
          </c:yVal>
          <c:smooth val="1"/>
        </c:ser>
        <c:dLbls>
          <c:showLegendKey val="0"/>
          <c:showVal val="0"/>
          <c:showCatName val="0"/>
          <c:showSerName val="0"/>
          <c:showPercent val="0"/>
          <c:showBubbleSize val="0"/>
        </c:dLbls>
        <c:axId val="174457984"/>
        <c:axId val="174459904"/>
      </c:scatterChart>
      <c:valAx>
        <c:axId val="174457984"/>
        <c:scaling>
          <c:orientation val="minMax"/>
        </c:scaling>
        <c:delete val="0"/>
        <c:axPos val="b"/>
        <c:title>
          <c:tx>
            <c:rich>
              <a:bodyPr/>
              <a:lstStyle/>
              <a:p>
                <a:pPr>
                  <a:defRPr/>
                </a:pPr>
                <a:r>
                  <a:rPr lang="en-US" sz="1000" b="1" i="0" u="none" strike="noStrike" baseline="0">
                    <a:effectLst/>
                  </a:rPr>
                  <a:t>Time (Years Prior to and Subsequent to Adoption of National Standard Rules</a:t>
                </a:r>
                <a:endParaRPr lang="en-US"/>
              </a:p>
            </c:rich>
          </c:tx>
          <c:overlay val="0"/>
        </c:title>
        <c:numFmt formatCode="General" sourceLinked="1"/>
        <c:majorTickMark val="none"/>
        <c:minorTickMark val="none"/>
        <c:tickLblPos val="nextTo"/>
        <c:spPr>
          <a:ln w="38100"/>
        </c:spPr>
        <c:crossAx val="174459904"/>
        <c:crosses val="autoZero"/>
        <c:crossBetween val="midCat"/>
      </c:valAx>
      <c:valAx>
        <c:axId val="174459904"/>
        <c:scaling>
          <c:orientation val="minMax"/>
        </c:scaling>
        <c:delete val="0"/>
        <c:axPos val="l"/>
        <c:majorGridlines/>
        <c:title>
          <c:tx>
            <c:rich>
              <a:bodyPr/>
              <a:lstStyle/>
              <a:p>
                <a:pPr>
                  <a:defRPr/>
                </a:pPr>
                <a:r>
                  <a:rPr lang="en-US" sz="1000" b="1" i="0" baseline="0">
                    <a:effectLst/>
                  </a:rPr>
                  <a:t>Time Trend in Differential Low-Discretionary Avoidable </a:t>
                </a:r>
                <a:endParaRPr lang="en-US" sz="1000">
                  <a:effectLst/>
                </a:endParaRPr>
              </a:p>
              <a:p>
                <a:pPr>
                  <a:defRPr/>
                </a:pPr>
                <a:r>
                  <a:rPr lang="en-US" sz="1000" b="1" i="0" baseline="0">
                    <a:effectLst/>
                  </a:rPr>
                  <a:t>Hospitalization Rate between Treatment and Control States, </a:t>
                </a:r>
                <a:endParaRPr lang="en-US" sz="1000">
                  <a:effectLst/>
                </a:endParaRPr>
              </a:p>
              <a:p>
                <a:pPr>
                  <a:defRPr/>
                </a:pPr>
                <a:r>
                  <a:rPr lang="en-US" sz="1000" b="1" i="0" baseline="0">
                    <a:effectLst/>
                  </a:rPr>
                  <a:t>Scaled by Overall Mean Rate</a:t>
                </a:r>
                <a:endParaRPr lang="en-US" sz="1000">
                  <a:effectLst/>
                </a:endParaRPr>
              </a:p>
              <a:p>
                <a:pPr>
                  <a:defRPr/>
                </a:pPr>
                <a:endParaRPr lang="en-US"/>
              </a:p>
            </c:rich>
          </c:tx>
          <c:overlay val="0"/>
        </c:title>
        <c:numFmt formatCode="General" sourceLinked="1"/>
        <c:majorTickMark val="none"/>
        <c:minorTickMark val="none"/>
        <c:tickLblPos val="nextTo"/>
        <c:crossAx val="174457984"/>
        <c:crosses val="autoZero"/>
        <c:crossBetween val="midCat"/>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effectLst/>
              </a:rPr>
              <a:t>Figure C4.  Liability Standards Analysis, Dynamic Difference-in-Difference Regression Results: Maternal Trauma, Initially Low-Quality States</a:t>
            </a:r>
            <a:endParaRPr lang="en-US" sz="1200"/>
          </a:p>
        </c:rich>
      </c:tx>
      <c:overlay val="0"/>
    </c:title>
    <c:autoTitleDeleted val="0"/>
    <c:plotArea>
      <c:layout/>
      <c:scatterChart>
        <c:scatterStyle val="smoothMarker"/>
        <c:varyColors val="0"/>
        <c:ser>
          <c:idx val="0"/>
          <c:order val="0"/>
          <c:tx>
            <c:strRef>
              <c:f>Sheet8!$K$4</c:f>
              <c:strCache>
                <c:ptCount val="1"/>
                <c:pt idx="0">
                  <c:v>Mean</c:v>
                </c:pt>
              </c:strCache>
            </c:strRef>
          </c:tx>
          <c:marker>
            <c:symbol val="none"/>
          </c:marker>
          <c:xVal>
            <c:numRef>
              <c:f>Sheet8!$J$5:$J$14</c:f>
              <c:numCache>
                <c:formatCode>General</c:formatCode>
                <c:ptCount val="10"/>
                <c:pt idx="0">
                  <c:v>-4</c:v>
                </c:pt>
                <c:pt idx="1">
                  <c:v>-3</c:v>
                </c:pt>
                <c:pt idx="2">
                  <c:v>-2</c:v>
                </c:pt>
                <c:pt idx="3">
                  <c:v>-1</c:v>
                </c:pt>
                <c:pt idx="4">
                  <c:v>0</c:v>
                </c:pt>
                <c:pt idx="5">
                  <c:v>1</c:v>
                </c:pt>
                <c:pt idx="6">
                  <c:v>2</c:v>
                </c:pt>
                <c:pt idx="7">
                  <c:v>3</c:v>
                </c:pt>
                <c:pt idx="8">
                  <c:v>4</c:v>
                </c:pt>
                <c:pt idx="9">
                  <c:v>5</c:v>
                </c:pt>
              </c:numCache>
            </c:numRef>
          </c:xVal>
          <c:yVal>
            <c:numRef>
              <c:f>Sheet8!$K$5:$K$14</c:f>
              <c:numCache>
                <c:formatCode>General</c:formatCode>
                <c:ptCount val="10"/>
                <c:pt idx="0">
                  <c:v>0</c:v>
                </c:pt>
                <c:pt idx="1">
                  <c:v>-3.36669E-2</c:v>
                </c:pt>
                <c:pt idx="2">
                  <c:v>-0.17626559999999999</c:v>
                </c:pt>
                <c:pt idx="3">
                  <c:v>-4.2489799999999994E-2</c:v>
                </c:pt>
                <c:pt idx="4">
                  <c:v>0.15050630000000001</c:v>
                </c:pt>
                <c:pt idx="5">
                  <c:v>-0.31992089999999995</c:v>
                </c:pt>
                <c:pt idx="6">
                  <c:v>-0.27227019999999996</c:v>
                </c:pt>
                <c:pt idx="7">
                  <c:v>-0.13096749999999996</c:v>
                </c:pt>
                <c:pt idx="8">
                  <c:v>-0.31993539999999998</c:v>
                </c:pt>
                <c:pt idx="9">
                  <c:v>-0.43609100000000001</c:v>
                </c:pt>
              </c:numCache>
            </c:numRef>
          </c:yVal>
          <c:smooth val="1"/>
        </c:ser>
        <c:ser>
          <c:idx val="1"/>
          <c:order val="1"/>
          <c:tx>
            <c:strRef>
              <c:f>Sheet8!$L$4</c:f>
              <c:strCache>
                <c:ptCount val="1"/>
                <c:pt idx="0">
                  <c:v>Bottom</c:v>
                </c:pt>
              </c:strCache>
            </c:strRef>
          </c:tx>
          <c:spPr>
            <a:ln>
              <a:prstDash val="sysDot"/>
            </a:ln>
          </c:spPr>
          <c:marker>
            <c:symbol val="none"/>
          </c:marker>
          <c:xVal>
            <c:numRef>
              <c:f>Sheet8!$J$5:$J$14</c:f>
              <c:numCache>
                <c:formatCode>General</c:formatCode>
                <c:ptCount val="10"/>
                <c:pt idx="0">
                  <c:v>-4</c:v>
                </c:pt>
                <c:pt idx="1">
                  <c:v>-3</c:v>
                </c:pt>
                <c:pt idx="2">
                  <c:v>-2</c:v>
                </c:pt>
                <c:pt idx="3">
                  <c:v>-1</c:v>
                </c:pt>
                <c:pt idx="4">
                  <c:v>0</c:v>
                </c:pt>
                <c:pt idx="5">
                  <c:v>1</c:v>
                </c:pt>
                <c:pt idx="6">
                  <c:v>2</c:v>
                </c:pt>
                <c:pt idx="7">
                  <c:v>3</c:v>
                </c:pt>
                <c:pt idx="8">
                  <c:v>4</c:v>
                </c:pt>
                <c:pt idx="9">
                  <c:v>5</c:v>
                </c:pt>
              </c:numCache>
            </c:numRef>
          </c:xVal>
          <c:yVal>
            <c:numRef>
              <c:f>Sheet8!$L$5:$L$14</c:f>
              <c:numCache>
                <c:formatCode>General</c:formatCode>
                <c:ptCount val="10"/>
                <c:pt idx="0">
                  <c:v>0</c:v>
                </c:pt>
                <c:pt idx="1">
                  <c:v>-0.38976810000000001</c:v>
                </c:pt>
                <c:pt idx="2">
                  <c:v>-0.79853470000000004</c:v>
                </c:pt>
                <c:pt idx="3">
                  <c:v>-0.57310820000000007</c:v>
                </c:pt>
                <c:pt idx="4">
                  <c:v>-6.8856999999999946E-3</c:v>
                </c:pt>
                <c:pt idx="5">
                  <c:v>-0.7493843</c:v>
                </c:pt>
                <c:pt idx="6">
                  <c:v>-0.95210339999999993</c:v>
                </c:pt>
                <c:pt idx="7">
                  <c:v>-0.47448069999999998</c:v>
                </c:pt>
                <c:pt idx="8">
                  <c:v>-0.69449440000000007</c:v>
                </c:pt>
                <c:pt idx="9">
                  <c:v>-0.76808920000000003</c:v>
                </c:pt>
              </c:numCache>
            </c:numRef>
          </c:yVal>
          <c:smooth val="1"/>
        </c:ser>
        <c:ser>
          <c:idx val="2"/>
          <c:order val="2"/>
          <c:tx>
            <c:strRef>
              <c:f>Sheet8!$M$4</c:f>
              <c:strCache>
                <c:ptCount val="1"/>
                <c:pt idx="0">
                  <c:v>Top</c:v>
                </c:pt>
              </c:strCache>
            </c:strRef>
          </c:tx>
          <c:spPr>
            <a:ln>
              <a:prstDash val="sysDot"/>
            </a:ln>
          </c:spPr>
          <c:marker>
            <c:symbol val="none"/>
          </c:marker>
          <c:xVal>
            <c:numRef>
              <c:f>Sheet8!$J$5:$J$14</c:f>
              <c:numCache>
                <c:formatCode>General</c:formatCode>
                <c:ptCount val="10"/>
                <c:pt idx="0">
                  <c:v>-4</c:v>
                </c:pt>
                <c:pt idx="1">
                  <c:v>-3</c:v>
                </c:pt>
                <c:pt idx="2">
                  <c:v>-2</c:v>
                </c:pt>
                <c:pt idx="3">
                  <c:v>-1</c:v>
                </c:pt>
                <c:pt idx="4">
                  <c:v>0</c:v>
                </c:pt>
                <c:pt idx="5">
                  <c:v>1</c:v>
                </c:pt>
                <c:pt idx="6">
                  <c:v>2</c:v>
                </c:pt>
                <c:pt idx="7">
                  <c:v>3</c:v>
                </c:pt>
                <c:pt idx="8">
                  <c:v>4</c:v>
                </c:pt>
                <c:pt idx="9">
                  <c:v>5</c:v>
                </c:pt>
              </c:numCache>
            </c:numRef>
          </c:xVal>
          <c:yVal>
            <c:numRef>
              <c:f>Sheet8!$M$5:$M$14</c:f>
              <c:numCache>
                <c:formatCode>General</c:formatCode>
                <c:ptCount val="10"/>
                <c:pt idx="0">
                  <c:v>0</c:v>
                </c:pt>
                <c:pt idx="1">
                  <c:v>0.3224342</c:v>
                </c:pt>
                <c:pt idx="2">
                  <c:v>0.4460035</c:v>
                </c:pt>
                <c:pt idx="3">
                  <c:v>0.48812849999999997</c:v>
                </c:pt>
                <c:pt idx="4">
                  <c:v>0.30789829999999996</c:v>
                </c:pt>
                <c:pt idx="5">
                  <c:v>0.10954250000000004</c:v>
                </c:pt>
                <c:pt idx="6">
                  <c:v>0.40756290000000006</c:v>
                </c:pt>
                <c:pt idx="7">
                  <c:v>0.21254570000000006</c:v>
                </c:pt>
                <c:pt idx="8">
                  <c:v>5.4623600000000022E-2</c:v>
                </c:pt>
                <c:pt idx="9">
                  <c:v>-0.10409270000000001</c:v>
                </c:pt>
              </c:numCache>
            </c:numRef>
          </c:yVal>
          <c:smooth val="1"/>
        </c:ser>
        <c:dLbls>
          <c:showLegendKey val="0"/>
          <c:showVal val="0"/>
          <c:showCatName val="0"/>
          <c:showSerName val="0"/>
          <c:showPercent val="0"/>
          <c:showBubbleSize val="0"/>
        </c:dLbls>
        <c:axId val="174490752"/>
        <c:axId val="174492672"/>
      </c:scatterChart>
      <c:valAx>
        <c:axId val="174490752"/>
        <c:scaling>
          <c:orientation val="minMax"/>
        </c:scaling>
        <c:delete val="0"/>
        <c:axPos val="b"/>
        <c:title>
          <c:tx>
            <c:rich>
              <a:bodyPr/>
              <a:lstStyle/>
              <a:p>
                <a:pPr>
                  <a:defRPr/>
                </a:pPr>
                <a:r>
                  <a:rPr lang="en-US" sz="1000" b="1" i="0" u="none" strike="noStrike" baseline="0">
                    <a:effectLst/>
                  </a:rPr>
                  <a:t>Time (Years Prior to and Subsequent to Adoption of National Standard Rules</a:t>
                </a:r>
                <a:endParaRPr lang="en-US"/>
              </a:p>
            </c:rich>
          </c:tx>
          <c:overlay val="0"/>
        </c:title>
        <c:numFmt formatCode="General" sourceLinked="1"/>
        <c:majorTickMark val="none"/>
        <c:minorTickMark val="none"/>
        <c:tickLblPos val="nextTo"/>
        <c:spPr>
          <a:ln w="38100"/>
        </c:spPr>
        <c:crossAx val="174492672"/>
        <c:crosses val="autoZero"/>
        <c:crossBetween val="midCat"/>
      </c:valAx>
      <c:valAx>
        <c:axId val="174492672"/>
        <c:scaling>
          <c:orientation val="minMax"/>
        </c:scaling>
        <c:delete val="0"/>
        <c:axPos val="l"/>
        <c:majorGridlines/>
        <c:title>
          <c:tx>
            <c:rich>
              <a:bodyPr/>
              <a:lstStyle/>
              <a:p>
                <a:pPr>
                  <a:defRPr/>
                </a:pPr>
                <a:r>
                  <a:rPr lang="en-US" sz="1000" b="1" i="0" baseline="0">
                    <a:effectLst/>
                  </a:rPr>
                  <a:t>Time Trend in Differential Maternal Trauma Rate</a:t>
                </a:r>
                <a:endParaRPr lang="en-US" sz="1000">
                  <a:effectLst/>
                </a:endParaRPr>
              </a:p>
              <a:p>
                <a:pPr>
                  <a:defRPr/>
                </a:pPr>
                <a:r>
                  <a:rPr lang="en-US" sz="1000" b="1" i="0" baseline="0">
                    <a:effectLst/>
                  </a:rPr>
                  <a:t>between Treatment and Control States, </a:t>
                </a:r>
                <a:endParaRPr lang="en-US" sz="1000">
                  <a:effectLst/>
                </a:endParaRPr>
              </a:p>
              <a:p>
                <a:pPr>
                  <a:defRPr/>
                </a:pPr>
                <a:r>
                  <a:rPr lang="en-US" sz="1000" b="1" i="0" baseline="0">
                    <a:effectLst/>
                  </a:rPr>
                  <a:t>Scaled by Overall Mean Rate</a:t>
                </a:r>
                <a:endParaRPr lang="en-US" sz="1000">
                  <a:effectLst/>
                </a:endParaRPr>
              </a:p>
              <a:p>
                <a:pPr>
                  <a:defRPr/>
                </a:pPr>
                <a:endParaRPr lang="en-US"/>
              </a:p>
            </c:rich>
          </c:tx>
          <c:overlay val="0"/>
        </c:title>
        <c:numFmt formatCode="General" sourceLinked="1"/>
        <c:majorTickMark val="none"/>
        <c:minorTickMark val="none"/>
        <c:tickLblPos val="nextTo"/>
        <c:crossAx val="174490752"/>
        <c:crosses val="autoZero"/>
        <c:crossBetween val="midCat"/>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effectLst/>
              </a:rPr>
              <a:t>Figure C5.  Liability Standards Analysis, Dynamic Difference-in-Difference Regression Results: Preventable Delivery Complications, Initially Low-Quality States</a:t>
            </a:r>
            <a:endParaRPr lang="en-US" sz="1200"/>
          </a:p>
        </c:rich>
      </c:tx>
      <c:overlay val="0"/>
    </c:title>
    <c:autoTitleDeleted val="0"/>
    <c:plotArea>
      <c:layout/>
      <c:scatterChart>
        <c:scatterStyle val="smoothMarker"/>
        <c:varyColors val="0"/>
        <c:ser>
          <c:idx val="0"/>
          <c:order val="0"/>
          <c:tx>
            <c:strRef>
              <c:f>Sheet9!$K$3</c:f>
              <c:strCache>
                <c:ptCount val="1"/>
                <c:pt idx="0">
                  <c:v>Mean</c:v>
                </c:pt>
              </c:strCache>
            </c:strRef>
          </c:tx>
          <c:marker>
            <c:symbol val="none"/>
          </c:marker>
          <c:xVal>
            <c:numRef>
              <c:f>Sheet9!$J$4:$J$13</c:f>
              <c:numCache>
                <c:formatCode>General</c:formatCode>
                <c:ptCount val="10"/>
                <c:pt idx="0">
                  <c:v>-4</c:v>
                </c:pt>
                <c:pt idx="1">
                  <c:v>-3</c:v>
                </c:pt>
                <c:pt idx="2">
                  <c:v>-2</c:v>
                </c:pt>
                <c:pt idx="3">
                  <c:v>-1</c:v>
                </c:pt>
                <c:pt idx="4">
                  <c:v>0</c:v>
                </c:pt>
                <c:pt idx="5">
                  <c:v>1</c:v>
                </c:pt>
                <c:pt idx="6">
                  <c:v>2</c:v>
                </c:pt>
                <c:pt idx="7">
                  <c:v>3</c:v>
                </c:pt>
                <c:pt idx="8">
                  <c:v>4</c:v>
                </c:pt>
                <c:pt idx="9">
                  <c:v>5</c:v>
                </c:pt>
              </c:numCache>
            </c:numRef>
          </c:xVal>
          <c:yVal>
            <c:numRef>
              <c:f>Sheet9!$K$4:$K$13</c:f>
              <c:numCache>
                <c:formatCode>General</c:formatCode>
                <c:ptCount val="10"/>
                <c:pt idx="0">
                  <c:v>0</c:v>
                </c:pt>
                <c:pt idx="1">
                  <c:v>1.4385000000000001E-3</c:v>
                </c:pt>
                <c:pt idx="2">
                  <c:v>-4.9480799999999998E-2</c:v>
                </c:pt>
                <c:pt idx="3">
                  <c:v>-0.18483859999999999</c:v>
                </c:pt>
                <c:pt idx="4">
                  <c:v>-0.1451413</c:v>
                </c:pt>
                <c:pt idx="5">
                  <c:v>-0.59171989999999997</c:v>
                </c:pt>
                <c:pt idx="6">
                  <c:v>-0.30881889999999995</c:v>
                </c:pt>
                <c:pt idx="7">
                  <c:v>-0.46114889999999997</c:v>
                </c:pt>
                <c:pt idx="8">
                  <c:v>-0.30196909999999999</c:v>
                </c:pt>
                <c:pt idx="9">
                  <c:v>-0.29068080000000002</c:v>
                </c:pt>
              </c:numCache>
            </c:numRef>
          </c:yVal>
          <c:smooth val="1"/>
        </c:ser>
        <c:ser>
          <c:idx val="1"/>
          <c:order val="1"/>
          <c:tx>
            <c:strRef>
              <c:f>Sheet9!$L$3</c:f>
              <c:strCache>
                <c:ptCount val="1"/>
                <c:pt idx="0">
                  <c:v>Bottom</c:v>
                </c:pt>
              </c:strCache>
            </c:strRef>
          </c:tx>
          <c:spPr>
            <a:ln>
              <a:prstDash val="sysDot"/>
            </a:ln>
          </c:spPr>
          <c:marker>
            <c:symbol val="none"/>
          </c:marker>
          <c:xVal>
            <c:numRef>
              <c:f>Sheet9!$J$4:$J$13</c:f>
              <c:numCache>
                <c:formatCode>General</c:formatCode>
                <c:ptCount val="10"/>
                <c:pt idx="0">
                  <c:v>-4</c:v>
                </c:pt>
                <c:pt idx="1">
                  <c:v>-3</c:v>
                </c:pt>
                <c:pt idx="2">
                  <c:v>-2</c:v>
                </c:pt>
                <c:pt idx="3">
                  <c:v>-1</c:v>
                </c:pt>
                <c:pt idx="4">
                  <c:v>0</c:v>
                </c:pt>
                <c:pt idx="5">
                  <c:v>1</c:v>
                </c:pt>
                <c:pt idx="6">
                  <c:v>2</c:v>
                </c:pt>
                <c:pt idx="7">
                  <c:v>3</c:v>
                </c:pt>
                <c:pt idx="8">
                  <c:v>4</c:v>
                </c:pt>
                <c:pt idx="9">
                  <c:v>5</c:v>
                </c:pt>
              </c:numCache>
            </c:numRef>
          </c:xVal>
          <c:yVal>
            <c:numRef>
              <c:f>Sheet9!$L$4:$L$13</c:f>
              <c:numCache>
                <c:formatCode>General</c:formatCode>
                <c:ptCount val="10"/>
                <c:pt idx="0">
                  <c:v>0</c:v>
                </c:pt>
                <c:pt idx="1">
                  <c:v>-0.27166570000000001</c:v>
                </c:pt>
                <c:pt idx="2">
                  <c:v>-0.2171796</c:v>
                </c:pt>
                <c:pt idx="3">
                  <c:v>-0.3227295</c:v>
                </c:pt>
                <c:pt idx="4">
                  <c:v>-0.46220740000000005</c:v>
                </c:pt>
                <c:pt idx="5">
                  <c:v>-0.87514420000000004</c:v>
                </c:pt>
                <c:pt idx="6">
                  <c:v>-0.59022809999999992</c:v>
                </c:pt>
                <c:pt idx="7">
                  <c:v>-0.65052869999999996</c:v>
                </c:pt>
                <c:pt idx="8">
                  <c:v>-0.60586340000000005</c:v>
                </c:pt>
                <c:pt idx="9">
                  <c:v>-0.55106480000000002</c:v>
                </c:pt>
              </c:numCache>
            </c:numRef>
          </c:yVal>
          <c:smooth val="1"/>
        </c:ser>
        <c:ser>
          <c:idx val="2"/>
          <c:order val="2"/>
          <c:tx>
            <c:strRef>
              <c:f>Sheet9!$M$3</c:f>
              <c:strCache>
                <c:ptCount val="1"/>
                <c:pt idx="0">
                  <c:v>Top</c:v>
                </c:pt>
              </c:strCache>
            </c:strRef>
          </c:tx>
          <c:spPr>
            <a:ln>
              <a:prstDash val="sysDot"/>
            </a:ln>
          </c:spPr>
          <c:marker>
            <c:symbol val="none"/>
          </c:marker>
          <c:xVal>
            <c:numRef>
              <c:f>Sheet9!$J$4:$J$13</c:f>
              <c:numCache>
                <c:formatCode>General</c:formatCode>
                <c:ptCount val="10"/>
                <c:pt idx="0">
                  <c:v>-4</c:v>
                </c:pt>
                <c:pt idx="1">
                  <c:v>-3</c:v>
                </c:pt>
                <c:pt idx="2">
                  <c:v>-2</c:v>
                </c:pt>
                <c:pt idx="3">
                  <c:v>-1</c:v>
                </c:pt>
                <c:pt idx="4">
                  <c:v>0</c:v>
                </c:pt>
                <c:pt idx="5">
                  <c:v>1</c:v>
                </c:pt>
                <c:pt idx="6">
                  <c:v>2</c:v>
                </c:pt>
                <c:pt idx="7">
                  <c:v>3</c:v>
                </c:pt>
                <c:pt idx="8">
                  <c:v>4</c:v>
                </c:pt>
                <c:pt idx="9">
                  <c:v>5</c:v>
                </c:pt>
              </c:numCache>
            </c:numRef>
          </c:xVal>
          <c:yVal>
            <c:numRef>
              <c:f>Sheet9!$M$4:$M$13</c:f>
              <c:numCache>
                <c:formatCode>General</c:formatCode>
                <c:ptCount val="10"/>
                <c:pt idx="0">
                  <c:v>0</c:v>
                </c:pt>
                <c:pt idx="1">
                  <c:v>0.27452460000000001</c:v>
                </c:pt>
                <c:pt idx="2">
                  <c:v>0.11821809999999999</c:v>
                </c:pt>
                <c:pt idx="3">
                  <c:v>-4.6947699999999981E-2</c:v>
                </c:pt>
                <c:pt idx="4">
                  <c:v>0.17192480000000002</c:v>
                </c:pt>
                <c:pt idx="5">
                  <c:v>-0.30829549999999994</c:v>
                </c:pt>
                <c:pt idx="6">
                  <c:v>0.11914290000000002</c:v>
                </c:pt>
                <c:pt idx="7">
                  <c:v>-0.27176899999999998</c:v>
                </c:pt>
                <c:pt idx="8">
                  <c:v>1.9252999999999909E-3</c:v>
                </c:pt>
                <c:pt idx="9">
                  <c:v>-3.0296700000000037E-2</c:v>
                </c:pt>
              </c:numCache>
            </c:numRef>
          </c:yVal>
          <c:smooth val="1"/>
        </c:ser>
        <c:dLbls>
          <c:showLegendKey val="0"/>
          <c:showVal val="0"/>
          <c:showCatName val="0"/>
          <c:showSerName val="0"/>
          <c:showPercent val="0"/>
          <c:showBubbleSize val="0"/>
        </c:dLbls>
        <c:axId val="174515712"/>
        <c:axId val="174517632"/>
      </c:scatterChart>
      <c:valAx>
        <c:axId val="174515712"/>
        <c:scaling>
          <c:orientation val="minMax"/>
        </c:scaling>
        <c:delete val="0"/>
        <c:axPos val="b"/>
        <c:title>
          <c:tx>
            <c:rich>
              <a:bodyPr/>
              <a:lstStyle/>
              <a:p>
                <a:pPr>
                  <a:defRPr/>
                </a:pPr>
                <a:r>
                  <a:rPr lang="en-US" sz="1000" b="1" i="0" u="none" strike="noStrike" baseline="0">
                    <a:effectLst/>
                  </a:rPr>
                  <a:t>Time (Years Prior to and Subsequent to Adoption of National Standard Rules</a:t>
                </a:r>
                <a:endParaRPr lang="en-US"/>
              </a:p>
            </c:rich>
          </c:tx>
          <c:overlay val="0"/>
        </c:title>
        <c:numFmt formatCode="General" sourceLinked="1"/>
        <c:majorTickMark val="none"/>
        <c:minorTickMark val="none"/>
        <c:tickLblPos val="nextTo"/>
        <c:spPr>
          <a:ln w="38100"/>
        </c:spPr>
        <c:crossAx val="174517632"/>
        <c:crosses val="autoZero"/>
        <c:crossBetween val="midCat"/>
      </c:valAx>
      <c:valAx>
        <c:axId val="174517632"/>
        <c:scaling>
          <c:orientation val="minMax"/>
        </c:scaling>
        <c:delete val="0"/>
        <c:axPos val="l"/>
        <c:majorGridlines/>
        <c:title>
          <c:tx>
            <c:rich>
              <a:bodyPr/>
              <a:lstStyle/>
              <a:p>
                <a:pPr>
                  <a:defRPr/>
                </a:pPr>
                <a:r>
                  <a:rPr lang="en-US" sz="1000" b="1" i="0" baseline="0">
                    <a:effectLst/>
                  </a:rPr>
                  <a:t>Time Trend in Differential Preventable Delivery </a:t>
                </a:r>
              </a:p>
              <a:p>
                <a:pPr>
                  <a:defRPr/>
                </a:pPr>
                <a:r>
                  <a:rPr lang="en-US" sz="1000" b="1" i="0" baseline="0">
                    <a:effectLst/>
                  </a:rPr>
                  <a:t>Complication Rate between Treatment and </a:t>
                </a:r>
              </a:p>
              <a:p>
                <a:pPr>
                  <a:defRPr/>
                </a:pPr>
                <a:r>
                  <a:rPr lang="en-US" sz="1000" b="1" i="0" baseline="0">
                    <a:effectLst/>
                  </a:rPr>
                  <a:t>Control States, Scaled by Overall Mean Rate</a:t>
                </a:r>
                <a:endParaRPr lang="en-US" sz="1000">
                  <a:effectLst/>
                </a:endParaRPr>
              </a:p>
              <a:p>
                <a:pPr>
                  <a:defRPr/>
                </a:pPr>
                <a:endParaRPr lang="en-US"/>
              </a:p>
            </c:rich>
          </c:tx>
          <c:overlay val="0"/>
        </c:title>
        <c:numFmt formatCode="General" sourceLinked="1"/>
        <c:majorTickMark val="none"/>
        <c:minorTickMark val="none"/>
        <c:tickLblPos val="nextTo"/>
        <c:crossAx val="174515712"/>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F9B67-81FA-4C75-871C-5A713F3A4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27</Pages>
  <Words>8129</Words>
  <Characters>46339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m-frakes</dc:creator>
  <cp:lastModifiedBy>Michael</cp:lastModifiedBy>
  <cp:revision>27</cp:revision>
  <dcterms:created xsi:type="dcterms:W3CDTF">2013-11-30T05:49:00Z</dcterms:created>
  <dcterms:modified xsi:type="dcterms:W3CDTF">2014-01-07T19:07:00Z</dcterms:modified>
</cp:coreProperties>
</file>