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C6" w:rsidRPr="003875F5" w:rsidRDefault="0062571D" w:rsidP="00E472DD">
      <w:pPr>
        <w:spacing w:line="240" w:lineRule="auto"/>
        <w:ind w:left="708" w:hanging="708"/>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TECH</w:t>
      </w:r>
      <w:r w:rsidR="00B252C6" w:rsidRPr="003875F5">
        <w:rPr>
          <w:rFonts w:ascii="Times New Roman" w:hAnsi="Times New Roman" w:cs="Times New Roman"/>
          <w:b/>
          <w:sz w:val="28"/>
          <w:szCs w:val="28"/>
          <w:lang w:val="en-US"/>
        </w:rPr>
        <w:t>N</w:t>
      </w:r>
      <w:r>
        <w:rPr>
          <w:rFonts w:ascii="Times New Roman" w:hAnsi="Times New Roman" w:cs="Times New Roman"/>
          <w:b/>
          <w:sz w:val="28"/>
          <w:szCs w:val="28"/>
          <w:lang w:val="en-US"/>
        </w:rPr>
        <w:t>I</w:t>
      </w:r>
      <w:r w:rsidR="00B252C6" w:rsidRPr="003875F5">
        <w:rPr>
          <w:rFonts w:ascii="Times New Roman" w:hAnsi="Times New Roman" w:cs="Times New Roman"/>
          <w:b/>
          <w:sz w:val="28"/>
          <w:szCs w:val="28"/>
          <w:lang w:val="en-US"/>
        </w:rPr>
        <w:t>CAL APPENDIX</w:t>
      </w:r>
      <w:r w:rsidR="00A25E6F" w:rsidRPr="003875F5">
        <w:rPr>
          <w:rFonts w:ascii="Times New Roman" w:hAnsi="Times New Roman" w:cs="Times New Roman"/>
          <w:b/>
          <w:sz w:val="28"/>
          <w:szCs w:val="28"/>
          <w:lang w:val="en-US"/>
        </w:rPr>
        <w:t xml:space="preserve"> </w:t>
      </w:r>
    </w:p>
    <w:p w:rsidR="001D78EC" w:rsidRPr="003875F5" w:rsidRDefault="00E1228D" w:rsidP="00E472DD">
      <w:pPr>
        <w:spacing w:line="240" w:lineRule="auto"/>
        <w:ind w:left="708" w:hanging="708"/>
        <w:contextualSpacing/>
        <w:jc w:val="center"/>
        <w:rPr>
          <w:rFonts w:ascii="Times New Roman" w:hAnsi="Times New Roman" w:cs="Times New Roman"/>
          <w:b/>
          <w:sz w:val="28"/>
          <w:szCs w:val="28"/>
          <w:lang w:val="en-US"/>
        </w:rPr>
      </w:pPr>
      <w:r w:rsidRPr="003875F5">
        <w:rPr>
          <w:rFonts w:ascii="Times New Roman" w:hAnsi="Times New Roman" w:cs="Times New Roman"/>
          <w:b/>
          <w:sz w:val="28"/>
          <w:szCs w:val="28"/>
          <w:lang w:val="en-US"/>
        </w:rPr>
        <w:t>FERNÁNDEZ, KLEIN, REBUCCI, SCHINDLER AND URIBE (2014)</w:t>
      </w:r>
      <w:r w:rsidR="001D78EC" w:rsidRPr="003875F5">
        <w:rPr>
          <w:rFonts w:ascii="Times New Roman" w:hAnsi="Times New Roman" w:cs="Times New Roman"/>
          <w:b/>
          <w:sz w:val="28"/>
          <w:szCs w:val="28"/>
          <w:lang w:val="en-US"/>
        </w:rPr>
        <w:t xml:space="preserve"> </w:t>
      </w:r>
    </w:p>
    <w:p w:rsidR="006A2248" w:rsidRPr="003875F5" w:rsidRDefault="006A2248" w:rsidP="00D712AE">
      <w:pPr>
        <w:spacing w:line="240" w:lineRule="auto"/>
        <w:contextualSpacing/>
        <w:jc w:val="center"/>
        <w:rPr>
          <w:rFonts w:ascii="Times New Roman" w:hAnsi="Times New Roman" w:cs="Times New Roman"/>
          <w:b/>
          <w:sz w:val="24"/>
          <w:szCs w:val="24"/>
          <w:lang w:val="en-US"/>
        </w:rPr>
      </w:pPr>
    </w:p>
    <w:p w:rsidR="00E1228D" w:rsidRPr="003875F5" w:rsidRDefault="001E6C84" w:rsidP="00D712AE">
      <w:pPr>
        <w:spacing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January</w:t>
      </w:r>
      <w:r w:rsidR="00B11B67" w:rsidRPr="003875F5">
        <w:rPr>
          <w:rFonts w:ascii="Times New Roman" w:hAnsi="Times New Roman" w:cs="Times New Roman"/>
          <w:sz w:val="24"/>
          <w:szCs w:val="24"/>
          <w:lang w:val="en-US"/>
        </w:rPr>
        <w:t xml:space="preserve"> </w:t>
      </w:r>
      <w:r>
        <w:rPr>
          <w:rFonts w:ascii="Times New Roman" w:hAnsi="Times New Roman" w:cs="Times New Roman"/>
          <w:sz w:val="24"/>
          <w:szCs w:val="24"/>
          <w:lang w:val="en-US"/>
        </w:rPr>
        <w:t>14</w:t>
      </w:r>
      <w:r w:rsidR="00B11B67" w:rsidRPr="003875F5">
        <w:rPr>
          <w:rFonts w:ascii="Times New Roman" w:hAnsi="Times New Roman" w:cs="Times New Roman"/>
          <w:sz w:val="24"/>
          <w:szCs w:val="24"/>
          <w:lang w:val="en-US"/>
        </w:rPr>
        <w:t>,</w:t>
      </w:r>
      <w:r w:rsidR="00A25E6F" w:rsidRPr="003875F5">
        <w:rPr>
          <w:rFonts w:ascii="Times New Roman" w:hAnsi="Times New Roman" w:cs="Times New Roman"/>
          <w:sz w:val="24"/>
          <w:szCs w:val="24"/>
          <w:lang w:val="en-US"/>
        </w:rPr>
        <w:t xml:space="preserve"> </w:t>
      </w:r>
      <w:r w:rsidR="00026490" w:rsidRPr="003875F5">
        <w:rPr>
          <w:rFonts w:ascii="Times New Roman" w:hAnsi="Times New Roman" w:cs="Times New Roman"/>
          <w:sz w:val="24"/>
          <w:szCs w:val="24"/>
          <w:lang w:val="en-US"/>
        </w:rPr>
        <w:t>201</w:t>
      </w:r>
      <w:r>
        <w:rPr>
          <w:rFonts w:ascii="Times New Roman" w:hAnsi="Times New Roman" w:cs="Times New Roman"/>
          <w:sz w:val="24"/>
          <w:szCs w:val="24"/>
          <w:lang w:val="en-US"/>
        </w:rPr>
        <w:t>5</w:t>
      </w:r>
    </w:p>
    <w:p w:rsidR="00336BA5" w:rsidRPr="003875F5" w:rsidRDefault="00336BA5" w:rsidP="00D712AE">
      <w:pPr>
        <w:spacing w:line="240" w:lineRule="auto"/>
        <w:contextualSpacing/>
        <w:jc w:val="center"/>
        <w:rPr>
          <w:rFonts w:ascii="Times New Roman" w:hAnsi="Times New Roman" w:cs="Times New Roman"/>
          <w:sz w:val="24"/>
          <w:szCs w:val="24"/>
          <w:lang w:val="en-US"/>
        </w:rPr>
      </w:pPr>
    </w:p>
    <w:p w:rsidR="00336BA5" w:rsidRPr="003875F5" w:rsidRDefault="00336BA5" w:rsidP="00D712AE">
      <w:pPr>
        <w:spacing w:line="240" w:lineRule="auto"/>
        <w:contextualSpacing/>
        <w:jc w:val="center"/>
        <w:rPr>
          <w:rFonts w:ascii="Times New Roman" w:hAnsi="Times New Roman" w:cs="Times New Roman"/>
          <w:b/>
          <w:sz w:val="26"/>
          <w:szCs w:val="26"/>
          <w:lang w:val="en-US"/>
        </w:rPr>
      </w:pPr>
      <w:r w:rsidRPr="003875F5">
        <w:rPr>
          <w:rFonts w:ascii="Times New Roman" w:hAnsi="Times New Roman" w:cs="Times New Roman"/>
          <w:b/>
          <w:sz w:val="26"/>
          <w:szCs w:val="26"/>
          <w:lang w:val="en-US"/>
        </w:rPr>
        <w:t>TABLE OF CONTENTS</w:t>
      </w:r>
    </w:p>
    <w:p w:rsidR="007558C7" w:rsidRPr="003875F5" w:rsidRDefault="007558C7" w:rsidP="00D712AE">
      <w:pPr>
        <w:spacing w:line="240" w:lineRule="auto"/>
        <w:contextualSpacing/>
        <w:jc w:val="center"/>
        <w:rPr>
          <w:rFonts w:ascii="Times New Roman" w:hAnsi="Times New Roman" w:cs="Times New Roman"/>
          <w:sz w:val="24"/>
          <w:szCs w:val="24"/>
          <w:lang w:val="en-US"/>
        </w:rPr>
      </w:pPr>
    </w:p>
    <w:p w:rsidR="003875F5" w:rsidRPr="003875F5" w:rsidRDefault="00551B91">
      <w:pPr>
        <w:pStyle w:val="TDC1"/>
        <w:rPr>
          <w:rFonts w:ascii="Times New Roman" w:hAnsi="Times New Roman" w:cs="Times New Roman"/>
          <w:noProof/>
        </w:rPr>
      </w:pPr>
      <w:r w:rsidRPr="003875F5">
        <w:rPr>
          <w:rFonts w:ascii="Times New Roman" w:hAnsi="Times New Roman" w:cs="Times New Roman"/>
          <w:sz w:val="24"/>
          <w:szCs w:val="24"/>
          <w:lang w:val="en-US"/>
        </w:rPr>
        <w:fldChar w:fldCharType="begin"/>
      </w:r>
      <w:r w:rsidR="007558C7" w:rsidRPr="003875F5">
        <w:rPr>
          <w:rFonts w:ascii="Times New Roman" w:hAnsi="Times New Roman" w:cs="Times New Roman"/>
          <w:sz w:val="24"/>
          <w:szCs w:val="24"/>
          <w:lang w:val="en-US"/>
        </w:rPr>
        <w:instrText xml:space="preserve"> TOC \o "1-3" \t "Estilo1,1,Estilo2,2" </w:instrText>
      </w:r>
      <w:r w:rsidRPr="003875F5">
        <w:rPr>
          <w:rFonts w:ascii="Times New Roman" w:hAnsi="Times New Roman" w:cs="Times New Roman"/>
          <w:sz w:val="24"/>
          <w:szCs w:val="24"/>
          <w:lang w:val="en-US"/>
        </w:rPr>
        <w:fldChar w:fldCharType="separate"/>
      </w:r>
      <w:r w:rsidR="003875F5" w:rsidRPr="003875F5">
        <w:rPr>
          <w:rFonts w:ascii="Times New Roman" w:hAnsi="Times New Roman" w:cs="Times New Roman"/>
          <w:noProof/>
        </w:rPr>
        <w:t>I.</w:t>
      </w:r>
      <w:r w:rsidR="003875F5" w:rsidRPr="003875F5">
        <w:rPr>
          <w:rFonts w:ascii="Times New Roman" w:hAnsi="Times New Roman" w:cs="Times New Roman"/>
          <w:noProof/>
        </w:rPr>
        <w:tab/>
        <w:t>PRESENTATION</w:t>
      </w:r>
      <w:r w:rsidR="003875F5" w:rsidRPr="003875F5">
        <w:rPr>
          <w:rFonts w:ascii="Times New Roman" w:hAnsi="Times New Roman" w:cs="Times New Roman"/>
          <w:noProof/>
        </w:rPr>
        <w:tab/>
      </w:r>
      <w:r w:rsidR="003875F5" w:rsidRPr="003875F5">
        <w:rPr>
          <w:rFonts w:ascii="Times New Roman" w:hAnsi="Times New Roman" w:cs="Times New Roman"/>
          <w:noProof/>
        </w:rPr>
        <w:fldChar w:fldCharType="begin"/>
      </w:r>
      <w:r w:rsidR="003875F5" w:rsidRPr="003875F5">
        <w:rPr>
          <w:rFonts w:ascii="Times New Roman" w:hAnsi="Times New Roman" w:cs="Times New Roman"/>
          <w:noProof/>
        </w:rPr>
        <w:instrText xml:space="preserve"> PAGEREF _Toc402472299 \h </w:instrText>
      </w:r>
      <w:r w:rsidR="003875F5" w:rsidRPr="003875F5">
        <w:rPr>
          <w:rFonts w:ascii="Times New Roman" w:hAnsi="Times New Roman" w:cs="Times New Roman"/>
          <w:noProof/>
        </w:rPr>
      </w:r>
      <w:r w:rsidR="003875F5" w:rsidRPr="003875F5">
        <w:rPr>
          <w:rFonts w:ascii="Times New Roman" w:hAnsi="Times New Roman" w:cs="Times New Roman"/>
          <w:noProof/>
        </w:rPr>
        <w:fldChar w:fldCharType="separate"/>
      </w:r>
      <w:r w:rsidR="008546C3">
        <w:rPr>
          <w:rFonts w:ascii="Times New Roman" w:hAnsi="Times New Roman" w:cs="Times New Roman"/>
          <w:noProof/>
        </w:rPr>
        <w:t>5</w:t>
      </w:r>
      <w:r w:rsidR="003875F5" w:rsidRPr="003875F5">
        <w:rPr>
          <w:rFonts w:ascii="Times New Roman" w:hAnsi="Times New Roman" w:cs="Times New Roman"/>
          <w:noProof/>
        </w:rPr>
        <w:fldChar w:fldCharType="end"/>
      </w:r>
    </w:p>
    <w:p w:rsidR="003875F5" w:rsidRPr="003875F5" w:rsidRDefault="003875F5">
      <w:pPr>
        <w:pStyle w:val="TDC1"/>
        <w:rPr>
          <w:rFonts w:ascii="Times New Roman" w:hAnsi="Times New Roman" w:cs="Times New Roman"/>
          <w:noProof/>
        </w:rPr>
      </w:pPr>
      <w:r w:rsidRPr="003875F5">
        <w:rPr>
          <w:rFonts w:ascii="Times New Roman" w:hAnsi="Times New Roman" w:cs="Times New Roman"/>
          <w:noProof/>
        </w:rPr>
        <w:t>II.</w:t>
      </w:r>
      <w:r w:rsidRPr="003875F5">
        <w:rPr>
          <w:rFonts w:ascii="Times New Roman" w:hAnsi="Times New Roman" w:cs="Times New Roman"/>
          <w:noProof/>
        </w:rPr>
        <w:tab/>
        <w:t>LIST OF ACRONYMS AND VARIABLES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w:t>
      </w:r>
      <w:r w:rsidRPr="003875F5">
        <w:rPr>
          <w:rFonts w:ascii="Times New Roman" w:hAnsi="Times New Roman" w:cs="Times New Roman"/>
          <w:noProof/>
        </w:rPr>
        <w:fldChar w:fldCharType="end"/>
      </w:r>
    </w:p>
    <w:p w:rsidR="003875F5" w:rsidRPr="003875F5" w:rsidRDefault="003875F5">
      <w:pPr>
        <w:pStyle w:val="TDC1"/>
        <w:rPr>
          <w:rFonts w:ascii="Times New Roman" w:hAnsi="Times New Roman" w:cs="Times New Roman"/>
          <w:noProof/>
        </w:rPr>
      </w:pPr>
      <w:r w:rsidRPr="003875F5">
        <w:rPr>
          <w:rFonts w:ascii="Times New Roman" w:hAnsi="Times New Roman" w:cs="Times New Roman"/>
          <w:noProof/>
        </w:rPr>
        <w:t>III.</w:t>
      </w:r>
      <w:r w:rsidRPr="003875F5">
        <w:rPr>
          <w:rFonts w:ascii="Times New Roman" w:hAnsi="Times New Roman" w:cs="Times New Roman"/>
          <w:noProof/>
        </w:rPr>
        <w:tab/>
        <w:t>DEFINITION OF ASSET CATEGORIES AND LISTING CONVENTIONS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w:t>
      </w:r>
      <w:r w:rsidRPr="003875F5">
        <w:rPr>
          <w:rFonts w:ascii="Times New Roman" w:hAnsi="Times New Roman" w:cs="Times New Roman"/>
          <w:noProof/>
        </w:rPr>
        <w:fldChar w:fldCharType="end"/>
      </w:r>
    </w:p>
    <w:p w:rsidR="003875F5" w:rsidRPr="003875F5" w:rsidRDefault="003875F5">
      <w:pPr>
        <w:pStyle w:val="TDC1"/>
        <w:rPr>
          <w:rFonts w:ascii="Times New Roman" w:hAnsi="Times New Roman" w:cs="Times New Roman"/>
          <w:noProof/>
        </w:rPr>
      </w:pPr>
      <w:r w:rsidRPr="003875F5">
        <w:rPr>
          <w:rFonts w:ascii="Times New Roman" w:hAnsi="Times New Roman" w:cs="Times New Roman"/>
          <w:noProof/>
        </w:rPr>
        <w:t>IV.</w:t>
      </w:r>
      <w:r w:rsidRPr="003875F5">
        <w:rPr>
          <w:rFonts w:ascii="Times New Roman" w:hAnsi="Times New Roman" w:cs="Times New Roman"/>
          <w:noProof/>
        </w:rPr>
        <w:tab/>
        <w:t>GENERAL RULES AND CRITERIA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8</w:t>
      </w:r>
      <w:r w:rsidRPr="003875F5">
        <w:rPr>
          <w:rFonts w:ascii="Times New Roman" w:hAnsi="Times New Roman" w:cs="Times New Roman"/>
          <w:noProof/>
        </w:rPr>
        <w:fldChar w:fldCharType="end"/>
      </w:r>
    </w:p>
    <w:p w:rsidR="003875F5" w:rsidRPr="003875F5" w:rsidRDefault="003875F5">
      <w:pPr>
        <w:pStyle w:val="TDC1"/>
        <w:rPr>
          <w:rFonts w:ascii="Times New Roman" w:hAnsi="Times New Roman" w:cs="Times New Roman"/>
          <w:noProof/>
        </w:rPr>
      </w:pPr>
      <w:r w:rsidRPr="003875F5">
        <w:rPr>
          <w:rFonts w:ascii="Times New Roman" w:hAnsi="Times New Roman" w:cs="Times New Roman"/>
          <w:noProof/>
        </w:rPr>
        <w:t>V.</w:t>
      </w:r>
      <w:r w:rsidRPr="003875F5">
        <w:rPr>
          <w:rFonts w:ascii="Times New Roman" w:hAnsi="Times New Roman" w:cs="Times New Roman"/>
          <w:noProof/>
        </w:rPr>
        <w:tab/>
        <w:t>COUNTRY-SPECIFIC EXCEPTIONS AND CLARIFICATIONS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10</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w:t>
      </w:r>
      <w:r w:rsidRPr="003875F5">
        <w:rPr>
          <w:rFonts w:ascii="Times New Roman" w:hAnsi="Times New Roman" w:cs="Times New Roman"/>
          <w:noProof/>
        </w:rPr>
        <w:tab/>
        <w:t>Algeria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_Toc402472304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10</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w:t>
      </w:r>
      <w:r w:rsidRPr="003875F5">
        <w:rPr>
          <w:rFonts w:ascii="Times New Roman" w:hAnsi="Times New Roman" w:cs="Times New Roman"/>
          <w:noProof/>
        </w:rPr>
        <w:tab/>
        <w:t>Angola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_Toc402472305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w:t>
      </w:r>
      <w:r w:rsidRPr="003875F5">
        <w:rPr>
          <w:rFonts w:ascii="Times New Roman" w:hAnsi="Times New Roman" w:cs="Times New Roman"/>
          <w:noProof/>
        </w:rPr>
        <w:tab/>
        <w:t>Argentina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_Toc402472306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w:t>
      </w:r>
      <w:r w:rsidRPr="003875F5">
        <w:rPr>
          <w:rFonts w:ascii="Times New Roman" w:hAnsi="Times New Roman" w:cs="Times New Roman"/>
          <w:noProof/>
        </w:rPr>
        <w:tab/>
        <w:t>Australia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_Toc402472307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12</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w:t>
      </w:r>
      <w:r w:rsidRPr="003875F5">
        <w:rPr>
          <w:rFonts w:ascii="Times New Roman" w:hAnsi="Times New Roman" w:cs="Times New Roman"/>
          <w:noProof/>
        </w:rPr>
        <w:tab/>
        <w:t>Austria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_Toc402472308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13</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w:t>
      </w:r>
      <w:r w:rsidRPr="003875F5">
        <w:rPr>
          <w:rFonts w:ascii="Times New Roman" w:hAnsi="Times New Roman" w:cs="Times New Roman"/>
          <w:noProof/>
        </w:rPr>
        <w:tab/>
        <w:t>Bahrain</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_Toc402472309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14</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w:t>
      </w:r>
      <w:r w:rsidRPr="003875F5">
        <w:rPr>
          <w:rFonts w:ascii="Times New Roman" w:hAnsi="Times New Roman" w:cs="Times New Roman"/>
          <w:noProof/>
        </w:rPr>
        <w:tab/>
        <w:t>Bangladesh</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14</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8.</w:t>
      </w:r>
      <w:r w:rsidRPr="003875F5">
        <w:rPr>
          <w:rFonts w:ascii="Times New Roman" w:hAnsi="Times New Roman" w:cs="Times New Roman"/>
          <w:noProof/>
        </w:rPr>
        <w:tab/>
        <w:t>Belgium</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15</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9.</w:t>
      </w:r>
      <w:r w:rsidRPr="003875F5">
        <w:rPr>
          <w:rFonts w:ascii="Times New Roman" w:hAnsi="Times New Roman" w:cs="Times New Roman"/>
          <w:noProof/>
        </w:rPr>
        <w:tab/>
        <w:t>Bolivia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10.</w:t>
      </w:r>
      <w:r w:rsidRPr="003875F5">
        <w:rPr>
          <w:rFonts w:ascii="Times New Roman" w:hAnsi="Times New Roman" w:cs="Times New Roman"/>
          <w:noProof/>
        </w:rPr>
        <w:tab/>
        <w:t>Brazil</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16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11.</w:t>
      </w:r>
      <w:r w:rsidRPr="003875F5">
        <w:rPr>
          <w:rFonts w:ascii="Times New Roman" w:hAnsi="Times New Roman" w:cs="Times New Roman"/>
          <w:noProof/>
        </w:rPr>
        <w:tab/>
        <w:t>Brunei Darussalam</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_Toc402472314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20</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12.</w:t>
      </w:r>
      <w:r w:rsidRPr="003875F5">
        <w:rPr>
          <w:rFonts w:ascii="Times New Roman" w:hAnsi="Times New Roman" w:cs="Times New Roman"/>
          <w:noProof/>
        </w:rPr>
        <w:tab/>
        <w:t>Burkina Faso</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_Toc402472315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13.</w:t>
      </w:r>
      <w:r w:rsidRPr="003875F5">
        <w:rPr>
          <w:rFonts w:ascii="Times New Roman" w:hAnsi="Times New Roman" w:cs="Times New Roman"/>
          <w:noProof/>
        </w:rPr>
        <w:tab/>
        <w:t>Canada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_Toc402472316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22</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14.</w:t>
      </w:r>
      <w:r w:rsidRPr="003875F5">
        <w:rPr>
          <w:rFonts w:ascii="Times New Roman" w:hAnsi="Times New Roman" w:cs="Times New Roman"/>
          <w:noProof/>
        </w:rPr>
        <w:tab/>
        <w:t>Chile</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_Toc402472317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22</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15.</w:t>
      </w:r>
      <w:r w:rsidRPr="003875F5">
        <w:rPr>
          <w:rFonts w:ascii="Times New Roman" w:hAnsi="Times New Roman" w:cs="Times New Roman"/>
          <w:noProof/>
        </w:rPr>
        <w:tab/>
        <w:t>China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_Toc402472318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24</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16.</w:t>
      </w:r>
      <w:r w:rsidRPr="003875F5">
        <w:rPr>
          <w:rFonts w:ascii="Times New Roman" w:hAnsi="Times New Roman" w:cs="Times New Roman"/>
          <w:noProof/>
        </w:rPr>
        <w:tab/>
        <w:t>Colombia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_Toc402472319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24</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17.</w:t>
      </w:r>
      <w:r w:rsidRPr="003875F5">
        <w:rPr>
          <w:rFonts w:ascii="Times New Roman" w:hAnsi="Times New Roman" w:cs="Times New Roman"/>
          <w:noProof/>
        </w:rPr>
        <w:tab/>
        <w:t>Costa Rica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25</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18.</w:t>
      </w:r>
      <w:r w:rsidRPr="003875F5">
        <w:rPr>
          <w:rFonts w:ascii="Times New Roman" w:hAnsi="Times New Roman" w:cs="Times New Roman"/>
          <w:noProof/>
        </w:rPr>
        <w:tab/>
        <w:t>Côte d’Ivoire</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25</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19.</w:t>
      </w:r>
      <w:r w:rsidRPr="003875F5">
        <w:rPr>
          <w:rFonts w:ascii="Times New Roman" w:hAnsi="Times New Roman" w:cs="Times New Roman"/>
          <w:noProof/>
        </w:rPr>
        <w:tab/>
        <w:t>Cyprus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20.</w:t>
      </w:r>
      <w:r w:rsidRPr="003875F5">
        <w:rPr>
          <w:rFonts w:ascii="Times New Roman" w:hAnsi="Times New Roman" w:cs="Times New Roman"/>
          <w:noProof/>
        </w:rPr>
        <w:tab/>
        <w:t>Czech Republic</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21.</w:t>
      </w:r>
      <w:r w:rsidRPr="003875F5">
        <w:rPr>
          <w:rFonts w:ascii="Times New Roman" w:hAnsi="Times New Roman" w:cs="Times New Roman"/>
          <w:noProof/>
        </w:rPr>
        <w:tab/>
        <w:t>Dominican Republic</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_Toc402472324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28</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22.</w:t>
      </w:r>
      <w:r w:rsidRPr="003875F5">
        <w:rPr>
          <w:rFonts w:ascii="Times New Roman" w:hAnsi="Times New Roman" w:cs="Times New Roman"/>
          <w:noProof/>
        </w:rPr>
        <w:tab/>
        <w:t>Ecuador</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_Toc402472325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28</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lastRenderedPageBreak/>
        <w:t>23.</w:t>
      </w:r>
      <w:r w:rsidRPr="003875F5">
        <w:rPr>
          <w:rFonts w:ascii="Times New Roman" w:hAnsi="Times New Roman" w:cs="Times New Roman"/>
          <w:noProof/>
        </w:rPr>
        <w:tab/>
        <w:t>Egypt</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_Toc402472326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28</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24.</w:t>
      </w:r>
      <w:r w:rsidRPr="003875F5">
        <w:rPr>
          <w:rFonts w:ascii="Times New Roman" w:hAnsi="Times New Roman" w:cs="Times New Roman"/>
          <w:noProof/>
        </w:rPr>
        <w:tab/>
        <w:t>El Salvador</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_Toc402472327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29</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25.</w:t>
      </w:r>
      <w:r w:rsidRPr="003875F5">
        <w:rPr>
          <w:rFonts w:ascii="Times New Roman" w:hAnsi="Times New Roman" w:cs="Times New Roman"/>
          <w:noProof/>
        </w:rPr>
        <w:tab/>
        <w:t>Ethiopia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_Toc402472328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29</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26.</w:t>
      </w:r>
      <w:r w:rsidRPr="003875F5">
        <w:rPr>
          <w:rFonts w:ascii="Times New Roman" w:hAnsi="Times New Roman" w:cs="Times New Roman"/>
          <w:noProof/>
        </w:rPr>
        <w:tab/>
        <w:t>Finland</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_Toc402472329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30</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27.</w:t>
      </w:r>
      <w:r w:rsidRPr="003875F5">
        <w:rPr>
          <w:rFonts w:ascii="Times New Roman" w:hAnsi="Times New Roman" w:cs="Times New Roman"/>
          <w:noProof/>
        </w:rPr>
        <w:tab/>
        <w:t>Georgia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30</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28.</w:t>
      </w:r>
      <w:r w:rsidRPr="003875F5">
        <w:rPr>
          <w:rFonts w:ascii="Times New Roman" w:hAnsi="Times New Roman" w:cs="Times New Roman"/>
          <w:noProof/>
        </w:rPr>
        <w:tab/>
        <w:t>Germany</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29.</w:t>
      </w:r>
      <w:r w:rsidRPr="003875F5">
        <w:rPr>
          <w:rFonts w:ascii="Times New Roman" w:hAnsi="Times New Roman" w:cs="Times New Roman"/>
          <w:noProof/>
        </w:rPr>
        <w:tab/>
        <w:t>Ghana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32</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30.</w:t>
      </w:r>
      <w:r w:rsidRPr="003875F5">
        <w:rPr>
          <w:rFonts w:ascii="Times New Roman" w:hAnsi="Times New Roman" w:cs="Times New Roman"/>
          <w:noProof/>
        </w:rPr>
        <w:tab/>
        <w:t>Greece</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33</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31.</w:t>
      </w:r>
      <w:r w:rsidRPr="003875F5">
        <w:rPr>
          <w:rFonts w:ascii="Times New Roman" w:hAnsi="Times New Roman" w:cs="Times New Roman"/>
          <w:noProof/>
        </w:rPr>
        <w:tab/>
        <w:t>Guatemala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_Toc402472334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33</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32.</w:t>
      </w:r>
      <w:r w:rsidRPr="003875F5">
        <w:rPr>
          <w:rFonts w:ascii="Times New Roman" w:hAnsi="Times New Roman" w:cs="Times New Roman"/>
          <w:noProof/>
        </w:rPr>
        <w:tab/>
        <w:t>Hungary</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_Toc402472335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33</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33.</w:t>
      </w:r>
      <w:r w:rsidRPr="003875F5">
        <w:rPr>
          <w:rFonts w:ascii="Times New Roman" w:hAnsi="Times New Roman" w:cs="Times New Roman"/>
          <w:noProof/>
        </w:rPr>
        <w:tab/>
        <w:t>Iceland</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_Toc402472336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35</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34.</w:t>
      </w:r>
      <w:r w:rsidRPr="003875F5">
        <w:rPr>
          <w:rFonts w:ascii="Times New Roman" w:hAnsi="Times New Roman" w:cs="Times New Roman"/>
          <w:noProof/>
        </w:rPr>
        <w:tab/>
        <w:t>India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_Toc402472337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35.</w:t>
      </w:r>
      <w:r w:rsidRPr="003875F5">
        <w:rPr>
          <w:rFonts w:ascii="Times New Roman" w:hAnsi="Times New Roman" w:cs="Times New Roman"/>
          <w:noProof/>
        </w:rPr>
        <w:tab/>
        <w:t>Indonesia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_Toc402472338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36.</w:t>
      </w:r>
      <w:r w:rsidRPr="003875F5">
        <w:rPr>
          <w:rFonts w:ascii="Times New Roman" w:hAnsi="Times New Roman" w:cs="Times New Roman"/>
          <w:noProof/>
        </w:rPr>
        <w:tab/>
        <w:t>Islamic Republic of Iran</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_Toc402472339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37.</w:t>
      </w:r>
      <w:r w:rsidRPr="003875F5">
        <w:rPr>
          <w:rFonts w:ascii="Times New Roman" w:hAnsi="Times New Roman" w:cs="Times New Roman"/>
          <w:noProof/>
        </w:rPr>
        <w:tab/>
        <w:t>Ireland</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38.</w:t>
      </w:r>
      <w:r w:rsidRPr="003875F5">
        <w:rPr>
          <w:rFonts w:ascii="Times New Roman" w:hAnsi="Times New Roman" w:cs="Times New Roman"/>
          <w:noProof/>
        </w:rPr>
        <w:tab/>
        <w:t>Israel</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39.</w:t>
      </w:r>
      <w:r w:rsidRPr="003875F5">
        <w:rPr>
          <w:rFonts w:ascii="Times New Roman" w:hAnsi="Times New Roman" w:cs="Times New Roman"/>
          <w:noProof/>
        </w:rPr>
        <w:tab/>
        <w:t>Jamaica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38</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40.</w:t>
      </w:r>
      <w:r w:rsidRPr="003875F5">
        <w:rPr>
          <w:rFonts w:ascii="Times New Roman" w:hAnsi="Times New Roman" w:cs="Times New Roman"/>
          <w:noProof/>
        </w:rPr>
        <w:tab/>
        <w:t>Kazakhstan</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38</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41.</w:t>
      </w:r>
      <w:r w:rsidRPr="003875F5">
        <w:rPr>
          <w:rFonts w:ascii="Times New Roman" w:hAnsi="Times New Roman" w:cs="Times New Roman"/>
          <w:noProof/>
        </w:rPr>
        <w:tab/>
        <w:t>Kenya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_Toc402472344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39</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42.</w:t>
      </w:r>
      <w:r w:rsidRPr="003875F5">
        <w:rPr>
          <w:rFonts w:ascii="Times New Roman" w:hAnsi="Times New Roman" w:cs="Times New Roman"/>
          <w:noProof/>
        </w:rPr>
        <w:tab/>
        <w:t>Korea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_Toc402472345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39</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43.</w:t>
      </w:r>
      <w:r w:rsidRPr="003875F5">
        <w:rPr>
          <w:rFonts w:ascii="Times New Roman" w:hAnsi="Times New Roman" w:cs="Times New Roman"/>
          <w:noProof/>
        </w:rPr>
        <w:tab/>
        <w:t>Kuwait</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_Toc402472346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44.</w:t>
      </w:r>
      <w:r w:rsidRPr="003875F5">
        <w:rPr>
          <w:rFonts w:ascii="Times New Roman" w:hAnsi="Times New Roman" w:cs="Times New Roman"/>
          <w:noProof/>
        </w:rPr>
        <w:tab/>
        <w:t>Kyrgyz Republic</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_Toc402472347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45.</w:t>
      </w:r>
      <w:r w:rsidRPr="003875F5">
        <w:rPr>
          <w:rFonts w:ascii="Times New Roman" w:hAnsi="Times New Roman" w:cs="Times New Roman"/>
          <w:noProof/>
        </w:rPr>
        <w:tab/>
        <w:t>Latvia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_Toc402472348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46.</w:t>
      </w:r>
      <w:r w:rsidRPr="003875F5">
        <w:rPr>
          <w:rFonts w:ascii="Times New Roman" w:hAnsi="Times New Roman" w:cs="Times New Roman"/>
          <w:noProof/>
        </w:rPr>
        <w:tab/>
        <w:t>Lebanon</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_Toc402472349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47.</w:t>
      </w:r>
      <w:r w:rsidRPr="003875F5">
        <w:rPr>
          <w:rFonts w:ascii="Times New Roman" w:hAnsi="Times New Roman" w:cs="Times New Roman"/>
          <w:noProof/>
        </w:rPr>
        <w:tab/>
        <w:t>Malaysia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43</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48.</w:t>
      </w:r>
      <w:r w:rsidRPr="003875F5">
        <w:rPr>
          <w:rFonts w:ascii="Times New Roman" w:hAnsi="Times New Roman" w:cs="Times New Roman"/>
          <w:noProof/>
        </w:rPr>
        <w:tab/>
        <w:t>Malta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43</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49.</w:t>
      </w:r>
      <w:r w:rsidRPr="003875F5">
        <w:rPr>
          <w:rFonts w:ascii="Times New Roman" w:hAnsi="Times New Roman" w:cs="Times New Roman"/>
          <w:noProof/>
        </w:rPr>
        <w:tab/>
        <w:t>Mexico</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44</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50.</w:t>
      </w:r>
      <w:r w:rsidRPr="003875F5">
        <w:rPr>
          <w:rFonts w:ascii="Times New Roman" w:hAnsi="Times New Roman" w:cs="Times New Roman"/>
          <w:noProof/>
        </w:rPr>
        <w:tab/>
        <w:t>Moldova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45</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51.</w:t>
      </w:r>
      <w:r w:rsidRPr="003875F5">
        <w:rPr>
          <w:rFonts w:ascii="Times New Roman" w:hAnsi="Times New Roman" w:cs="Times New Roman"/>
          <w:noProof/>
        </w:rPr>
        <w:tab/>
        <w:t>Morocco</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_Toc402472354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52.</w:t>
      </w:r>
      <w:r w:rsidRPr="003875F5">
        <w:rPr>
          <w:rFonts w:ascii="Times New Roman" w:hAnsi="Times New Roman" w:cs="Times New Roman"/>
          <w:noProof/>
        </w:rPr>
        <w:tab/>
        <w:t>New Zealand</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_Toc402472355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53.</w:t>
      </w:r>
      <w:r w:rsidRPr="003875F5">
        <w:rPr>
          <w:rFonts w:ascii="Times New Roman" w:hAnsi="Times New Roman" w:cs="Times New Roman"/>
          <w:noProof/>
        </w:rPr>
        <w:tab/>
        <w:t>Nicaragua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_Toc402472356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54.</w:t>
      </w:r>
      <w:r w:rsidRPr="003875F5">
        <w:rPr>
          <w:rFonts w:ascii="Times New Roman" w:hAnsi="Times New Roman" w:cs="Times New Roman"/>
          <w:noProof/>
        </w:rPr>
        <w:tab/>
        <w:t>Norway</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_Toc402472357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55.</w:t>
      </w:r>
      <w:r w:rsidRPr="003875F5">
        <w:rPr>
          <w:rFonts w:ascii="Times New Roman" w:hAnsi="Times New Roman" w:cs="Times New Roman"/>
          <w:noProof/>
        </w:rPr>
        <w:tab/>
        <w:t>Oman</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_Toc402472358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lastRenderedPageBreak/>
        <w:t>56.</w:t>
      </w:r>
      <w:r w:rsidRPr="003875F5">
        <w:rPr>
          <w:rFonts w:ascii="Times New Roman" w:hAnsi="Times New Roman" w:cs="Times New Roman"/>
          <w:noProof/>
        </w:rPr>
        <w:tab/>
        <w:t>Pakistan</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_Toc402472359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57.</w:t>
      </w:r>
      <w:r w:rsidRPr="003875F5">
        <w:rPr>
          <w:rFonts w:ascii="Times New Roman" w:hAnsi="Times New Roman" w:cs="Times New Roman"/>
          <w:noProof/>
        </w:rPr>
        <w:tab/>
        <w:t>Paraguay</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58.</w:t>
      </w:r>
      <w:r w:rsidRPr="003875F5">
        <w:rPr>
          <w:rFonts w:ascii="Times New Roman" w:hAnsi="Times New Roman" w:cs="Times New Roman"/>
          <w:noProof/>
        </w:rPr>
        <w:tab/>
        <w:t>Peru</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48</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59.</w:t>
      </w:r>
      <w:r w:rsidRPr="003875F5">
        <w:rPr>
          <w:rFonts w:ascii="Times New Roman" w:hAnsi="Times New Roman" w:cs="Times New Roman"/>
          <w:noProof/>
        </w:rPr>
        <w:tab/>
        <w:t>Philippines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48</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60.</w:t>
      </w:r>
      <w:r w:rsidRPr="003875F5">
        <w:rPr>
          <w:rFonts w:ascii="Times New Roman" w:hAnsi="Times New Roman" w:cs="Times New Roman"/>
          <w:noProof/>
        </w:rPr>
        <w:tab/>
        <w:t>Poland</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49</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61.</w:t>
      </w:r>
      <w:r w:rsidRPr="003875F5">
        <w:rPr>
          <w:rFonts w:ascii="Times New Roman" w:hAnsi="Times New Roman" w:cs="Times New Roman"/>
          <w:noProof/>
        </w:rPr>
        <w:tab/>
        <w:t>Portugal</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_Toc402472364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62.</w:t>
      </w:r>
      <w:r w:rsidRPr="003875F5">
        <w:rPr>
          <w:rFonts w:ascii="Times New Roman" w:hAnsi="Times New Roman" w:cs="Times New Roman"/>
          <w:noProof/>
        </w:rPr>
        <w:tab/>
        <w:t>Qatar</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_Toc402472365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52</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63.</w:t>
      </w:r>
      <w:r w:rsidRPr="003875F5">
        <w:rPr>
          <w:rFonts w:ascii="Times New Roman" w:hAnsi="Times New Roman" w:cs="Times New Roman"/>
          <w:noProof/>
        </w:rPr>
        <w:tab/>
        <w:t>Romania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_Toc402472366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52</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64.</w:t>
      </w:r>
      <w:r w:rsidRPr="003875F5">
        <w:rPr>
          <w:rFonts w:ascii="Times New Roman" w:hAnsi="Times New Roman" w:cs="Times New Roman"/>
          <w:noProof/>
        </w:rPr>
        <w:tab/>
        <w:t>Russian Federation (Russia)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_Toc402472367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52</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65.</w:t>
      </w:r>
      <w:r w:rsidRPr="003875F5">
        <w:rPr>
          <w:rFonts w:ascii="Times New Roman" w:hAnsi="Times New Roman" w:cs="Times New Roman"/>
          <w:noProof/>
        </w:rPr>
        <w:tab/>
        <w:t>Saudi Arabia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_Toc402472368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54</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66.</w:t>
      </w:r>
      <w:r w:rsidRPr="003875F5">
        <w:rPr>
          <w:rFonts w:ascii="Times New Roman" w:hAnsi="Times New Roman" w:cs="Times New Roman"/>
          <w:noProof/>
        </w:rPr>
        <w:tab/>
        <w:t>Singapore</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_Toc402472369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54</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67.</w:t>
      </w:r>
      <w:r w:rsidRPr="003875F5">
        <w:rPr>
          <w:rFonts w:ascii="Times New Roman" w:hAnsi="Times New Roman" w:cs="Times New Roman"/>
          <w:noProof/>
        </w:rPr>
        <w:tab/>
        <w:t>Slovenia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55</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68.</w:t>
      </w:r>
      <w:r w:rsidRPr="003875F5">
        <w:rPr>
          <w:rFonts w:ascii="Times New Roman" w:hAnsi="Times New Roman" w:cs="Times New Roman"/>
          <w:noProof/>
        </w:rPr>
        <w:tab/>
        <w:t>South Africa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55</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69.</w:t>
      </w:r>
      <w:r w:rsidRPr="003875F5">
        <w:rPr>
          <w:rFonts w:ascii="Times New Roman" w:hAnsi="Times New Roman" w:cs="Times New Roman"/>
          <w:noProof/>
        </w:rPr>
        <w:tab/>
        <w:t>Spain</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55</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70.</w:t>
      </w:r>
      <w:r w:rsidRPr="003875F5">
        <w:rPr>
          <w:rFonts w:ascii="Times New Roman" w:hAnsi="Times New Roman" w:cs="Times New Roman"/>
          <w:noProof/>
        </w:rPr>
        <w:tab/>
        <w:t>Sri Lanka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55</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71.</w:t>
      </w:r>
      <w:r w:rsidRPr="003875F5">
        <w:rPr>
          <w:rFonts w:ascii="Times New Roman" w:hAnsi="Times New Roman" w:cs="Times New Roman"/>
          <w:noProof/>
        </w:rPr>
        <w:tab/>
        <w:t>Switzerland</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_Toc402472374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72.</w:t>
      </w:r>
      <w:r w:rsidRPr="003875F5">
        <w:rPr>
          <w:rFonts w:ascii="Times New Roman" w:hAnsi="Times New Roman" w:cs="Times New Roman"/>
          <w:noProof/>
        </w:rPr>
        <w:tab/>
        <w:t>Tanzania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_Toc402472375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73.</w:t>
      </w:r>
      <w:r w:rsidRPr="003875F5">
        <w:rPr>
          <w:rFonts w:ascii="Times New Roman" w:hAnsi="Times New Roman" w:cs="Times New Roman"/>
          <w:noProof/>
        </w:rPr>
        <w:tab/>
        <w:t>Thailand</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_Toc402472376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56</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74.</w:t>
      </w:r>
      <w:r w:rsidRPr="003875F5">
        <w:rPr>
          <w:rFonts w:ascii="Times New Roman" w:hAnsi="Times New Roman" w:cs="Times New Roman"/>
          <w:noProof/>
        </w:rPr>
        <w:tab/>
        <w:t>Togo</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_Toc402472377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75.</w:t>
      </w:r>
      <w:r w:rsidRPr="003875F5">
        <w:rPr>
          <w:rFonts w:ascii="Times New Roman" w:hAnsi="Times New Roman" w:cs="Times New Roman"/>
          <w:noProof/>
        </w:rPr>
        <w:tab/>
        <w:t>Tunisia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_Toc402472378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58</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76.</w:t>
      </w:r>
      <w:r w:rsidRPr="003875F5">
        <w:rPr>
          <w:rFonts w:ascii="Times New Roman" w:hAnsi="Times New Roman" w:cs="Times New Roman"/>
          <w:noProof/>
        </w:rPr>
        <w:tab/>
        <w:t>Turkey</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_Toc402472379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59</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77.</w:t>
      </w:r>
      <w:r w:rsidRPr="003875F5">
        <w:rPr>
          <w:rFonts w:ascii="Times New Roman" w:hAnsi="Times New Roman" w:cs="Times New Roman"/>
          <w:noProof/>
        </w:rPr>
        <w:tab/>
        <w:t>Uganda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60</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78.</w:t>
      </w:r>
      <w:r w:rsidRPr="003875F5">
        <w:rPr>
          <w:rFonts w:ascii="Times New Roman" w:hAnsi="Times New Roman" w:cs="Times New Roman"/>
          <w:noProof/>
        </w:rPr>
        <w:tab/>
        <w:t>Ukraine</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79.</w:t>
      </w:r>
      <w:r w:rsidRPr="003875F5">
        <w:rPr>
          <w:rFonts w:ascii="Times New Roman" w:hAnsi="Times New Roman" w:cs="Times New Roman"/>
          <w:noProof/>
        </w:rPr>
        <w:tab/>
        <w:t>United Arab Emirates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80.</w:t>
      </w:r>
      <w:r w:rsidRPr="003875F5">
        <w:rPr>
          <w:rFonts w:ascii="Times New Roman" w:hAnsi="Times New Roman" w:cs="Times New Roman"/>
          <w:noProof/>
        </w:rPr>
        <w:tab/>
        <w:t>United States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61</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81.</w:t>
      </w:r>
      <w:r w:rsidRPr="003875F5">
        <w:rPr>
          <w:rFonts w:ascii="Times New Roman" w:hAnsi="Times New Roman" w:cs="Times New Roman"/>
          <w:noProof/>
        </w:rPr>
        <w:tab/>
        <w:t>Uruguay</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_Toc402472384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62</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82.</w:t>
      </w:r>
      <w:r w:rsidRPr="003875F5">
        <w:rPr>
          <w:rFonts w:ascii="Times New Roman" w:hAnsi="Times New Roman" w:cs="Times New Roman"/>
          <w:noProof/>
        </w:rPr>
        <w:tab/>
        <w:t>Uzbekistan</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_Toc402472385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63</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83.</w:t>
      </w:r>
      <w:r w:rsidRPr="003875F5">
        <w:rPr>
          <w:rFonts w:ascii="Times New Roman" w:hAnsi="Times New Roman" w:cs="Times New Roman"/>
          <w:noProof/>
        </w:rPr>
        <w:tab/>
        <w:t>Venezuela</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_Toc402472386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63</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84.</w:t>
      </w:r>
      <w:r w:rsidRPr="003875F5">
        <w:rPr>
          <w:rFonts w:ascii="Times New Roman" w:hAnsi="Times New Roman" w:cs="Times New Roman"/>
          <w:noProof/>
        </w:rPr>
        <w:tab/>
        <w:t>Vietnam</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_Toc402472387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63</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85.</w:t>
      </w:r>
      <w:r w:rsidRPr="003875F5">
        <w:rPr>
          <w:rFonts w:ascii="Times New Roman" w:hAnsi="Times New Roman" w:cs="Times New Roman"/>
          <w:noProof/>
        </w:rPr>
        <w:tab/>
        <w:t>Yemen</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_Toc402472388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64</w:t>
      </w:r>
      <w:r w:rsidRPr="003875F5">
        <w:rPr>
          <w:rFonts w:ascii="Times New Roman" w:hAnsi="Times New Roman" w:cs="Times New Roman"/>
          <w:noProof/>
        </w:rPr>
        <w:fldChar w:fldCharType="end"/>
      </w:r>
    </w:p>
    <w:p w:rsidR="003875F5" w:rsidRPr="003875F5" w:rsidRDefault="003875F5">
      <w:pPr>
        <w:pStyle w:val="TDC1"/>
        <w:rPr>
          <w:rFonts w:ascii="Times New Roman" w:hAnsi="Times New Roman" w:cs="Times New Roman"/>
          <w:noProof/>
        </w:rPr>
      </w:pPr>
      <w:r w:rsidRPr="003875F5">
        <w:rPr>
          <w:rFonts w:ascii="Times New Roman" w:hAnsi="Times New Roman" w:cs="Times New Roman"/>
          <w:noProof/>
        </w:rPr>
        <w:t>VI.</w:t>
      </w:r>
      <w:r w:rsidRPr="003875F5">
        <w:rPr>
          <w:rFonts w:ascii="Times New Roman" w:hAnsi="Times New Roman" w:cs="Times New Roman"/>
          <w:noProof/>
        </w:rPr>
        <w:tab/>
        <w:t>DESCRIPTIVE STATISTICS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_Toc402472389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64</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1.</w:t>
      </w:r>
      <w:r w:rsidRPr="003875F5">
        <w:rPr>
          <w:rFonts w:ascii="Times New Roman" w:hAnsi="Times New Roman" w:cs="Times New Roman"/>
          <w:noProof/>
        </w:rPr>
        <w:tab/>
        <w:t>Description by country</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_Toc402472390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64</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2.</w:t>
      </w:r>
      <w:r w:rsidRPr="003875F5">
        <w:rPr>
          <w:rFonts w:ascii="Times New Roman" w:hAnsi="Times New Roman" w:cs="Times New Roman"/>
          <w:noProof/>
        </w:rPr>
        <w:tab/>
        <w:t>Description by years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_Toc402472391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lastRenderedPageBreak/>
        <w:t>3.</w:t>
      </w:r>
      <w:r w:rsidRPr="003875F5">
        <w:rPr>
          <w:rFonts w:ascii="Times New Roman" w:hAnsi="Times New Roman" w:cs="Times New Roman"/>
          <w:noProof/>
        </w:rPr>
        <w:tab/>
        <w:t>Description by categories</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_Toc402472392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67</w:t>
      </w:r>
      <w:r w:rsidRPr="003875F5">
        <w:rPr>
          <w:rFonts w:ascii="Times New Roman" w:hAnsi="Times New Roman" w:cs="Times New Roman"/>
          <w:noProof/>
        </w:rPr>
        <w:fldChar w:fldCharType="end"/>
      </w:r>
    </w:p>
    <w:p w:rsidR="003875F5" w:rsidRPr="003875F5" w:rsidRDefault="003875F5">
      <w:pPr>
        <w:pStyle w:val="TDC2"/>
        <w:rPr>
          <w:rFonts w:ascii="Times New Roman" w:hAnsi="Times New Roman" w:cs="Times New Roman"/>
          <w:noProof/>
        </w:rPr>
      </w:pPr>
      <w:r w:rsidRPr="003875F5">
        <w:rPr>
          <w:rFonts w:ascii="Times New Roman" w:hAnsi="Times New Roman" w:cs="Times New Roman"/>
          <w:noProof/>
        </w:rPr>
        <w:t>4.</w:t>
      </w:r>
      <w:r w:rsidRPr="003875F5">
        <w:rPr>
          <w:rFonts w:ascii="Times New Roman" w:hAnsi="Times New Roman" w:cs="Times New Roman"/>
          <w:noProof/>
        </w:rPr>
        <w:tab/>
        <w:t>Aggregate</w:t>
      </w:r>
      <w:r w:rsidRPr="003875F5">
        <w:rPr>
          <w:rFonts w:ascii="Times New Roman" w:hAnsi="Times New Roman" w:cs="Times New Roman"/>
          <w:noProof/>
        </w:rPr>
        <w:tab/>
      </w:r>
      <w:r w:rsidRPr="003875F5">
        <w:rPr>
          <w:rFonts w:ascii="Times New Roman" w:hAnsi="Times New Roman" w:cs="Times New Roman"/>
          <w:noProof/>
        </w:rPr>
        <w:fldChar w:fldCharType="begin"/>
      </w:r>
      <w:r w:rsidRPr="003875F5">
        <w:rPr>
          <w:rFonts w:ascii="Times New Roman" w:hAnsi="Times New Roman" w:cs="Times New Roman"/>
          <w:noProof/>
        </w:rPr>
        <w:instrText xml:space="preserve"> PAGEREF _Toc402472393 \h </w:instrText>
      </w:r>
      <w:r w:rsidRPr="003875F5">
        <w:rPr>
          <w:rFonts w:ascii="Times New Roman" w:hAnsi="Times New Roman" w:cs="Times New Roman"/>
          <w:noProof/>
        </w:rPr>
      </w:r>
      <w:r w:rsidRPr="003875F5">
        <w:rPr>
          <w:rFonts w:ascii="Times New Roman" w:hAnsi="Times New Roman" w:cs="Times New Roman"/>
          <w:noProof/>
        </w:rPr>
        <w:fldChar w:fldCharType="separate"/>
      </w:r>
      <w:r w:rsidR="008546C3">
        <w:rPr>
          <w:rFonts w:ascii="Times New Roman" w:hAnsi="Times New Roman" w:cs="Times New Roman"/>
          <w:noProof/>
        </w:rPr>
        <w:t>68</w:t>
      </w:r>
      <w:r w:rsidRPr="003875F5">
        <w:rPr>
          <w:rFonts w:ascii="Times New Roman" w:hAnsi="Times New Roman" w:cs="Times New Roman"/>
          <w:noProof/>
        </w:rPr>
        <w:fldChar w:fldCharType="end"/>
      </w:r>
    </w:p>
    <w:p w:rsidR="004653CE" w:rsidRDefault="00551B91" w:rsidP="00D712AE">
      <w:pPr>
        <w:spacing w:line="240" w:lineRule="auto"/>
        <w:contextualSpacing/>
        <w:jc w:val="center"/>
        <w:rPr>
          <w:rFonts w:ascii="Times New Roman" w:hAnsi="Times New Roman" w:cs="Times New Roman"/>
          <w:sz w:val="24"/>
          <w:szCs w:val="24"/>
          <w:lang w:val="en-US"/>
        </w:rPr>
      </w:pPr>
      <w:r w:rsidRPr="003875F5">
        <w:rPr>
          <w:rFonts w:ascii="Times New Roman" w:hAnsi="Times New Roman" w:cs="Times New Roman"/>
          <w:sz w:val="24"/>
          <w:szCs w:val="24"/>
          <w:lang w:val="en-US"/>
        </w:rPr>
        <w:fldChar w:fldCharType="end"/>
      </w: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Default="003875F5" w:rsidP="00D712AE">
      <w:pPr>
        <w:spacing w:line="240" w:lineRule="auto"/>
        <w:contextualSpacing/>
        <w:jc w:val="center"/>
        <w:rPr>
          <w:rFonts w:ascii="Times New Roman" w:hAnsi="Times New Roman" w:cs="Times New Roman"/>
          <w:sz w:val="24"/>
          <w:szCs w:val="24"/>
          <w:lang w:val="en-US"/>
        </w:rPr>
      </w:pPr>
    </w:p>
    <w:p w:rsidR="003875F5" w:rsidRPr="003875F5" w:rsidRDefault="003875F5" w:rsidP="00D712AE">
      <w:pPr>
        <w:spacing w:line="240" w:lineRule="auto"/>
        <w:contextualSpacing/>
        <w:jc w:val="center"/>
        <w:rPr>
          <w:rFonts w:ascii="Times New Roman" w:hAnsi="Times New Roman" w:cs="Times New Roman"/>
          <w:sz w:val="24"/>
          <w:szCs w:val="24"/>
          <w:lang w:val="es-CO"/>
        </w:rPr>
      </w:pPr>
    </w:p>
    <w:p w:rsidR="001078E1" w:rsidRPr="003875F5" w:rsidRDefault="009727A4" w:rsidP="00B252C6">
      <w:pPr>
        <w:pStyle w:val="Estilo1"/>
      </w:pPr>
      <w:bookmarkStart w:id="0" w:name="_Toc402472299"/>
      <w:r w:rsidRPr="003875F5">
        <w:lastRenderedPageBreak/>
        <w:t>PRESENTATION</w:t>
      </w:r>
      <w:bookmarkEnd w:id="0"/>
    </w:p>
    <w:p w:rsidR="001078E1" w:rsidRPr="003875F5" w:rsidRDefault="001078E1" w:rsidP="00312108">
      <w:p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this </w:t>
      </w:r>
      <w:r w:rsidR="00F04078" w:rsidRPr="003875F5">
        <w:rPr>
          <w:rFonts w:ascii="Times New Roman" w:hAnsi="Times New Roman" w:cs="Times New Roman"/>
          <w:sz w:val="24"/>
          <w:szCs w:val="24"/>
          <w:lang w:val="en-US"/>
        </w:rPr>
        <w:t xml:space="preserve">technical </w:t>
      </w:r>
      <w:r w:rsidRPr="003875F5">
        <w:rPr>
          <w:rFonts w:ascii="Times New Roman" w:hAnsi="Times New Roman" w:cs="Times New Roman"/>
          <w:sz w:val="24"/>
          <w:szCs w:val="24"/>
          <w:lang w:val="en-US"/>
        </w:rPr>
        <w:t>appendix</w:t>
      </w:r>
      <w:r w:rsidR="00312108" w:rsidRPr="003875F5">
        <w:rPr>
          <w:rFonts w:ascii="Times New Roman" w:hAnsi="Times New Roman" w:cs="Times New Roman"/>
          <w:sz w:val="24"/>
          <w:szCs w:val="24"/>
          <w:lang w:val="en-US"/>
        </w:rPr>
        <w:t xml:space="preserve"> we describe in detail the methodology used for coding our dataset. </w:t>
      </w:r>
      <w:r w:rsidR="00F04078" w:rsidRPr="003875F5">
        <w:rPr>
          <w:rFonts w:ascii="Times New Roman" w:hAnsi="Times New Roman" w:cs="Times New Roman"/>
          <w:sz w:val="24"/>
          <w:szCs w:val="24"/>
          <w:lang w:val="en-US"/>
        </w:rPr>
        <w:t>T</w:t>
      </w:r>
      <w:r w:rsidR="00312108" w:rsidRPr="003875F5">
        <w:rPr>
          <w:rFonts w:ascii="Times New Roman" w:hAnsi="Times New Roman" w:cs="Times New Roman"/>
          <w:sz w:val="24"/>
          <w:szCs w:val="24"/>
          <w:lang w:val="en-US"/>
        </w:rPr>
        <w:t xml:space="preserve">his appendix is organized as follows: First, we present a table summarizing the notation used throughout the </w:t>
      </w:r>
      <w:r w:rsidR="009727A4" w:rsidRPr="003875F5">
        <w:rPr>
          <w:rFonts w:ascii="Times New Roman" w:hAnsi="Times New Roman" w:cs="Times New Roman"/>
          <w:sz w:val="24"/>
          <w:szCs w:val="24"/>
          <w:lang w:val="en-US"/>
        </w:rPr>
        <w:t xml:space="preserve">dataset; Second, we </w:t>
      </w:r>
      <w:r w:rsidR="00F258BE" w:rsidRPr="003875F5">
        <w:rPr>
          <w:rFonts w:ascii="Times New Roman" w:hAnsi="Times New Roman" w:cs="Times New Roman"/>
          <w:sz w:val="24"/>
          <w:szCs w:val="24"/>
          <w:lang w:val="en-US"/>
        </w:rPr>
        <w:t>elucidate</w:t>
      </w:r>
      <w:r w:rsidR="009727A4" w:rsidRPr="003875F5">
        <w:rPr>
          <w:rFonts w:ascii="Times New Roman" w:hAnsi="Times New Roman" w:cs="Times New Roman"/>
          <w:sz w:val="24"/>
          <w:szCs w:val="24"/>
          <w:lang w:val="en-US"/>
        </w:rPr>
        <w:t xml:space="preserve"> all relevant definitions taken by the IMF staff in</w:t>
      </w:r>
      <w:r w:rsidR="00312108" w:rsidRPr="003875F5">
        <w:rPr>
          <w:rFonts w:ascii="Times New Roman" w:hAnsi="Times New Roman" w:cs="Times New Roman"/>
          <w:sz w:val="24"/>
          <w:szCs w:val="24"/>
          <w:lang w:val="en-US"/>
        </w:rPr>
        <w:t xml:space="preserve"> the</w:t>
      </w:r>
      <w:r w:rsidR="00232E89" w:rsidRPr="003875F5">
        <w:rPr>
          <w:rFonts w:ascii="Times New Roman" w:hAnsi="Times New Roman" w:cs="Times New Roman"/>
          <w:sz w:val="24"/>
          <w:szCs w:val="24"/>
          <w:lang w:val="en-US"/>
        </w:rPr>
        <w:t xml:space="preserve"> </w:t>
      </w:r>
      <w:r w:rsidR="00232E89" w:rsidRPr="003875F5">
        <w:rPr>
          <w:rFonts w:ascii="Times New Roman" w:hAnsi="Times New Roman" w:cs="Times New Roman"/>
          <w:i/>
          <w:sz w:val="24"/>
          <w:szCs w:val="24"/>
          <w:lang w:val="en-US"/>
        </w:rPr>
        <w:t>Annual Report on Exchange Arrangements and Exchange Restrictions</w:t>
      </w:r>
      <w:r w:rsidR="00312108" w:rsidRPr="003875F5">
        <w:rPr>
          <w:rFonts w:ascii="Times New Roman" w:hAnsi="Times New Roman" w:cs="Times New Roman"/>
          <w:sz w:val="24"/>
          <w:szCs w:val="24"/>
          <w:lang w:val="en-US"/>
        </w:rPr>
        <w:t xml:space="preserve"> </w:t>
      </w:r>
      <w:r w:rsidR="00232E89" w:rsidRPr="003875F5">
        <w:rPr>
          <w:rFonts w:ascii="Times New Roman" w:hAnsi="Times New Roman" w:cs="Times New Roman"/>
          <w:sz w:val="24"/>
          <w:szCs w:val="24"/>
          <w:lang w:val="en-US"/>
        </w:rPr>
        <w:t>(</w:t>
      </w:r>
      <w:r w:rsidR="00312108" w:rsidRPr="003875F5">
        <w:rPr>
          <w:rFonts w:ascii="Times New Roman" w:hAnsi="Times New Roman" w:cs="Times New Roman"/>
          <w:sz w:val="24"/>
          <w:szCs w:val="24"/>
          <w:lang w:val="en-US"/>
        </w:rPr>
        <w:t>AREAER</w:t>
      </w:r>
      <w:r w:rsidR="00232E89" w:rsidRPr="003875F5">
        <w:rPr>
          <w:rFonts w:ascii="Times New Roman" w:hAnsi="Times New Roman" w:cs="Times New Roman"/>
          <w:sz w:val="24"/>
          <w:szCs w:val="24"/>
          <w:lang w:val="en-US"/>
        </w:rPr>
        <w:t>)</w:t>
      </w:r>
      <w:r w:rsidR="00312108" w:rsidRPr="003875F5">
        <w:rPr>
          <w:rFonts w:ascii="Times New Roman" w:hAnsi="Times New Roman" w:cs="Times New Roman"/>
          <w:sz w:val="24"/>
          <w:szCs w:val="24"/>
          <w:lang w:val="en-US"/>
        </w:rPr>
        <w:t xml:space="preserve">; Third, we set forth the general rules and criteria that guided </w:t>
      </w:r>
      <w:r w:rsidR="009727A4" w:rsidRPr="003875F5">
        <w:rPr>
          <w:rFonts w:ascii="Times New Roman" w:hAnsi="Times New Roman" w:cs="Times New Roman"/>
          <w:sz w:val="24"/>
          <w:szCs w:val="24"/>
          <w:lang w:val="en-US"/>
        </w:rPr>
        <w:t>our coding;</w:t>
      </w:r>
      <w:r w:rsidR="001079DE" w:rsidRPr="003875F5">
        <w:rPr>
          <w:rFonts w:ascii="Times New Roman" w:hAnsi="Times New Roman" w:cs="Times New Roman"/>
          <w:sz w:val="24"/>
          <w:szCs w:val="24"/>
          <w:lang w:val="en-US"/>
        </w:rPr>
        <w:t xml:space="preserve"> F</w:t>
      </w:r>
      <w:r w:rsidR="009727A4" w:rsidRPr="003875F5">
        <w:rPr>
          <w:rFonts w:ascii="Times New Roman" w:hAnsi="Times New Roman" w:cs="Times New Roman"/>
          <w:sz w:val="24"/>
          <w:szCs w:val="24"/>
          <w:lang w:val="en-US"/>
        </w:rPr>
        <w:t>ourth,</w:t>
      </w:r>
      <w:r w:rsidR="001079DE" w:rsidRPr="003875F5">
        <w:rPr>
          <w:rFonts w:ascii="Times New Roman" w:hAnsi="Times New Roman" w:cs="Times New Roman"/>
          <w:sz w:val="24"/>
          <w:szCs w:val="24"/>
          <w:lang w:val="en-US"/>
        </w:rPr>
        <w:t xml:space="preserve"> we explain the clarifications and exceptions thereof; And fifth, we show descriptive statistics regarding observations coded as wither </w:t>
      </w:r>
      <w:proofErr w:type="spellStart"/>
      <w:r w:rsidR="001079DE" w:rsidRPr="003875F5">
        <w:rPr>
          <w:rFonts w:ascii="Times New Roman" w:hAnsi="Times New Roman" w:cs="Times New Roman"/>
          <w:i/>
          <w:sz w:val="24"/>
          <w:szCs w:val="24"/>
          <w:lang w:val="en-US"/>
        </w:rPr>
        <w:t>n.a</w:t>
      </w:r>
      <w:proofErr w:type="spellEnd"/>
      <w:r w:rsidR="001079DE" w:rsidRPr="003875F5">
        <w:rPr>
          <w:rFonts w:ascii="Times New Roman" w:hAnsi="Times New Roman" w:cs="Times New Roman"/>
          <w:sz w:val="24"/>
          <w:szCs w:val="24"/>
          <w:lang w:val="en-US"/>
        </w:rPr>
        <w:t xml:space="preserve"> or </w:t>
      </w:r>
      <w:proofErr w:type="spellStart"/>
      <w:r w:rsidR="001079DE" w:rsidRPr="003875F5">
        <w:rPr>
          <w:rFonts w:ascii="Times New Roman" w:hAnsi="Times New Roman" w:cs="Times New Roman"/>
          <w:i/>
          <w:sz w:val="24"/>
          <w:szCs w:val="24"/>
          <w:lang w:val="en-US"/>
        </w:rPr>
        <w:t>n.r</w:t>
      </w:r>
      <w:proofErr w:type="spellEnd"/>
      <w:r w:rsidR="00F04078" w:rsidRPr="003875F5">
        <w:rPr>
          <w:rFonts w:ascii="Times New Roman" w:hAnsi="Times New Roman" w:cs="Times New Roman"/>
          <w:sz w:val="24"/>
          <w:szCs w:val="24"/>
          <w:lang w:val="en-US"/>
        </w:rPr>
        <w:t xml:space="preserve">. </w:t>
      </w:r>
    </w:p>
    <w:p w:rsidR="000716B8" w:rsidRPr="003875F5" w:rsidRDefault="00026490" w:rsidP="00B252C6">
      <w:pPr>
        <w:pStyle w:val="Estilo1"/>
      </w:pPr>
      <w:bookmarkStart w:id="1" w:name="_Toc402472300"/>
      <w:r w:rsidRPr="003875F5">
        <w:t xml:space="preserve">LIST OF ACRONYMS </w:t>
      </w:r>
      <w:r w:rsidR="006510CF" w:rsidRPr="003875F5">
        <w:t>AND VARIABLES</w:t>
      </w:r>
      <w:bookmarkEnd w:id="1"/>
      <w:r w:rsidR="006510CF" w:rsidRPr="003875F5">
        <w:tab/>
      </w:r>
      <w:r w:rsidR="006510CF" w:rsidRPr="003875F5">
        <w:tab/>
      </w:r>
      <w:r w:rsidR="006510CF" w:rsidRPr="003875F5">
        <w:tab/>
      </w:r>
      <w:r w:rsidR="006510CF" w:rsidRPr="003875F5">
        <w:tab/>
      </w:r>
    </w:p>
    <w:tbl>
      <w:tblPr>
        <w:tblW w:w="8931" w:type="dxa"/>
        <w:tblInd w:w="70" w:type="dxa"/>
        <w:tblCellMar>
          <w:left w:w="70" w:type="dxa"/>
          <w:right w:w="70" w:type="dxa"/>
        </w:tblCellMar>
        <w:tblLook w:val="04A0" w:firstRow="1" w:lastRow="0" w:firstColumn="1" w:lastColumn="0" w:noHBand="0" w:noVBand="1"/>
      </w:tblPr>
      <w:tblGrid>
        <w:gridCol w:w="1061"/>
        <w:gridCol w:w="7870"/>
      </w:tblGrid>
      <w:tr w:rsidR="00DA6EFA" w:rsidRPr="003875F5">
        <w:trPr>
          <w:trHeight w:val="330"/>
        </w:trPr>
        <w:tc>
          <w:tcPr>
            <w:tcW w:w="1061" w:type="dxa"/>
            <w:tcBorders>
              <w:top w:val="nil"/>
              <w:left w:val="nil"/>
              <w:bottom w:val="single" w:sz="8" w:space="0" w:color="auto"/>
              <w:right w:val="nil"/>
            </w:tcBorders>
            <w:shd w:val="clear" w:color="auto" w:fill="auto"/>
            <w:vAlign w:val="center"/>
          </w:tcPr>
          <w:p w:rsidR="0066717B" w:rsidRPr="003875F5" w:rsidRDefault="0066717B" w:rsidP="0066717B">
            <w:pPr>
              <w:spacing w:after="0" w:line="240" w:lineRule="auto"/>
              <w:jc w:val="center"/>
              <w:rPr>
                <w:rFonts w:ascii="Times New Roman" w:eastAsia="Times New Roman" w:hAnsi="Times New Roman" w:cs="Times New Roman"/>
                <w:b/>
                <w:bCs/>
                <w:sz w:val="24"/>
                <w:szCs w:val="24"/>
                <w:lang w:val="en-US" w:eastAsia="zh-CN"/>
              </w:rPr>
            </w:pPr>
            <w:r w:rsidRPr="003875F5">
              <w:rPr>
                <w:rFonts w:ascii="Times New Roman" w:eastAsia="Times New Roman" w:hAnsi="Times New Roman" w:cs="Times New Roman"/>
                <w:b/>
                <w:bCs/>
                <w:sz w:val="24"/>
                <w:szCs w:val="24"/>
                <w:lang w:val="en-US" w:eastAsia="zh-CN"/>
              </w:rPr>
              <w:t>Variable</w:t>
            </w:r>
          </w:p>
        </w:tc>
        <w:tc>
          <w:tcPr>
            <w:tcW w:w="7870" w:type="dxa"/>
            <w:tcBorders>
              <w:top w:val="nil"/>
              <w:left w:val="nil"/>
              <w:bottom w:val="single" w:sz="8" w:space="0" w:color="auto"/>
              <w:right w:val="nil"/>
            </w:tcBorders>
            <w:shd w:val="clear" w:color="auto" w:fill="auto"/>
            <w:vAlign w:val="center"/>
          </w:tcPr>
          <w:p w:rsidR="0066717B" w:rsidRPr="003875F5" w:rsidRDefault="0066717B" w:rsidP="0066717B">
            <w:pPr>
              <w:spacing w:after="0" w:line="240" w:lineRule="auto"/>
              <w:jc w:val="center"/>
              <w:rPr>
                <w:rFonts w:ascii="Times New Roman" w:eastAsia="Times New Roman" w:hAnsi="Times New Roman" w:cs="Times New Roman"/>
                <w:b/>
                <w:bCs/>
                <w:sz w:val="24"/>
                <w:szCs w:val="24"/>
                <w:lang w:val="en-US" w:eastAsia="zh-CN"/>
              </w:rPr>
            </w:pPr>
            <w:r w:rsidRPr="003875F5">
              <w:rPr>
                <w:rFonts w:ascii="Times New Roman" w:eastAsia="Times New Roman" w:hAnsi="Times New Roman" w:cs="Times New Roman"/>
                <w:b/>
                <w:bCs/>
                <w:sz w:val="24"/>
                <w:szCs w:val="24"/>
                <w:lang w:val="en-US" w:eastAsia="zh-CN"/>
              </w:rPr>
              <w:t>Description</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ka</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 xml:space="preserve">Overall restrictions index (all asset categories, </w:t>
            </w:r>
            <w:proofErr w:type="spellStart"/>
            <w:r w:rsidRPr="003875F5">
              <w:rPr>
                <w:rFonts w:ascii="Times New Roman" w:eastAsia="Times New Roman" w:hAnsi="Times New Roman" w:cs="Times New Roman"/>
                <w:sz w:val="24"/>
                <w:szCs w:val="24"/>
                <w:lang w:val="en-US" w:eastAsia="zh-CN"/>
              </w:rPr>
              <w:t>bo</w:t>
            </w:r>
            <w:proofErr w:type="spellEnd"/>
            <w:r w:rsidRPr="003875F5">
              <w:rPr>
                <w:rFonts w:ascii="Times New Roman" w:eastAsia="Times New Roman" w:hAnsi="Times New Roman" w:cs="Times New Roman"/>
                <w:sz w:val="24"/>
                <w:szCs w:val="24"/>
                <w:lang w:val="en-US" w:eastAsia="zh-CN"/>
              </w:rPr>
              <w:t xml:space="preserve"> only 1997 onwards)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kai</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 xml:space="preserve">Overall inflow restrictions index (all asset categories, </w:t>
            </w:r>
            <w:proofErr w:type="spellStart"/>
            <w:r w:rsidRPr="003875F5">
              <w:rPr>
                <w:rFonts w:ascii="Times New Roman" w:eastAsia="Times New Roman" w:hAnsi="Times New Roman" w:cs="Times New Roman"/>
                <w:sz w:val="24"/>
                <w:szCs w:val="24"/>
                <w:lang w:val="en-US" w:eastAsia="zh-CN"/>
              </w:rPr>
              <w:t>bo</w:t>
            </w:r>
            <w:proofErr w:type="spellEnd"/>
            <w:r w:rsidRPr="003875F5">
              <w:rPr>
                <w:rFonts w:ascii="Times New Roman" w:eastAsia="Times New Roman" w:hAnsi="Times New Roman" w:cs="Times New Roman"/>
                <w:sz w:val="24"/>
                <w:szCs w:val="24"/>
                <w:lang w:val="en-US" w:eastAsia="zh-CN"/>
              </w:rPr>
              <w:t xml:space="preserve"> only 1997 onwards)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kao</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 xml:space="preserve">Overall outflow restrictions index (all asset categories, </w:t>
            </w:r>
            <w:proofErr w:type="spellStart"/>
            <w:r w:rsidRPr="003875F5">
              <w:rPr>
                <w:rFonts w:ascii="Times New Roman" w:eastAsia="Times New Roman" w:hAnsi="Times New Roman" w:cs="Times New Roman"/>
                <w:sz w:val="24"/>
                <w:szCs w:val="24"/>
                <w:lang w:val="en-US" w:eastAsia="zh-CN"/>
              </w:rPr>
              <w:t>bo</w:t>
            </w:r>
            <w:proofErr w:type="spellEnd"/>
            <w:r w:rsidRPr="003875F5">
              <w:rPr>
                <w:rFonts w:ascii="Times New Roman" w:eastAsia="Times New Roman" w:hAnsi="Times New Roman" w:cs="Times New Roman"/>
                <w:sz w:val="24"/>
                <w:szCs w:val="24"/>
                <w:lang w:val="en-US" w:eastAsia="zh-CN"/>
              </w:rPr>
              <w:t xml:space="preserve"> only 1997 onwards)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eq</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equity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eqi</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Equity inflow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eqo</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Equity outflow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eq_plbn</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locally by nonresidents (equity)</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eq_siln</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locally by nonresidents (equity)</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eq_pabr</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abroad by residents (equity)</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eq_siar</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abroad by residents (equity)</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bo</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bond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boi</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Bond inflow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boo</w:t>
            </w:r>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Bond outflow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bo_plbn</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locally by nonresidents (bonds)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bo_siln</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locally by nonresidents (bonds)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bo_pabr</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abroad by residents (bonds)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bo_siar</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abroad by residents (bonds)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mm</w:t>
            </w:r>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money market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mmi</w:t>
            </w:r>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Money market inflow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mmo</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Money market outflow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mm_plbn</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locally by nonresidents (money market instruments)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mm_siln</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locally by nonresidents (money market instruments)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mm_pabr</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abroad by residents (money market instruments)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mm_siar</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abroad by residents (money market instruments)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ci</w:t>
            </w:r>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collective investments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cii</w:t>
            </w:r>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Collective investments inflow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cio</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Collective investments outflow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ci_plbn</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locally by nonresidents (collective investments)</w:t>
            </w:r>
          </w:p>
        </w:tc>
      </w:tr>
      <w:tr w:rsidR="00DA6EFA" w:rsidRPr="003875F5">
        <w:trPr>
          <w:trHeight w:val="330"/>
        </w:trPr>
        <w:tc>
          <w:tcPr>
            <w:tcW w:w="1061" w:type="dxa"/>
            <w:tcBorders>
              <w:top w:val="nil"/>
              <w:left w:val="nil"/>
              <w:bottom w:val="single" w:sz="8" w:space="0" w:color="auto"/>
              <w:right w:val="nil"/>
            </w:tcBorders>
            <w:shd w:val="clear" w:color="auto" w:fill="auto"/>
            <w:vAlign w:val="center"/>
          </w:tcPr>
          <w:p w:rsidR="00232E89" w:rsidRPr="003875F5" w:rsidRDefault="00232E89" w:rsidP="001079DE">
            <w:pPr>
              <w:spacing w:after="0" w:line="240" w:lineRule="auto"/>
              <w:jc w:val="center"/>
              <w:rPr>
                <w:rFonts w:ascii="Times New Roman" w:eastAsia="Times New Roman" w:hAnsi="Times New Roman" w:cs="Times New Roman"/>
                <w:b/>
                <w:bCs/>
                <w:sz w:val="24"/>
                <w:szCs w:val="24"/>
                <w:lang w:val="en-US" w:eastAsia="zh-CN"/>
              </w:rPr>
            </w:pPr>
            <w:r w:rsidRPr="003875F5">
              <w:rPr>
                <w:rFonts w:ascii="Times New Roman" w:eastAsia="Times New Roman" w:hAnsi="Times New Roman" w:cs="Times New Roman"/>
                <w:b/>
                <w:bCs/>
                <w:sz w:val="24"/>
                <w:szCs w:val="24"/>
                <w:lang w:val="en-US" w:eastAsia="zh-CN"/>
              </w:rPr>
              <w:lastRenderedPageBreak/>
              <w:t>Variable</w:t>
            </w:r>
          </w:p>
        </w:tc>
        <w:tc>
          <w:tcPr>
            <w:tcW w:w="7870" w:type="dxa"/>
            <w:tcBorders>
              <w:top w:val="nil"/>
              <w:left w:val="nil"/>
              <w:bottom w:val="single" w:sz="8" w:space="0" w:color="auto"/>
              <w:right w:val="nil"/>
            </w:tcBorders>
            <w:shd w:val="clear" w:color="auto" w:fill="auto"/>
            <w:vAlign w:val="center"/>
          </w:tcPr>
          <w:p w:rsidR="00232E89" w:rsidRPr="003875F5" w:rsidRDefault="00232E89" w:rsidP="001079DE">
            <w:pPr>
              <w:spacing w:after="0" w:line="240" w:lineRule="auto"/>
              <w:jc w:val="center"/>
              <w:rPr>
                <w:rFonts w:ascii="Times New Roman" w:eastAsia="Times New Roman" w:hAnsi="Times New Roman" w:cs="Times New Roman"/>
                <w:b/>
                <w:bCs/>
                <w:sz w:val="24"/>
                <w:szCs w:val="24"/>
                <w:lang w:val="en-US" w:eastAsia="zh-CN"/>
              </w:rPr>
            </w:pPr>
            <w:r w:rsidRPr="003875F5">
              <w:rPr>
                <w:rFonts w:ascii="Times New Roman" w:eastAsia="Times New Roman" w:hAnsi="Times New Roman" w:cs="Times New Roman"/>
                <w:b/>
                <w:bCs/>
                <w:sz w:val="24"/>
                <w:szCs w:val="24"/>
                <w:lang w:val="en-US" w:eastAsia="zh-CN"/>
              </w:rPr>
              <w:t>Description</w:t>
            </w:r>
          </w:p>
        </w:tc>
      </w:tr>
      <w:tr w:rsidR="00755C57" w:rsidRPr="003875F5" w:rsidTr="00755C57">
        <w:trPr>
          <w:trHeight w:val="315"/>
        </w:trPr>
        <w:tc>
          <w:tcPr>
            <w:tcW w:w="1061" w:type="dxa"/>
            <w:tcBorders>
              <w:top w:val="nil"/>
              <w:left w:val="nil"/>
              <w:bottom w:val="nil"/>
              <w:right w:val="nil"/>
            </w:tcBorders>
            <w:shd w:val="clear" w:color="auto" w:fill="auto"/>
            <w:vAlign w:val="center"/>
          </w:tcPr>
          <w:p w:rsidR="00755C57" w:rsidRPr="003875F5" w:rsidRDefault="00755C57" w:rsidP="00755C57">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ci_siln</w:t>
            </w:r>
            <w:proofErr w:type="spellEnd"/>
          </w:p>
        </w:tc>
        <w:tc>
          <w:tcPr>
            <w:tcW w:w="7870" w:type="dxa"/>
            <w:tcBorders>
              <w:top w:val="nil"/>
              <w:left w:val="nil"/>
              <w:bottom w:val="nil"/>
              <w:right w:val="nil"/>
            </w:tcBorders>
            <w:shd w:val="clear" w:color="auto" w:fill="auto"/>
            <w:vAlign w:val="center"/>
          </w:tcPr>
          <w:p w:rsidR="00755C57" w:rsidRPr="003875F5" w:rsidRDefault="00755C57" w:rsidP="00755C57">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locally by nonresidents (collective investments)</w:t>
            </w:r>
          </w:p>
        </w:tc>
      </w:tr>
      <w:tr w:rsidR="00DA6EFA" w:rsidRPr="003875F5">
        <w:trPr>
          <w:trHeight w:val="315"/>
        </w:trPr>
        <w:tc>
          <w:tcPr>
            <w:tcW w:w="1061" w:type="dxa"/>
            <w:tcBorders>
              <w:top w:val="nil"/>
              <w:left w:val="nil"/>
              <w:bottom w:val="nil"/>
              <w:right w:val="nil"/>
            </w:tcBorders>
            <w:shd w:val="clear" w:color="auto" w:fill="auto"/>
            <w:vAlign w:val="center"/>
          </w:tcPr>
          <w:p w:rsidR="00232E89" w:rsidRPr="003875F5" w:rsidRDefault="00232E89" w:rsidP="001079DE">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ci_pabr</w:t>
            </w:r>
            <w:proofErr w:type="spellEnd"/>
          </w:p>
        </w:tc>
        <w:tc>
          <w:tcPr>
            <w:tcW w:w="7870" w:type="dxa"/>
            <w:tcBorders>
              <w:top w:val="nil"/>
              <w:left w:val="nil"/>
              <w:bottom w:val="nil"/>
              <w:right w:val="nil"/>
            </w:tcBorders>
            <w:shd w:val="clear" w:color="auto" w:fill="auto"/>
            <w:vAlign w:val="center"/>
          </w:tcPr>
          <w:p w:rsidR="00232E89" w:rsidRPr="003875F5" w:rsidRDefault="00232E89" w:rsidP="001079DE">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abroad by residents (collective investments)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ci_siar</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abroad by residents (collective investments)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de</w:t>
            </w:r>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derivatives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dei</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Derivatives inflow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deo</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Derivatives outflow restrictions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de_plbn</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locally by nonresidents (derivatives)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de_siln</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locally by nonresidents (derivatives)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de_pabr</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abroad by residents (derivatives)</w:t>
            </w:r>
          </w:p>
        </w:tc>
      </w:tr>
      <w:tr w:rsidR="00DA6EFA" w:rsidRPr="003875F5">
        <w:trPr>
          <w:trHeight w:val="315"/>
        </w:trPr>
        <w:tc>
          <w:tcPr>
            <w:tcW w:w="1061" w:type="dxa"/>
            <w:tcBorders>
              <w:top w:val="nil"/>
              <w:left w:val="nil"/>
              <w:bottom w:val="nil"/>
              <w:right w:val="nil"/>
            </w:tcBorders>
            <w:shd w:val="clear" w:color="auto" w:fill="auto"/>
            <w:vAlign w:val="center"/>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de_siar</w:t>
            </w:r>
            <w:proofErr w:type="spellEnd"/>
          </w:p>
        </w:tc>
        <w:tc>
          <w:tcPr>
            <w:tcW w:w="7870" w:type="dxa"/>
            <w:tcBorders>
              <w:top w:val="nil"/>
              <w:left w:val="nil"/>
              <w:bottom w:val="nil"/>
              <w:right w:val="nil"/>
            </w:tcBorders>
            <w:shd w:val="clear" w:color="auto" w:fill="auto"/>
            <w:vAlign w:val="center"/>
          </w:tcPr>
          <w:p w:rsidR="0066717B" w:rsidRPr="003875F5" w:rsidRDefault="0066717B" w:rsidP="0066717B">
            <w:pPr>
              <w:spacing w:after="0" w:line="240" w:lineRule="auto"/>
              <w:jc w:val="both"/>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or issue abroad by residents (derivatives)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cc</w:t>
            </w:r>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commercial credits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cci</w:t>
            </w:r>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Commercial credits inflow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cco</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Commercial credits outflow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fc</w:t>
            </w:r>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financial credits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fci</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Financial credits inflow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fco</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Financial credits outflow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gs</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guarantees, sureties and financial backup facilities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gsi</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Guarantees, sureties and financial backup facilities inflow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gso</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Guarantees, sureties and financial backup facilities outflow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di</w:t>
            </w:r>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direct investment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dii_ldi</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=max(</w:t>
            </w:r>
            <w:proofErr w:type="spellStart"/>
            <w:r w:rsidRPr="003875F5">
              <w:rPr>
                <w:rFonts w:ascii="Times New Roman" w:eastAsia="Times New Roman" w:hAnsi="Times New Roman" w:cs="Times New Roman"/>
                <w:sz w:val="24"/>
                <w:szCs w:val="24"/>
                <w:lang w:val="en-US" w:eastAsia="zh-CN"/>
              </w:rPr>
              <w:t>ldi,dii</w:t>
            </w:r>
            <w:proofErr w:type="spellEnd"/>
            <w:r w:rsidRPr="003875F5">
              <w:rPr>
                <w:rFonts w:ascii="Times New Roman" w:eastAsia="Times New Roman" w:hAnsi="Times New Roman" w:cs="Times New Roman"/>
                <w:sz w:val="24"/>
                <w:szCs w:val="24"/>
                <w:lang w:val="en-US" w:eastAsia="zh-CN"/>
              </w:rPr>
              <w:t>)</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dii</w:t>
            </w:r>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Direct investment inflow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dio</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Direct investment outflow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ldi</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Direct investment liquidation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re</w:t>
            </w:r>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Average real estate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rei</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Real estate inflow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reo</w:t>
            </w:r>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Real estate outflow restrictions</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re_pabr</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abroad by residents (real estate)</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re_plbn</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Purchase locally by nonresidents (real estate)</w:t>
            </w:r>
          </w:p>
        </w:tc>
      </w:tr>
      <w:tr w:rsidR="00DA6EFA" w:rsidRPr="003875F5">
        <w:trPr>
          <w:trHeight w:val="315"/>
        </w:trPr>
        <w:tc>
          <w:tcPr>
            <w:tcW w:w="1061"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proofErr w:type="spellStart"/>
            <w:r w:rsidRPr="003875F5">
              <w:rPr>
                <w:rFonts w:ascii="Times New Roman" w:eastAsia="Times New Roman" w:hAnsi="Times New Roman" w:cs="Times New Roman"/>
                <w:sz w:val="24"/>
                <w:szCs w:val="24"/>
                <w:lang w:val="en-US" w:eastAsia="zh-CN"/>
              </w:rPr>
              <w:t>re_slbn</w:t>
            </w:r>
            <w:proofErr w:type="spellEnd"/>
          </w:p>
        </w:tc>
        <w:tc>
          <w:tcPr>
            <w:tcW w:w="7870" w:type="dxa"/>
            <w:tcBorders>
              <w:top w:val="nil"/>
              <w:left w:val="nil"/>
              <w:bottom w:val="nil"/>
              <w:right w:val="nil"/>
            </w:tcBorders>
            <w:shd w:val="clear" w:color="auto" w:fill="auto"/>
            <w:noWrap/>
            <w:vAlign w:val="bottom"/>
          </w:tcPr>
          <w:p w:rsidR="0066717B" w:rsidRPr="003875F5" w:rsidRDefault="0066717B" w:rsidP="0066717B">
            <w:pPr>
              <w:spacing w:after="0" w:line="240" w:lineRule="auto"/>
              <w:rPr>
                <w:rFonts w:ascii="Times New Roman" w:eastAsia="Times New Roman" w:hAnsi="Times New Roman" w:cs="Times New Roman"/>
                <w:sz w:val="24"/>
                <w:szCs w:val="24"/>
                <w:lang w:val="en-US" w:eastAsia="zh-CN"/>
              </w:rPr>
            </w:pPr>
            <w:r w:rsidRPr="003875F5">
              <w:rPr>
                <w:rFonts w:ascii="Times New Roman" w:eastAsia="Times New Roman" w:hAnsi="Times New Roman" w:cs="Times New Roman"/>
                <w:sz w:val="24"/>
                <w:szCs w:val="24"/>
                <w:lang w:val="en-US" w:eastAsia="zh-CN"/>
              </w:rPr>
              <w:t>Sale locally by nonresidents (real estate)</w:t>
            </w:r>
          </w:p>
        </w:tc>
      </w:tr>
    </w:tbl>
    <w:p w:rsidR="0066717B" w:rsidRPr="003875F5" w:rsidRDefault="0066717B" w:rsidP="0066717B">
      <w:pPr>
        <w:pStyle w:val="Estilo1"/>
        <w:numPr>
          <w:ilvl w:val="0"/>
          <w:numId w:val="0"/>
        </w:numPr>
        <w:ind w:left="1080"/>
      </w:pPr>
    </w:p>
    <w:p w:rsidR="00BE1389" w:rsidRPr="003875F5" w:rsidRDefault="00BE1389" w:rsidP="00E30D9C">
      <w:pPr>
        <w:pStyle w:val="Estilo1"/>
      </w:pPr>
      <w:bookmarkStart w:id="2" w:name="_Toc402472301"/>
      <w:r w:rsidRPr="003875F5">
        <w:t>DEFINITION OF ASSET CATEGORIES AND LISTING CONVE</w:t>
      </w:r>
      <w:r w:rsidR="006A7633" w:rsidRPr="003875F5">
        <w:t>N</w:t>
      </w:r>
      <w:r w:rsidRPr="003875F5">
        <w:t>TIONS</w:t>
      </w:r>
      <w:bookmarkEnd w:id="2"/>
    </w:p>
    <w:p w:rsidR="00BE1389" w:rsidRPr="003875F5" w:rsidRDefault="00BE1389" w:rsidP="00BE1389">
      <w:p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The following definitions</w:t>
      </w:r>
      <w:r w:rsidR="006A7633" w:rsidRPr="003875F5">
        <w:rPr>
          <w:rFonts w:ascii="Times New Roman" w:hAnsi="Times New Roman" w:cs="Times New Roman"/>
          <w:sz w:val="24"/>
          <w:szCs w:val="24"/>
          <w:lang w:val="en-US"/>
        </w:rPr>
        <w:t xml:space="preserve"> and listing conventions</w:t>
      </w:r>
      <w:r w:rsidRPr="003875F5">
        <w:rPr>
          <w:rFonts w:ascii="Times New Roman" w:hAnsi="Times New Roman" w:cs="Times New Roman"/>
          <w:sz w:val="24"/>
          <w:szCs w:val="24"/>
          <w:lang w:val="en-US"/>
        </w:rPr>
        <w:t xml:space="preserve"> are taken directly from the </w:t>
      </w:r>
      <w:r w:rsidRPr="003875F5">
        <w:rPr>
          <w:rFonts w:ascii="Times New Roman" w:hAnsi="Times New Roman" w:cs="Times New Roman"/>
          <w:i/>
          <w:sz w:val="24"/>
          <w:szCs w:val="24"/>
          <w:lang w:val="en-US"/>
        </w:rPr>
        <w:t>Compilation Guide</w:t>
      </w:r>
      <w:r w:rsidRPr="003875F5">
        <w:rPr>
          <w:rFonts w:ascii="Times New Roman" w:hAnsi="Times New Roman" w:cs="Times New Roman"/>
          <w:sz w:val="24"/>
          <w:szCs w:val="24"/>
          <w:lang w:val="en-US"/>
        </w:rPr>
        <w:t xml:space="preserve"> in the AREAER 2011</w:t>
      </w:r>
      <w:r w:rsidRPr="003875F5">
        <w:rPr>
          <w:rStyle w:val="Refdenotaalpie"/>
          <w:rFonts w:ascii="Times New Roman" w:hAnsi="Times New Roman" w:cs="Times New Roman"/>
          <w:sz w:val="24"/>
          <w:szCs w:val="24"/>
          <w:lang w:val="en-US"/>
        </w:rPr>
        <w:footnoteReference w:id="1"/>
      </w:r>
      <w:r w:rsidRPr="003875F5">
        <w:rPr>
          <w:rFonts w:ascii="Times New Roman" w:hAnsi="Times New Roman" w:cs="Times New Roman"/>
          <w:sz w:val="24"/>
          <w:szCs w:val="24"/>
          <w:lang w:val="en-US"/>
        </w:rPr>
        <w:t>:</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Shares or other securities of a participating nature (equity)</w:t>
      </w:r>
    </w:p>
    <w:p w:rsidR="00BE1389" w:rsidRPr="003875F5" w:rsidRDefault="00BE1389" w:rsidP="00BE1389">
      <w:p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Includes transactions involving shares and other securities of a participating nature if they are not </w:t>
      </w:r>
      <w:proofErr w:type="gramStart"/>
      <w:r w:rsidRPr="003875F5">
        <w:rPr>
          <w:rFonts w:ascii="Times New Roman" w:hAnsi="Times New Roman" w:cs="Times New Roman"/>
          <w:sz w:val="24"/>
          <w:szCs w:val="24"/>
          <w:lang w:val="en-US"/>
        </w:rPr>
        <w:t>effected</w:t>
      </w:r>
      <w:proofErr w:type="gramEnd"/>
      <w:r w:rsidRPr="003875F5">
        <w:rPr>
          <w:rFonts w:ascii="Times New Roman" w:hAnsi="Times New Roman" w:cs="Times New Roman"/>
          <w:sz w:val="24"/>
          <w:szCs w:val="24"/>
          <w:lang w:val="en-US"/>
        </w:rPr>
        <w:t xml:space="preserve"> for the purpose of acquiring a lasting economic interest in the management of the enterprise concerned. Investment for the purpose of acquiring a lasting economic interest is addressed under foreign direct investment.</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Bonds or other debt securities</w:t>
      </w:r>
    </w:p>
    <w:p w:rsidR="00BE1389" w:rsidRPr="003875F5" w:rsidRDefault="00BE1389" w:rsidP="00BE1389">
      <w:pPr>
        <w:rPr>
          <w:rFonts w:ascii="Times New Roman" w:hAnsi="Times New Roman" w:cs="Times New Roman"/>
          <w:sz w:val="24"/>
          <w:szCs w:val="24"/>
          <w:lang w:val="en-US"/>
        </w:rPr>
      </w:pPr>
      <w:proofErr w:type="gramStart"/>
      <w:r w:rsidRPr="003875F5">
        <w:rPr>
          <w:rFonts w:ascii="Times New Roman" w:hAnsi="Times New Roman" w:cs="Times New Roman"/>
          <w:sz w:val="24"/>
          <w:szCs w:val="24"/>
          <w:lang w:val="en-US"/>
        </w:rPr>
        <w:t>Refers to bonds and other securities with an original maturity of more than one year.</w:t>
      </w:r>
      <w:proofErr w:type="gramEnd"/>
      <w:r w:rsidRPr="003875F5">
        <w:rPr>
          <w:rFonts w:ascii="Times New Roman" w:hAnsi="Times New Roman" w:cs="Times New Roman"/>
          <w:sz w:val="24"/>
          <w:szCs w:val="24"/>
          <w:lang w:val="en-US"/>
        </w:rPr>
        <w:t xml:space="preserve"> The term “other debt securities” includes notes and debentures.</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Money market instruments</w:t>
      </w:r>
    </w:p>
    <w:p w:rsidR="00BE1389" w:rsidRPr="003875F5" w:rsidRDefault="00BE1389" w:rsidP="00BE1389">
      <w:p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Refers to securities with an original maturity of one year or less and includes short-term instruments, such as certificates of deposit and bills of exchange. The category also includes treasury bills and other short-term government paper, bankers’ acceptances, commercial paper, interbank deposits, and repurchase agreements.</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Collective investment securities</w:t>
      </w:r>
    </w:p>
    <w:p w:rsidR="00BE1389" w:rsidRPr="003875F5" w:rsidRDefault="00BE1389" w:rsidP="00BE1389">
      <w:p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Includes share certificates and registry entries or other evidence of investor interest in an institution for collective investment, such as mutual funds, and unit and investment trusts.</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Derivatives and other instruments</w:t>
      </w:r>
    </w:p>
    <w:p w:rsidR="00BE1389" w:rsidRPr="003875F5" w:rsidRDefault="00BE1389" w:rsidP="00BE1389">
      <w:pPr>
        <w:jc w:val="both"/>
        <w:rPr>
          <w:rFonts w:ascii="Times New Roman" w:hAnsi="Times New Roman" w:cs="Times New Roman"/>
          <w:sz w:val="24"/>
          <w:szCs w:val="24"/>
          <w:lang w:val="en-US"/>
        </w:rPr>
      </w:pPr>
      <w:proofErr w:type="gramStart"/>
      <w:r w:rsidRPr="003875F5">
        <w:rPr>
          <w:rFonts w:ascii="Times New Roman" w:hAnsi="Times New Roman" w:cs="Times New Roman"/>
          <w:sz w:val="24"/>
          <w:szCs w:val="24"/>
          <w:lang w:val="en-US"/>
        </w:rPr>
        <w:t xml:space="preserve">Refers to operations in other negotiable instruments and </w:t>
      </w:r>
      <w:proofErr w:type="spellStart"/>
      <w:r w:rsidRPr="003875F5">
        <w:rPr>
          <w:rFonts w:ascii="Times New Roman" w:hAnsi="Times New Roman" w:cs="Times New Roman"/>
          <w:sz w:val="24"/>
          <w:szCs w:val="24"/>
          <w:lang w:val="en-US"/>
        </w:rPr>
        <w:t>nonsecured</w:t>
      </w:r>
      <w:proofErr w:type="spellEnd"/>
      <w:r w:rsidRPr="003875F5">
        <w:rPr>
          <w:rFonts w:ascii="Times New Roman" w:hAnsi="Times New Roman" w:cs="Times New Roman"/>
          <w:sz w:val="24"/>
          <w:szCs w:val="24"/>
          <w:lang w:val="en-US"/>
        </w:rPr>
        <w:t xml:space="preserve"> claims not covered under the above subsections.</w:t>
      </w:r>
      <w:proofErr w:type="gramEnd"/>
      <w:r w:rsidRPr="003875F5">
        <w:rPr>
          <w:rFonts w:ascii="Times New Roman" w:hAnsi="Times New Roman" w:cs="Times New Roman"/>
          <w:sz w:val="24"/>
          <w:szCs w:val="24"/>
          <w:lang w:val="en-US"/>
        </w:rPr>
        <w:t xml:space="preserve"> These may include operations in rights; warrants; financial options and futures; secondary market operations in other financial claims (including sovereign loans, mortgage loans, commercial credits, negotiable instruments originating as loans, receivables, and discounted bills of trade); forward operations (including those in foreign exchange); swaps of bonds and other debt securities; credits and loans; and other swaps (e.g., interest rate, debt/equity, equity/ debt, foreign currency, and swaps of any of the instruments listed above). Controls on operations in foreign exchange without any other underlying transaction (spot or forward trading on the foreign exchange markets, forward cover operations, etc.) are also included.</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Commercial credits</w:t>
      </w:r>
    </w:p>
    <w:p w:rsidR="00BE1389" w:rsidRPr="003875F5" w:rsidRDefault="00BE1389" w:rsidP="00BE1389">
      <w:p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Covers operations directly linked with international trade transactions or with the rendering of international services.</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Financial credits</w:t>
      </w:r>
    </w:p>
    <w:p w:rsidR="00BE1389" w:rsidRPr="003875F5" w:rsidRDefault="00BE1389" w:rsidP="00BE1389">
      <w:p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Includes credits other than commercial credits granted by all residents, including banks, to nonresidents, or vice versa.</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lastRenderedPageBreak/>
        <w:t>Guarantees, sureties, and financial backup facilities</w:t>
      </w:r>
    </w:p>
    <w:p w:rsidR="00BE1389" w:rsidRPr="003875F5" w:rsidRDefault="00BE1389" w:rsidP="00BE1389">
      <w:pPr>
        <w:jc w:val="both"/>
        <w:rPr>
          <w:rFonts w:ascii="Times New Roman" w:hAnsi="Times New Roman" w:cs="Times New Roman"/>
          <w:sz w:val="24"/>
          <w:szCs w:val="24"/>
          <w:lang w:val="en-US"/>
        </w:rPr>
      </w:pPr>
      <w:proofErr w:type="gramStart"/>
      <w:r w:rsidRPr="003875F5">
        <w:rPr>
          <w:rFonts w:ascii="Times New Roman" w:hAnsi="Times New Roman" w:cs="Times New Roman"/>
          <w:sz w:val="24"/>
          <w:szCs w:val="24"/>
          <w:lang w:val="en-US"/>
        </w:rPr>
        <w:t>Includes guarantees, sureties, and financial backup facilities provided by residents to nonresidents and vice versa.</w:t>
      </w:r>
      <w:proofErr w:type="gramEnd"/>
      <w:r w:rsidRPr="003875F5">
        <w:rPr>
          <w:rFonts w:ascii="Times New Roman" w:hAnsi="Times New Roman" w:cs="Times New Roman"/>
          <w:sz w:val="24"/>
          <w:szCs w:val="24"/>
          <w:lang w:val="en-US"/>
        </w:rPr>
        <w:t xml:space="preserve"> It also includes securities pledged for payment or performance of a contract—such as warrants, performance bonds, and standby letters of credit—and financial backup facilities that are credit facilities used as a guarantee for independent financial operations.</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Direct investment</w:t>
      </w:r>
    </w:p>
    <w:p w:rsidR="00BE1389" w:rsidRPr="003875F5" w:rsidRDefault="00BE1389" w:rsidP="00BE1389">
      <w:pPr>
        <w:jc w:val="both"/>
        <w:rPr>
          <w:rFonts w:ascii="Times New Roman" w:hAnsi="Times New Roman" w:cs="Times New Roman"/>
          <w:sz w:val="24"/>
          <w:szCs w:val="24"/>
          <w:lang w:val="en-US"/>
        </w:rPr>
      </w:pPr>
      <w:proofErr w:type="gramStart"/>
      <w:r w:rsidRPr="003875F5">
        <w:rPr>
          <w:rFonts w:ascii="Times New Roman" w:hAnsi="Times New Roman" w:cs="Times New Roman"/>
          <w:sz w:val="24"/>
          <w:szCs w:val="24"/>
          <w:lang w:val="en-US"/>
        </w:rPr>
        <w:t>Refers to investments for the purpose of establishing lasting economic relations both abroad by residents and domestically by nonresidents.</w:t>
      </w:r>
      <w:proofErr w:type="gramEnd"/>
      <w:r w:rsidRPr="003875F5">
        <w:rPr>
          <w:rFonts w:ascii="Times New Roman" w:hAnsi="Times New Roman" w:cs="Times New Roman"/>
          <w:sz w:val="24"/>
          <w:szCs w:val="24"/>
          <w:lang w:val="en-US"/>
        </w:rPr>
        <w:t xml:space="preserve"> These investments are essentially for the purpose of producing goods and services, and, in particular, in order to allow investor participation in the management of an enterprise. The category includes the creation or extension of a wholly owned enterprise, subsidiary, or branch and the acquisition of full or partial ownership of a new or existing enterprise that results in effective influence over the operations of the enterprise.</w:t>
      </w:r>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Liquidation of direct investment</w:t>
      </w:r>
    </w:p>
    <w:p w:rsidR="00BE1389" w:rsidRPr="003875F5" w:rsidRDefault="00BE1389" w:rsidP="00BE1389">
      <w:pPr>
        <w:jc w:val="both"/>
        <w:rPr>
          <w:rFonts w:ascii="Times New Roman" w:hAnsi="Times New Roman" w:cs="Times New Roman"/>
          <w:sz w:val="24"/>
          <w:szCs w:val="24"/>
          <w:lang w:val="en-US"/>
        </w:rPr>
      </w:pPr>
      <w:proofErr w:type="gramStart"/>
      <w:r w:rsidRPr="003875F5">
        <w:rPr>
          <w:rFonts w:ascii="Times New Roman" w:hAnsi="Times New Roman" w:cs="Times New Roman"/>
          <w:sz w:val="24"/>
          <w:szCs w:val="24"/>
          <w:lang w:val="en-US"/>
        </w:rPr>
        <w:t>Refers to the transfer of principal, including the initial capital and capital gains, of a foreign direct investment as defined above.</w:t>
      </w:r>
      <w:proofErr w:type="gramEnd"/>
    </w:p>
    <w:p w:rsidR="00BE1389" w:rsidRPr="003875F5" w:rsidRDefault="00BE1389" w:rsidP="00BE1389">
      <w:pPr>
        <w:rPr>
          <w:rFonts w:ascii="Times New Roman" w:hAnsi="Times New Roman" w:cs="Times New Roman"/>
          <w:b/>
          <w:sz w:val="24"/>
          <w:szCs w:val="24"/>
          <w:lang w:val="en-US"/>
        </w:rPr>
      </w:pPr>
      <w:r w:rsidRPr="003875F5">
        <w:rPr>
          <w:rFonts w:ascii="Times New Roman" w:hAnsi="Times New Roman" w:cs="Times New Roman"/>
          <w:b/>
          <w:sz w:val="24"/>
          <w:szCs w:val="24"/>
          <w:lang w:val="en-US"/>
        </w:rPr>
        <w:t>Real estate transactions</w:t>
      </w:r>
    </w:p>
    <w:p w:rsidR="00BE1389" w:rsidRPr="003875F5" w:rsidRDefault="00BE1389" w:rsidP="00BE1389">
      <w:pPr>
        <w:jc w:val="both"/>
        <w:rPr>
          <w:rFonts w:ascii="Times New Roman" w:hAnsi="Times New Roman" w:cs="Times New Roman"/>
          <w:sz w:val="24"/>
          <w:szCs w:val="24"/>
          <w:lang w:val="en-US"/>
        </w:rPr>
      </w:pPr>
      <w:proofErr w:type="gramStart"/>
      <w:r w:rsidRPr="003875F5">
        <w:rPr>
          <w:rFonts w:ascii="Times New Roman" w:hAnsi="Times New Roman" w:cs="Times New Roman"/>
          <w:sz w:val="24"/>
          <w:szCs w:val="24"/>
          <w:lang w:val="en-US"/>
        </w:rPr>
        <w:t>Refers to the acquisition of real estate not associated with direct investment, including, for example, investments of a purely financial nature in real estate or the acquisition of real estate for personal use.</w:t>
      </w:r>
      <w:proofErr w:type="gramEnd"/>
    </w:p>
    <w:p w:rsidR="00BE1389" w:rsidRPr="003875F5" w:rsidRDefault="00BE1389" w:rsidP="00BE1389">
      <w:pPr>
        <w:jc w:val="both"/>
        <w:rPr>
          <w:rFonts w:ascii="Times New Roman" w:hAnsi="Times New Roman" w:cs="Times New Roman"/>
          <w:b/>
          <w:sz w:val="24"/>
          <w:szCs w:val="24"/>
          <w:lang w:val="en-US"/>
        </w:rPr>
      </w:pPr>
      <w:r w:rsidRPr="003875F5">
        <w:rPr>
          <w:rFonts w:ascii="Times New Roman" w:hAnsi="Times New Roman" w:cs="Times New Roman"/>
          <w:b/>
          <w:sz w:val="24"/>
          <w:szCs w:val="24"/>
          <w:lang w:val="en-US"/>
        </w:rPr>
        <w:t>LISTING CONVENTIONS</w:t>
      </w:r>
    </w:p>
    <w:p w:rsidR="00BE1389" w:rsidRPr="003875F5" w:rsidRDefault="00BE1389" w:rsidP="00E30D9C">
      <w:pPr>
        <w:pStyle w:val="Prrafodelista"/>
        <w:numPr>
          <w:ilvl w:val="0"/>
          <w:numId w:val="5"/>
        </w:num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When it is unclear whether a particular category or measure exists—because pertinent information is not available at the time of publication—the category is displayed with the notation “</w:t>
      </w:r>
      <w:proofErr w:type="spellStart"/>
      <w:r w:rsidRPr="003875F5">
        <w:rPr>
          <w:rFonts w:ascii="Times New Roman" w:hAnsi="Times New Roman" w:cs="Times New Roman"/>
          <w:sz w:val="24"/>
          <w:szCs w:val="24"/>
          <w:lang w:val="en-US"/>
        </w:rPr>
        <w:t>n.a</w:t>
      </w:r>
      <w:proofErr w:type="spellEnd"/>
      <w:r w:rsidRPr="003875F5">
        <w:rPr>
          <w:rFonts w:ascii="Times New Roman" w:hAnsi="Times New Roman" w:cs="Times New Roman"/>
          <w:sz w:val="24"/>
          <w:szCs w:val="24"/>
          <w:lang w:val="en-US"/>
        </w:rPr>
        <w:t>.”</w:t>
      </w:r>
    </w:p>
    <w:p w:rsidR="00BE1389" w:rsidRPr="003875F5" w:rsidRDefault="00BE1389" w:rsidP="00E30D9C">
      <w:pPr>
        <w:pStyle w:val="Prrafodelista"/>
        <w:numPr>
          <w:ilvl w:val="0"/>
          <w:numId w:val="5"/>
        </w:num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If a measure is known to exist but specific information on it is not available, the category is displayed with the notation “yes.”</w:t>
      </w:r>
    </w:p>
    <w:p w:rsidR="00BE1389" w:rsidRPr="003875F5" w:rsidRDefault="00BE1389" w:rsidP="00E30D9C">
      <w:pPr>
        <w:pStyle w:val="Prrafodelista"/>
        <w:numPr>
          <w:ilvl w:val="0"/>
          <w:numId w:val="5"/>
        </w:num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If no measures exist on any item within a category, the category is displayed with the notation “no.”</w:t>
      </w:r>
    </w:p>
    <w:p w:rsidR="00BE1389" w:rsidRPr="003875F5" w:rsidRDefault="00BE1389" w:rsidP="00E30D9C">
      <w:pPr>
        <w:pStyle w:val="Prrafodelista"/>
        <w:numPr>
          <w:ilvl w:val="0"/>
          <w:numId w:val="5"/>
        </w:num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If members have provided the IMF staff with information indicating that a category or an item is not regulated, these are marked “</w:t>
      </w:r>
      <w:proofErr w:type="spellStart"/>
      <w:r w:rsidRPr="003875F5">
        <w:rPr>
          <w:rFonts w:ascii="Times New Roman" w:hAnsi="Times New Roman" w:cs="Times New Roman"/>
          <w:sz w:val="24"/>
          <w:szCs w:val="24"/>
          <w:lang w:val="en-US"/>
        </w:rPr>
        <w:t>n.r</w:t>
      </w:r>
      <w:proofErr w:type="spellEnd"/>
      <w:r w:rsidRPr="003875F5">
        <w:rPr>
          <w:rFonts w:ascii="Times New Roman" w:hAnsi="Times New Roman" w:cs="Times New Roman"/>
          <w:sz w:val="24"/>
          <w:szCs w:val="24"/>
          <w:lang w:val="en-US"/>
        </w:rPr>
        <w:t>.”</w:t>
      </w:r>
    </w:p>
    <w:p w:rsidR="006A2248" w:rsidRPr="003875F5" w:rsidRDefault="005B40AA" w:rsidP="00B252C6">
      <w:pPr>
        <w:pStyle w:val="Estilo1"/>
      </w:pPr>
      <w:bookmarkStart w:id="3" w:name="_Toc402472302"/>
      <w:r w:rsidRPr="003875F5">
        <w:t xml:space="preserve">GENERAL </w:t>
      </w:r>
      <w:r w:rsidR="006A2248" w:rsidRPr="003875F5">
        <w:t>RULES AND CRITERIA</w:t>
      </w:r>
      <w:bookmarkEnd w:id="3"/>
    </w:p>
    <w:p w:rsidR="00891DC9" w:rsidRPr="003875F5" w:rsidRDefault="005B40AA"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When downloading and saving the information from the IMF´s website, w</w:t>
      </w:r>
      <w:r w:rsidR="00891DC9" w:rsidRPr="003875F5">
        <w:rPr>
          <w:rFonts w:ascii="Times New Roman" w:hAnsi="Times New Roman" w:cs="Times New Roman"/>
          <w:sz w:val="24"/>
          <w:szCs w:val="24"/>
          <w:lang w:val="en-US"/>
        </w:rPr>
        <w:t xml:space="preserve">e name the </w:t>
      </w:r>
      <w:proofErr w:type="spellStart"/>
      <w:r w:rsidR="00891DC9" w:rsidRPr="003875F5">
        <w:rPr>
          <w:rFonts w:ascii="Times New Roman" w:hAnsi="Times New Roman" w:cs="Times New Roman"/>
          <w:sz w:val="24"/>
          <w:szCs w:val="24"/>
          <w:lang w:val="en-US"/>
        </w:rPr>
        <w:t>pdf</w:t>
      </w:r>
      <w:proofErr w:type="spellEnd"/>
      <w:r w:rsidR="00891DC9" w:rsidRPr="003875F5">
        <w:rPr>
          <w:rFonts w:ascii="Times New Roman" w:hAnsi="Times New Roman" w:cs="Times New Roman"/>
          <w:sz w:val="24"/>
          <w:szCs w:val="24"/>
          <w:lang w:val="en-US"/>
        </w:rPr>
        <w:t xml:space="preserve"> as it was downloaded from IMF’s dataset</w:t>
      </w:r>
      <w:r w:rsidRPr="003875F5">
        <w:rPr>
          <w:rFonts w:ascii="Times New Roman" w:hAnsi="Times New Roman" w:cs="Times New Roman"/>
          <w:sz w:val="24"/>
          <w:szCs w:val="24"/>
          <w:lang w:val="en-US"/>
        </w:rPr>
        <w:t xml:space="preserve"> as follows: “</w:t>
      </w:r>
      <w:r w:rsidRPr="003875F5">
        <w:rPr>
          <w:rFonts w:ascii="Times New Roman" w:hAnsi="Times New Roman" w:cs="Times New Roman"/>
          <w:i/>
          <w:sz w:val="24"/>
          <w:szCs w:val="24"/>
          <w:lang w:val="en-US"/>
        </w:rPr>
        <w:t>country_year.pdf</w:t>
      </w:r>
      <w:r w:rsidRPr="003875F5">
        <w:rPr>
          <w:rFonts w:ascii="Times New Roman" w:hAnsi="Times New Roman" w:cs="Times New Roman"/>
          <w:sz w:val="24"/>
          <w:szCs w:val="24"/>
          <w:lang w:val="en-US"/>
        </w:rPr>
        <w:t>”</w:t>
      </w:r>
      <w:r w:rsidR="00891DC9" w:rsidRPr="003875F5">
        <w:rPr>
          <w:rFonts w:ascii="Times New Roman" w:hAnsi="Times New Roman" w:cs="Times New Roman"/>
          <w:sz w:val="24"/>
          <w:szCs w:val="24"/>
          <w:lang w:val="en-US"/>
        </w:rPr>
        <w:t xml:space="preserve">. However, in </w:t>
      </w:r>
      <w:r w:rsidRPr="003875F5">
        <w:rPr>
          <w:rFonts w:ascii="Times New Roman" w:hAnsi="Times New Roman" w:cs="Times New Roman"/>
          <w:sz w:val="24"/>
          <w:szCs w:val="24"/>
          <w:lang w:val="en-US"/>
        </w:rPr>
        <w:t>most</w:t>
      </w:r>
      <w:r w:rsidR="00891DC9" w:rsidRPr="003875F5">
        <w:rPr>
          <w:rFonts w:ascii="Times New Roman" w:hAnsi="Times New Roman" w:cs="Times New Roman"/>
          <w:sz w:val="24"/>
          <w:szCs w:val="24"/>
          <w:lang w:val="en-US"/>
        </w:rPr>
        <w:t xml:space="preserve"> cases </w:t>
      </w:r>
      <w:r w:rsidRPr="003875F5">
        <w:rPr>
          <w:rFonts w:ascii="Times New Roman" w:hAnsi="Times New Roman" w:cs="Times New Roman"/>
          <w:sz w:val="24"/>
          <w:szCs w:val="24"/>
          <w:lang w:val="en-US"/>
        </w:rPr>
        <w:t xml:space="preserve">(but not all) </w:t>
      </w:r>
      <w:r w:rsidR="00891DC9" w:rsidRPr="003875F5">
        <w:rPr>
          <w:rFonts w:ascii="Times New Roman" w:hAnsi="Times New Roman" w:cs="Times New Roman"/>
          <w:sz w:val="24"/>
          <w:szCs w:val="24"/>
          <w:lang w:val="en-US"/>
        </w:rPr>
        <w:t xml:space="preserve">this </w:t>
      </w:r>
      <w:r w:rsidRPr="003875F5">
        <w:rPr>
          <w:rFonts w:ascii="Times New Roman" w:hAnsi="Times New Roman" w:cs="Times New Roman"/>
          <w:sz w:val="24"/>
          <w:szCs w:val="24"/>
          <w:lang w:val="en-US"/>
        </w:rPr>
        <w:t xml:space="preserve">year </w:t>
      </w:r>
      <w:r w:rsidR="00891DC9" w:rsidRPr="003875F5">
        <w:rPr>
          <w:rFonts w:ascii="Times New Roman" w:hAnsi="Times New Roman" w:cs="Times New Roman"/>
          <w:sz w:val="24"/>
          <w:szCs w:val="24"/>
          <w:lang w:val="en-US"/>
        </w:rPr>
        <w:t xml:space="preserve">is one year ahead of the year that the measures in the report are alluding to. </w:t>
      </w:r>
      <w:r w:rsidRPr="003875F5">
        <w:rPr>
          <w:rFonts w:ascii="Times New Roman" w:hAnsi="Times New Roman" w:cs="Times New Roman"/>
          <w:sz w:val="24"/>
          <w:szCs w:val="24"/>
          <w:lang w:val="en-US"/>
        </w:rPr>
        <w:t xml:space="preserve">For example: </w:t>
      </w:r>
      <w:r w:rsidRPr="003875F5">
        <w:rPr>
          <w:rFonts w:ascii="Times New Roman" w:hAnsi="Times New Roman" w:cs="Times New Roman"/>
          <w:i/>
          <w:sz w:val="24"/>
          <w:szCs w:val="24"/>
          <w:lang w:val="en-US"/>
        </w:rPr>
        <w:t>Angola_2006.pdf</w:t>
      </w:r>
      <w:r w:rsidRPr="003875F5">
        <w:rPr>
          <w:rFonts w:ascii="Times New Roman" w:hAnsi="Times New Roman" w:cs="Times New Roman"/>
          <w:sz w:val="24"/>
          <w:szCs w:val="24"/>
          <w:lang w:val="en-US"/>
        </w:rPr>
        <w:t xml:space="preserve"> refers to policy measures taken during 2005. </w:t>
      </w:r>
      <w:r w:rsidR="00891DC9" w:rsidRPr="003875F5">
        <w:rPr>
          <w:rFonts w:ascii="Times New Roman" w:hAnsi="Times New Roman" w:cs="Times New Roman"/>
          <w:sz w:val="24"/>
          <w:szCs w:val="24"/>
          <w:lang w:val="en-US"/>
        </w:rPr>
        <w:t xml:space="preserve">When assessing </w:t>
      </w:r>
      <w:r w:rsidRPr="003875F5">
        <w:rPr>
          <w:rFonts w:ascii="Times New Roman" w:hAnsi="Times New Roman" w:cs="Times New Roman"/>
          <w:sz w:val="24"/>
          <w:szCs w:val="24"/>
          <w:lang w:val="en-US"/>
        </w:rPr>
        <w:t xml:space="preserve">if this is indeed the case for each country </w:t>
      </w:r>
      <w:r w:rsidR="00891DC9" w:rsidRPr="003875F5">
        <w:rPr>
          <w:rFonts w:ascii="Times New Roman" w:hAnsi="Times New Roman" w:cs="Times New Roman"/>
          <w:sz w:val="24"/>
          <w:szCs w:val="24"/>
          <w:lang w:val="en-US"/>
        </w:rPr>
        <w:t xml:space="preserve">we are guided by the information in the first page of the report. </w:t>
      </w:r>
      <w:r w:rsidRPr="003875F5">
        <w:rPr>
          <w:rFonts w:ascii="Times New Roman" w:hAnsi="Times New Roman" w:cs="Times New Roman"/>
          <w:sz w:val="24"/>
          <w:szCs w:val="24"/>
          <w:lang w:val="en-US"/>
        </w:rPr>
        <w:t xml:space="preserve">Form here onwards when we talk about a calendar year we refer to the year to which the measures allude to, not the one in the name of the </w:t>
      </w:r>
      <w:proofErr w:type="spellStart"/>
      <w:r w:rsidRPr="003875F5">
        <w:rPr>
          <w:rFonts w:ascii="Times New Roman" w:hAnsi="Times New Roman" w:cs="Times New Roman"/>
          <w:sz w:val="24"/>
          <w:szCs w:val="24"/>
          <w:lang w:val="en-US"/>
        </w:rPr>
        <w:t>pdf</w:t>
      </w:r>
      <w:proofErr w:type="spellEnd"/>
      <w:r w:rsidRPr="003875F5">
        <w:rPr>
          <w:rFonts w:ascii="Times New Roman" w:hAnsi="Times New Roman" w:cs="Times New Roman"/>
          <w:sz w:val="24"/>
          <w:szCs w:val="24"/>
          <w:lang w:val="en-US"/>
        </w:rPr>
        <w:t>.</w:t>
      </w:r>
    </w:p>
    <w:p w:rsidR="00D3133C" w:rsidRPr="003875F5" w:rsidRDefault="00D3133C"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Remain consistent with the coding used by M. Schindler. </w:t>
      </w:r>
    </w:p>
    <w:p w:rsidR="000404DF" w:rsidRPr="003875F5" w:rsidRDefault="000404DF"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When coding each subcategory we first jointly look at the information in columns two and three of the report</w:t>
      </w:r>
      <w:r w:rsidR="007F0DCB" w:rsidRPr="003875F5">
        <w:rPr>
          <w:rFonts w:ascii="Times New Roman" w:hAnsi="Times New Roman" w:cs="Times New Roman"/>
          <w:sz w:val="24"/>
          <w:szCs w:val="24"/>
          <w:lang w:val="en-US"/>
        </w:rPr>
        <w:t xml:space="preserve"> for the years 1999 onwards (before that year there is only one column)</w:t>
      </w:r>
      <w:r w:rsidRPr="003875F5">
        <w:rPr>
          <w:rFonts w:ascii="Times New Roman" w:hAnsi="Times New Roman" w:cs="Times New Roman"/>
          <w:sz w:val="24"/>
          <w:szCs w:val="24"/>
          <w:lang w:val="en-US"/>
        </w:rPr>
        <w:t xml:space="preserve">. </w:t>
      </w:r>
      <w:r w:rsidR="007F0DCB" w:rsidRPr="003875F5">
        <w:rPr>
          <w:rFonts w:ascii="Times New Roman" w:hAnsi="Times New Roman" w:cs="Times New Roman"/>
          <w:sz w:val="24"/>
          <w:szCs w:val="24"/>
          <w:lang w:val="en-US"/>
        </w:rPr>
        <w:t xml:space="preserve">Column two contains only a YES or NO. Column three includes narrative information. </w:t>
      </w:r>
      <w:r w:rsidRPr="003875F5">
        <w:rPr>
          <w:rFonts w:ascii="Times New Roman" w:hAnsi="Times New Roman" w:cs="Times New Roman"/>
          <w:sz w:val="24"/>
          <w:szCs w:val="24"/>
          <w:lang w:val="en-US"/>
        </w:rPr>
        <w:t>We follow these criteria:</w:t>
      </w:r>
    </w:p>
    <w:p w:rsidR="000404DF" w:rsidRPr="003875F5" w:rsidRDefault="000404DF"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If there is no narrative information in the third column we code on the basis of the information in the second column where we assign a 0 for NO and a 1 for YES. </w:t>
      </w:r>
    </w:p>
    <w:p w:rsidR="000404DF" w:rsidRPr="003875F5" w:rsidRDefault="000404DF"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If there is information in the third column we code based on the narrative information in that column and we disregard the information in the second column. </w:t>
      </w:r>
    </w:p>
    <w:p w:rsidR="000404DF" w:rsidRPr="003875F5" w:rsidRDefault="000404DF"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We do not use the information contained in the headers of each category</w:t>
      </w:r>
      <w:r w:rsidR="007F0DCB" w:rsidRPr="003875F5">
        <w:rPr>
          <w:rFonts w:ascii="Times New Roman" w:hAnsi="Times New Roman" w:cs="Times New Roman"/>
          <w:sz w:val="24"/>
          <w:szCs w:val="24"/>
          <w:lang w:val="en-US"/>
        </w:rPr>
        <w:t xml:space="preserve"> unless explicitly stated in the “Exceptions” (see below)</w:t>
      </w:r>
      <w:r w:rsidRPr="003875F5">
        <w:rPr>
          <w:rFonts w:ascii="Times New Roman" w:hAnsi="Times New Roman" w:cs="Times New Roman"/>
          <w:sz w:val="24"/>
          <w:szCs w:val="24"/>
          <w:lang w:val="en-US"/>
        </w:rPr>
        <w:t>.</w:t>
      </w:r>
    </w:p>
    <w:p w:rsidR="007F0DCB" w:rsidRPr="003875F5" w:rsidRDefault="007F0DCB"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If there is no narrative information </w:t>
      </w:r>
      <w:r w:rsidR="0021467C" w:rsidRPr="003875F5">
        <w:rPr>
          <w:rFonts w:ascii="Times New Roman" w:hAnsi="Times New Roman" w:cs="Times New Roman"/>
          <w:sz w:val="24"/>
          <w:szCs w:val="24"/>
          <w:lang w:val="en-US"/>
        </w:rPr>
        <w:t>in the third column and there is an “</w:t>
      </w:r>
      <w:proofErr w:type="spellStart"/>
      <w:r w:rsidR="0021467C" w:rsidRPr="003875F5">
        <w:rPr>
          <w:rFonts w:ascii="Times New Roman" w:hAnsi="Times New Roman" w:cs="Times New Roman"/>
          <w:sz w:val="24"/>
          <w:szCs w:val="24"/>
          <w:lang w:val="en-US"/>
        </w:rPr>
        <w:t>n.a</w:t>
      </w:r>
      <w:proofErr w:type="spellEnd"/>
      <w:r w:rsidR="0021467C" w:rsidRPr="003875F5">
        <w:rPr>
          <w:rFonts w:ascii="Times New Roman" w:hAnsi="Times New Roman" w:cs="Times New Roman"/>
          <w:sz w:val="24"/>
          <w:szCs w:val="24"/>
          <w:lang w:val="en-US"/>
        </w:rPr>
        <w:t>” or “</w:t>
      </w:r>
      <w:proofErr w:type="spellStart"/>
      <w:r w:rsidR="0021467C" w:rsidRPr="003875F5">
        <w:rPr>
          <w:rFonts w:ascii="Times New Roman" w:hAnsi="Times New Roman" w:cs="Times New Roman"/>
          <w:sz w:val="24"/>
          <w:szCs w:val="24"/>
          <w:lang w:val="en-US"/>
        </w:rPr>
        <w:t>n.r</w:t>
      </w:r>
      <w:proofErr w:type="spellEnd"/>
      <w:r w:rsidR="0021467C" w:rsidRPr="003875F5">
        <w:rPr>
          <w:rFonts w:ascii="Times New Roman" w:hAnsi="Times New Roman" w:cs="Times New Roman"/>
          <w:sz w:val="24"/>
          <w:szCs w:val="24"/>
          <w:lang w:val="en-US"/>
        </w:rPr>
        <w:t xml:space="preserve">” in the second column we report them as that in the dataset. If there is no information whatsoever in either columns (not even </w:t>
      </w:r>
      <w:proofErr w:type="spellStart"/>
      <w:r w:rsidR="0021467C" w:rsidRPr="003875F5">
        <w:rPr>
          <w:rFonts w:ascii="Times New Roman" w:hAnsi="Times New Roman" w:cs="Times New Roman"/>
          <w:sz w:val="24"/>
          <w:szCs w:val="24"/>
          <w:lang w:val="en-US"/>
        </w:rPr>
        <w:t>n.a</w:t>
      </w:r>
      <w:proofErr w:type="spellEnd"/>
      <w:r w:rsidR="0021467C" w:rsidRPr="003875F5">
        <w:rPr>
          <w:rFonts w:ascii="Times New Roman" w:hAnsi="Times New Roman" w:cs="Times New Roman"/>
          <w:sz w:val="24"/>
          <w:szCs w:val="24"/>
          <w:lang w:val="en-US"/>
        </w:rPr>
        <w:t xml:space="preserve"> or </w:t>
      </w:r>
      <w:proofErr w:type="spellStart"/>
      <w:r w:rsidR="0021467C" w:rsidRPr="003875F5">
        <w:rPr>
          <w:rFonts w:ascii="Times New Roman" w:hAnsi="Times New Roman" w:cs="Times New Roman"/>
          <w:sz w:val="24"/>
          <w:szCs w:val="24"/>
          <w:lang w:val="en-US"/>
        </w:rPr>
        <w:t>n.r</w:t>
      </w:r>
      <w:proofErr w:type="spellEnd"/>
      <w:r w:rsidR="0021467C" w:rsidRPr="003875F5">
        <w:rPr>
          <w:rFonts w:ascii="Times New Roman" w:hAnsi="Times New Roman" w:cs="Times New Roman"/>
          <w:sz w:val="24"/>
          <w:szCs w:val="24"/>
          <w:lang w:val="en-US"/>
        </w:rPr>
        <w:t xml:space="preserve">) we report as </w:t>
      </w:r>
      <w:r w:rsidR="00587ACC" w:rsidRPr="003875F5">
        <w:rPr>
          <w:rFonts w:ascii="Times New Roman" w:hAnsi="Times New Roman" w:cs="Times New Roman"/>
          <w:sz w:val="24"/>
          <w:szCs w:val="24"/>
          <w:lang w:val="en-US"/>
        </w:rPr>
        <w:t>“</w:t>
      </w:r>
      <w:proofErr w:type="spellStart"/>
      <w:r w:rsidR="00587ACC" w:rsidRPr="003875F5">
        <w:rPr>
          <w:rFonts w:ascii="Times New Roman" w:hAnsi="Times New Roman" w:cs="Times New Roman"/>
          <w:sz w:val="24"/>
          <w:szCs w:val="24"/>
          <w:lang w:val="en-US"/>
        </w:rPr>
        <w:t>d.n.e</w:t>
      </w:r>
      <w:proofErr w:type="spellEnd"/>
      <w:r w:rsidR="00DA734C" w:rsidRPr="003875F5">
        <w:rPr>
          <w:rFonts w:ascii="Times New Roman" w:hAnsi="Times New Roman" w:cs="Times New Roman"/>
          <w:sz w:val="24"/>
          <w:szCs w:val="24"/>
          <w:lang w:val="en-US"/>
        </w:rPr>
        <w:t>” (does not exist</w:t>
      </w:r>
      <w:r w:rsidR="00D56B6C" w:rsidRPr="003875F5">
        <w:rPr>
          <w:rFonts w:ascii="Times New Roman" w:hAnsi="Times New Roman" w:cs="Times New Roman"/>
          <w:sz w:val="24"/>
          <w:szCs w:val="24"/>
          <w:lang w:val="en-US"/>
        </w:rPr>
        <w:t>).</w:t>
      </w:r>
    </w:p>
    <w:p w:rsidR="000404DF" w:rsidRPr="003875F5" w:rsidRDefault="006A04FE"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When coding equity, bonds, money markets, and collective investment we use the exact same categorization as in the AREAER reports which further subcategorizes these into inflows (</w:t>
      </w:r>
      <w:proofErr w:type="spellStart"/>
      <w:r w:rsidRPr="003875F5">
        <w:rPr>
          <w:rFonts w:ascii="Times New Roman" w:hAnsi="Times New Roman" w:cs="Times New Roman"/>
          <w:sz w:val="24"/>
          <w:szCs w:val="24"/>
          <w:lang w:val="en-US"/>
        </w:rPr>
        <w:t>plbn</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siar</w:t>
      </w:r>
      <w:proofErr w:type="spellEnd"/>
      <w:r w:rsidRPr="003875F5">
        <w:rPr>
          <w:rFonts w:ascii="Times New Roman" w:hAnsi="Times New Roman" w:cs="Times New Roman"/>
          <w:sz w:val="24"/>
          <w:szCs w:val="24"/>
          <w:lang w:val="en-US"/>
        </w:rPr>
        <w:t>) and outflows (</w:t>
      </w:r>
      <w:proofErr w:type="spellStart"/>
      <w:r w:rsidRPr="003875F5">
        <w:rPr>
          <w:rFonts w:ascii="Times New Roman" w:hAnsi="Times New Roman" w:cs="Times New Roman"/>
          <w:sz w:val="24"/>
          <w:szCs w:val="24"/>
          <w:lang w:val="en-US"/>
        </w:rPr>
        <w:t>siln</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pabr</w:t>
      </w:r>
      <w:proofErr w:type="spellEnd"/>
      <w:r w:rsidRPr="003875F5">
        <w:rPr>
          <w:rFonts w:ascii="Times New Roman" w:hAnsi="Times New Roman" w:cs="Times New Roman"/>
          <w:sz w:val="24"/>
          <w:szCs w:val="24"/>
          <w:lang w:val="en-US"/>
        </w:rPr>
        <w:t xml:space="preserve">). When it comes to financial credit we use the subcategory </w:t>
      </w:r>
      <w:r w:rsidRPr="003875F5">
        <w:rPr>
          <w:rFonts w:ascii="Times New Roman" w:hAnsi="Times New Roman" w:cs="Times New Roman"/>
          <w:i/>
          <w:sz w:val="24"/>
          <w:szCs w:val="24"/>
          <w:lang w:val="en-US"/>
        </w:rPr>
        <w:t>To Residents from Nonresidents</w:t>
      </w:r>
      <w:r w:rsidRPr="003875F5">
        <w:rPr>
          <w:rFonts w:ascii="Times New Roman" w:hAnsi="Times New Roman" w:cs="Times New Roman"/>
          <w:sz w:val="24"/>
          <w:szCs w:val="24"/>
          <w:lang w:val="en-US"/>
        </w:rPr>
        <w:t xml:space="preserve"> as inflows and </w:t>
      </w:r>
      <w:r w:rsidRPr="003875F5">
        <w:rPr>
          <w:rFonts w:ascii="Times New Roman" w:hAnsi="Times New Roman" w:cs="Times New Roman"/>
          <w:i/>
          <w:sz w:val="24"/>
          <w:szCs w:val="24"/>
          <w:lang w:val="en-US"/>
        </w:rPr>
        <w:t xml:space="preserve">By Residents to Nonresidents </w:t>
      </w:r>
      <w:r w:rsidR="007F0DCB" w:rsidRPr="003875F5">
        <w:rPr>
          <w:rFonts w:ascii="Times New Roman" w:hAnsi="Times New Roman" w:cs="Times New Roman"/>
          <w:sz w:val="24"/>
          <w:szCs w:val="24"/>
          <w:lang w:val="en-US"/>
        </w:rPr>
        <w:t xml:space="preserve">as outflows. Following </w:t>
      </w:r>
      <w:r w:rsidRPr="003875F5">
        <w:rPr>
          <w:rFonts w:ascii="Times New Roman" w:hAnsi="Times New Roman" w:cs="Times New Roman"/>
          <w:sz w:val="24"/>
          <w:szCs w:val="24"/>
          <w:lang w:val="en-US"/>
        </w:rPr>
        <w:t>Schindler</w:t>
      </w:r>
      <w:r w:rsidR="007F0DCB" w:rsidRPr="003875F5">
        <w:rPr>
          <w:rFonts w:ascii="Times New Roman" w:hAnsi="Times New Roman" w:cs="Times New Roman"/>
          <w:sz w:val="24"/>
          <w:szCs w:val="24"/>
          <w:lang w:val="en-US"/>
        </w:rPr>
        <w:t xml:space="preserve"> (2009)</w:t>
      </w:r>
      <w:r w:rsidR="00114921"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we do not incorporate inf</w:t>
      </w:r>
      <w:r w:rsidR="00114921" w:rsidRPr="003875F5">
        <w:rPr>
          <w:rFonts w:ascii="Times New Roman" w:hAnsi="Times New Roman" w:cs="Times New Roman"/>
          <w:sz w:val="24"/>
          <w:szCs w:val="24"/>
          <w:lang w:val="en-US"/>
        </w:rPr>
        <w:t xml:space="preserve">ormation on: </w:t>
      </w:r>
      <w:r w:rsidRPr="003875F5">
        <w:rPr>
          <w:rFonts w:ascii="Times New Roman" w:hAnsi="Times New Roman" w:cs="Times New Roman"/>
          <w:i/>
          <w:sz w:val="24"/>
          <w:szCs w:val="24"/>
          <w:lang w:val="en-US"/>
        </w:rPr>
        <w:t>Controls on Derivatives and other Instruments, Controls on Commercial Credit Operations, G</w:t>
      </w:r>
      <w:r w:rsidR="00114921" w:rsidRPr="003875F5">
        <w:rPr>
          <w:rFonts w:ascii="Times New Roman" w:hAnsi="Times New Roman" w:cs="Times New Roman"/>
          <w:i/>
          <w:sz w:val="24"/>
          <w:szCs w:val="24"/>
          <w:lang w:val="en-US"/>
        </w:rPr>
        <w:t xml:space="preserve">uarantees Sureties and Financial Backup Facilities, Controls on Real Estate Transactions </w:t>
      </w:r>
      <w:r w:rsidR="00114921" w:rsidRPr="003875F5">
        <w:rPr>
          <w:rFonts w:ascii="Times New Roman" w:hAnsi="Times New Roman" w:cs="Times New Roman"/>
          <w:sz w:val="24"/>
          <w:szCs w:val="24"/>
          <w:lang w:val="en-US"/>
        </w:rPr>
        <w:t>nor</w:t>
      </w:r>
      <w:r w:rsidR="00114921" w:rsidRPr="003875F5">
        <w:rPr>
          <w:rFonts w:ascii="Times New Roman" w:hAnsi="Times New Roman" w:cs="Times New Roman"/>
          <w:i/>
          <w:sz w:val="24"/>
          <w:szCs w:val="24"/>
          <w:lang w:val="en-US"/>
        </w:rPr>
        <w:t xml:space="preserve"> Controls on Personal Capital Transactions</w:t>
      </w:r>
      <w:r w:rsidRPr="003875F5">
        <w:rPr>
          <w:rFonts w:ascii="Times New Roman" w:hAnsi="Times New Roman" w:cs="Times New Roman"/>
          <w:i/>
          <w:sz w:val="24"/>
          <w:szCs w:val="24"/>
          <w:lang w:val="en-US"/>
        </w:rPr>
        <w:t>.</w:t>
      </w:r>
    </w:p>
    <w:p w:rsidR="00D56B6C" w:rsidRPr="003875F5" w:rsidRDefault="00376860"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When in the third column there is an explicit requirement for </w:t>
      </w:r>
      <w:r w:rsidR="00D56B6C" w:rsidRPr="003875F5">
        <w:rPr>
          <w:rFonts w:ascii="Times New Roman" w:hAnsi="Times New Roman" w:cs="Times New Roman"/>
          <w:sz w:val="24"/>
          <w:szCs w:val="24"/>
          <w:lang w:val="en-US"/>
        </w:rPr>
        <w:t>“</w:t>
      </w:r>
      <w:r w:rsidRPr="003875F5">
        <w:rPr>
          <w:rFonts w:ascii="Times New Roman" w:hAnsi="Times New Roman" w:cs="Times New Roman"/>
          <w:i/>
          <w:sz w:val="24"/>
          <w:szCs w:val="24"/>
          <w:lang w:val="en-US"/>
        </w:rPr>
        <w:t>authorization</w:t>
      </w:r>
      <w:r w:rsidR="00D56B6C" w:rsidRPr="003875F5">
        <w:rPr>
          <w:rFonts w:ascii="Times New Roman" w:hAnsi="Times New Roman" w:cs="Times New Roman"/>
          <w:sz w:val="24"/>
          <w:szCs w:val="24"/>
          <w:lang w:val="en-US"/>
        </w:rPr>
        <w:t>”, for “</w:t>
      </w:r>
      <w:r w:rsidR="00D56B6C" w:rsidRPr="003875F5">
        <w:rPr>
          <w:rFonts w:ascii="Times New Roman" w:hAnsi="Times New Roman" w:cs="Times New Roman"/>
          <w:i/>
          <w:sz w:val="24"/>
          <w:szCs w:val="24"/>
          <w:lang w:val="en-US"/>
        </w:rPr>
        <w:t>approval</w:t>
      </w:r>
      <w:r w:rsidR="00D56B6C" w:rsidRPr="003875F5">
        <w:rPr>
          <w:rFonts w:ascii="Times New Roman" w:hAnsi="Times New Roman" w:cs="Times New Roman"/>
          <w:sz w:val="24"/>
          <w:szCs w:val="24"/>
          <w:lang w:val="en-US"/>
        </w:rPr>
        <w:t>”,</w:t>
      </w:r>
      <w:r w:rsidR="00FB62C5" w:rsidRPr="003875F5">
        <w:rPr>
          <w:rFonts w:ascii="Times New Roman" w:hAnsi="Times New Roman" w:cs="Times New Roman"/>
          <w:sz w:val="24"/>
          <w:szCs w:val="24"/>
          <w:lang w:val="en-US"/>
        </w:rPr>
        <w:t xml:space="preserve"> for “</w:t>
      </w:r>
      <w:r w:rsidR="00FB62C5" w:rsidRPr="003875F5">
        <w:rPr>
          <w:rFonts w:ascii="Times New Roman" w:hAnsi="Times New Roman" w:cs="Times New Roman"/>
          <w:i/>
          <w:sz w:val="24"/>
          <w:szCs w:val="24"/>
          <w:lang w:val="en-US"/>
        </w:rPr>
        <w:t>permission</w:t>
      </w:r>
      <w:r w:rsidR="00FB62C5"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or </w:t>
      </w:r>
      <w:r w:rsidR="00D56B6C" w:rsidRPr="003875F5">
        <w:rPr>
          <w:rFonts w:ascii="Times New Roman" w:hAnsi="Times New Roman" w:cs="Times New Roman"/>
          <w:sz w:val="24"/>
          <w:szCs w:val="24"/>
          <w:lang w:val="en-US"/>
        </w:rPr>
        <w:t>“</w:t>
      </w:r>
      <w:r w:rsidRPr="003875F5">
        <w:rPr>
          <w:rFonts w:ascii="Times New Roman" w:hAnsi="Times New Roman" w:cs="Times New Roman"/>
          <w:i/>
          <w:sz w:val="24"/>
          <w:szCs w:val="24"/>
          <w:lang w:val="en-US"/>
        </w:rPr>
        <w:t>clearance</w:t>
      </w:r>
      <w:r w:rsidR="00D56B6C"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from a public institution</w:t>
      </w:r>
      <w:r w:rsidR="00D56B6C"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then it is automatically coded as a control (i.e. a 1)</w:t>
      </w:r>
      <w:r w:rsidR="00D56B6C" w:rsidRPr="003875F5">
        <w:rPr>
          <w:rFonts w:ascii="Times New Roman" w:hAnsi="Times New Roman" w:cs="Times New Roman"/>
          <w:sz w:val="24"/>
          <w:szCs w:val="24"/>
          <w:lang w:val="en-US"/>
        </w:rPr>
        <w:t xml:space="preserve">. </w:t>
      </w:r>
    </w:p>
    <w:p w:rsidR="000404DF" w:rsidRPr="003875F5" w:rsidRDefault="00D56B6C"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We consider quantity restrictions on any investment (e.g. “</w:t>
      </w:r>
      <w:r w:rsidRPr="003875F5">
        <w:rPr>
          <w:rFonts w:ascii="Times New Roman" w:hAnsi="Times New Roman" w:cs="Times New Roman"/>
          <w:i/>
          <w:sz w:val="24"/>
          <w:szCs w:val="24"/>
          <w:lang w:val="en-US"/>
        </w:rPr>
        <w:t>ceiling</w:t>
      </w:r>
      <w:r w:rsidRPr="003875F5">
        <w:rPr>
          <w:rFonts w:ascii="Times New Roman" w:hAnsi="Times New Roman" w:cs="Times New Roman"/>
          <w:sz w:val="24"/>
          <w:szCs w:val="24"/>
          <w:lang w:val="en-US"/>
        </w:rPr>
        <w:t>”) as a control.</w:t>
      </w:r>
    </w:p>
    <w:p w:rsidR="00376860" w:rsidRPr="003875F5" w:rsidRDefault="00376860"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When the information on controls in the third column alludes ONLY to sectors we use the following rule: </w:t>
      </w:r>
    </w:p>
    <w:p w:rsidR="00376860" w:rsidRPr="003875F5" w:rsidRDefault="00114921"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w:t>
      </w:r>
      <w:r w:rsidR="00376860" w:rsidRPr="003875F5">
        <w:rPr>
          <w:rFonts w:ascii="Times New Roman" w:hAnsi="Times New Roman" w:cs="Times New Roman"/>
          <w:sz w:val="24"/>
          <w:szCs w:val="24"/>
          <w:lang w:val="en-US"/>
        </w:rPr>
        <w:t>f it pertains only to one sector and/or it alludes to areas reserved for state control (such as defense, security, central banking, etc.) it is not categorized as a control.</w:t>
      </w:r>
      <w:r w:rsidR="00E3267B" w:rsidRPr="003875F5">
        <w:rPr>
          <w:rFonts w:ascii="Times New Roman" w:hAnsi="Times New Roman" w:cs="Times New Roman"/>
          <w:sz w:val="24"/>
          <w:szCs w:val="24"/>
          <w:lang w:val="en-US"/>
        </w:rPr>
        <w:t xml:space="preserve"> If, on the other hand, it does not specify </w:t>
      </w:r>
      <w:r w:rsidR="00E3267B" w:rsidRPr="003875F5">
        <w:rPr>
          <w:rFonts w:ascii="Times New Roman" w:hAnsi="Times New Roman" w:cs="Times New Roman"/>
          <w:sz w:val="24"/>
          <w:szCs w:val="24"/>
          <w:lang w:val="en-US"/>
        </w:rPr>
        <w:lastRenderedPageBreak/>
        <w:t>which areas other than defense and or central banking are reserved for state then it is categorized as control</w:t>
      </w:r>
    </w:p>
    <w:p w:rsidR="00376860" w:rsidRPr="003875F5" w:rsidRDefault="00376860"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If it alludes to more than one sector where private entrepreneurship is common then it is categorized as a control</w:t>
      </w:r>
      <w:r w:rsidR="007531B7" w:rsidRPr="003875F5">
        <w:rPr>
          <w:rFonts w:ascii="Times New Roman" w:hAnsi="Times New Roman" w:cs="Times New Roman"/>
          <w:sz w:val="24"/>
          <w:szCs w:val="24"/>
          <w:lang w:val="en-US"/>
        </w:rPr>
        <w:t xml:space="preserve"> to the extent that the sectors have a macroeconomic impact</w:t>
      </w:r>
      <w:r w:rsidRPr="003875F5">
        <w:rPr>
          <w:rFonts w:ascii="Times New Roman" w:hAnsi="Times New Roman" w:cs="Times New Roman"/>
          <w:sz w:val="24"/>
          <w:szCs w:val="24"/>
          <w:lang w:val="en-US"/>
        </w:rPr>
        <w:t>.</w:t>
      </w:r>
    </w:p>
    <w:p w:rsidR="00376860" w:rsidRPr="003875F5" w:rsidRDefault="007B5B1D"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We do not explicitly nor mechanically incorporate the information on the Section </w:t>
      </w:r>
      <w:r w:rsidR="007531B7"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Changes</w:t>
      </w:r>
      <w:r w:rsidR="007531B7"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at the end of the </w:t>
      </w:r>
      <w:r w:rsidR="007531B7" w:rsidRPr="003875F5">
        <w:rPr>
          <w:rFonts w:ascii="Times New Roman" w:hAnsi="Times New Roman" w:cs="Times New Roman"/>
          <w:sz w:val="24"/>
          <w:szCs w:val="24"/>
          <w:lang w:val="en-US"/>
        </w:rPr>
        <w:t xml:space="preserve">AREAER </w:t>
      </w:r>
      <w:r w:rsidRPr="003875F5">
        <w:rPr>
          <w:rFonts w:ascii="Times New Roman" w:hAnsi="Times New Roman" w:cs="Times New Roman"/>
          <w:sz w:val="24"/>
          <w:szCs w:val="24"/>
          <w:lang w:val="en-US"/>
        </w:rPr>
        <w:t>reports.</w:t>
      </w:r>
    </w:p>
    <w:p w:rsidR="00217576" w:rsidRPr="003875F5" w:rsidRDefault="006F292A"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When dealing with direct investment controls, if there is an allusion to </w:t>
      </w:r>
      <w:r w:rsidR="00D56B6C" w:rsidRPr="003875F5">
        <w:rPr>
          <w:rFonts w:ascii="Times New Roman" w:hAnsi="Times New Roman" w:cs="Times New Roman"/>
          <w:sz w:val="24"/>
          <w:szCs w:val="24"/>
          <w:lang w:val="en-US"/>
        </w:rPr>
        <w:t>“</w:t>
      </w:r>
      <w:r w:rsidRPr="003875F5">
        <w:rPr>
          <w:rFonts w:ascii="Times New Roman" w:hAnsi="Times New Roman" w:cs="Times New Roman"/>
          <w:i/>
          <w:sz w:val="24"/>
          <w:szCs w:val="24"/>
          <w:lang w:val="en-US"/>
        </w:rPr>
        <w:t>laws that regulate investment</w:t>
      </w:r>
      <w:r w:rsidR="00D56B6C"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in </w:t>
      </w:r>
      <w:r w:rsidR="00EC1AE6" w:rsidRPr="003875F5">
        <w:rPr>
          <w:rFonts w:ascii="Times New Roman" w:hAnsi="Times New Roman" w:cs="Times New Roman"/>
          <w:sz w:val="24"/>
          <w:szCs w:val="24"/>
          <w:lang w:val="en-US"/>
        </w:rPr>
        <w:t>specific</w:t>
      </w:r>
      <w:r w:rsidRPr="003875F5">
        <w:rPr>
          <w:rFonts w:ascii="Times New Roman" w:hAnsi="Times New Roman" w:cs="Times New Roman"/>
          <w:sz w:val="24"/>
          <w:szCs w:val="24"/>
          <w:lang w:val="en-US"/>
        </w:rPr>
        <w:t xml:space="preserve"> areas then we categorize it as a control.</w:t>
      </w:r>
    </w:p>
    <w:p w:rsidR="00217576" w:rsidRPr="003875F5" w:rsidRDefault="003D735B"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We disregard the fact that</w:t>
      </w:r>
      <w:r w:rsidR="00217576" w:rsidRPr="003875F5">
        <w:rPr>
          <w:rFonts w:ascii="Times New Roman" w:hAnsi="Times New Roman" w:cs="Times New Roman"/>
          <w:sz w:val="24"/>
          <w:szCs w:val="24"/>
          <w:lang w:val="en-US"/>
        </w:rPr>
        <w:t xml:space="preserve"> a given restriction</w:t>
      </w:r>
      <w:r w:rsidRPr="003875F5">
        <w:rPr>
          <w:rFonts w:ascii="Times New Roman" w:hAnsi="Times New Roman" w:cs="Times New Roman"/>
          <w:sz w:val="24"/>
          <w:szCs w:val="24"/>
          <w:lang w:val="en-US"/>
        </w:rPr>
        <w:t xml:space="preserve"> may</w:t>
      </w:r>
      <w:r w:rsidR="00217576"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apply</w:t>
      </w:r>
      <w:r w:rsidR="00217576" w:rsidRPr="003875F5">
        <w:rPr>
          <w:rFonts w:ascii="Times New Roman" w:hAnsi="Times New Roman" w:cs="Times New Roman"/>
          <w:sz w:val="24"/>
          <w:szCs w:val="24"/>
          <w:lang w:val="en-US"/>
        </w:rPr>
        <w:t xml:space="preserve"> equally to residents and nonresidents.</w:t>
      </w:r>
    </w:p>
    <w:p w:rsidR="00EA17B3" w:rsidRPr="003875F5" w:rsidRDefault="00EA17B3"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Requirements</w:t>
      </w:r>
      <w:r w:rsidR="001145D6"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of repatriation of the income from a sale in foreign markets are deemed to be a control.</w:t>
      </w:r>
    </w:p>
    <w:p w:rsidR="00EA17B3" w:rsidRPr="003875F5" w:rsidRDefault="00EA17B3"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We </w:t>
      </w:r>
      <w:r w:rsidR="007531B7" w:rsidRPr="003875F5">
        <w:rPr>
          <w:rFonts w:ascii="Times New Roman" w:hAnsi="Times New Roman" w:cs="Times New Roman"/>
          <w:sz w:val="24"/>
          <w:szCs w:val="24"/>
          <w:lang w:val="en-US"/>
        </w:rPr>
        <w:t>code as controls</w:t>
      </w:r>
      <w:r w:rsidRPr="003875F5">
        <w:rPr>
          <w:rFonts w:ascii="Times New Roman" w:hAnsi="Times New Roman" w:cs="Times New Roman"/>
          <w:sz w:val="24"/>
          <w:szCs w:val="24"/>
          <w:lang w:val="en-US"/>
        </w:rPr>
        <w:t xml:space="preserve"> even when </w:t>
      </w:r>
      <w:r w:rsidR="007531B7" w:rsidRPr="003875F5">
        <w:rPr>
          <w:rFonts w:ascii="Times New Roman" w:hAnsi="Times New Roman" w:cs="Times New Roman"/>
          <w:sz w:val="24"/>
          <w:szCs w:val="24"/>
          <w:lang w:val="en-US"/>
        </w:rPr>
        <w:t>there is an allusion to “</w:t>
      </w:r>
      <w:r w:rsidRPr="003875F5">
        <w:rPr>
          <w:rFonts w:ascii="Times New Roman" w:hAnsi="Times New Roman" w:cs="Times New Roman"/>
          <w:i/>
          <w:sz w:val="24"/>
          <w:szCs w:val="24"/>
          <w:lang w:val="en-US"/>
        </w:rPr>
        <w:t>only the primary or secondary market</w:t>
      </w:r>
      <w:r w:rsidR="001145D6" w:rsidRPr="003875F5">
        <w:rPr>
          <w:rFonts w:ascii="Times New Roman" w:hAnsi="Times New Roman" w:cs="Times New Roman"/>
          <w:i/>
          <w:sz w:val="24"/>
          <w:szCs w:val="24"/>
          <w:lang w:val="en-US"/>
        </w:rPr>
        <w:t>s</w:t>
      </w:r>
      <w:r w:rsidR="007531B7"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w:t>
      </w:r>
      <w:r w:rsidR="007531B7" w:rsidRPr="003875F5">
        <w:rPr>
          <w:rFonts w:ascii="Times New Roman" w:hAnsi="Times New Roman" w:cs="Times New Roman"/>
          <w:sz w:val="24"/>
          <w:szCs w:val="24"/>
          <w:lang w:val="en-US"/>
        </w:rPr>
        <w:t>being</w:t>
      </w:r>
      <w:r w:rsidRPr="003875F5">
        <w:rPr>
          <w:rFonts w:ascii="Times New Roman" w:hAnsi="Times New Roman" w:cs="Times New Roman"/>
          <w:sz w:val="24"/>
          <w:szCs w:val="24"/>
          <w:lang w:val="en-US"/>
        </w:rPr>
        <w:t xml:space="preserve"> restricted.</w:t>
      </w:r>
      <w:r w:rsidR="00B572DB" w:rsidRPr="003875F5">
        <w:rPr>
          <w:rFonts w:ascii="Times New Roman" w:hAnsi="Times New Roman" w:cs="Times New Roman"/>
          <w:sz w:val="24"/>
          <w:szCs w:val="24"/>
          <w:lang w:val="en-US"/>
        </w:rPr>
        <w:t xml:space="preserve"> The same is true whenever controls are made only in national markets.</w:t>
      </w:r>
    </w:p>
    <w:p w:rsidR="007531B7" w:rsidRPr="003875F5" w:rsidRDefault="007531B7"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investments other than </w:t>
      </w:r>
      <w:r w:rsidR="006E28CD" w:rsidRPr="003875F5">
        <w:rPr>
          <w:rFonts w:ascii="Times New Roman" w:hAnsi="Times New Roman" w:cs="Times New Roman"/>
          <w:sz w:val="24"/>
          <w:szCs w:val="24"/>
          <w:lang w:val="en-US"/>
        </w:rPr>
        <w:t>D</w:t>
      </w:r>
      <w:r w:rsidRPr="003875F5">
        <w:rPr>
          <w:rFonts w:ascii="Times New Roman" w:hAnsi="Times New Roman" w:cs="Times New Roman"/>
          <w:sz w:val="24"/>
          <w:szCs w:val="24"/>
          <w:lang w:val="en-US"/>
        </w:rPr>
        <w:t xml:space="preserve">irect </w:t>
      </w:r>
      <w:r w:rsidR="006E28CD" w:rsidRPr="003875F5">
        <w:rPr>
          <w:rFonts w:ascii="Times New Roman" w:hAnsi="Times New Roman" w:cs="Times New Roman"/>
          <w:sz w:val="24"/>
          <w:szCs w:val="24"/>
          <w:lang w:val="en-US"/>
        </w:rPr>
        <w:t>I</w:t>
      </w:r>
      <w:r w:rsidRPr="003875F5">
        <w:rPr>
          <w:rFonts w:ascii="Times New Roman" w:hAnsi="Times New Roman" w:cs="Times New Roman"/>
          <w:sz w:val="24"/>
          <w:szCs w:val="24"/>
          <w:lang w:val="en-US"/>
        </w:rPr>
        <w:t>nvestment, we do not code as a</w:t>
      </w:r>
      <w:r w:rsidR="006E28CD" w:rsidRPr="003875F5">
        <w:rPr>
          <w:rFonts w:ascii="Times New Roman" w:hAnsi="Times New Roman" w:cs="Times New Roman"/>
          <w:sz w:val="24"/>
          <w:szCs w:val="24"/>
          <w:lang w:val="en-US"/>
        </w:rPr>
        <w:t xml:space="preserve"> c</w:t>
      </w:r>
      <w:r w:rsidR="00014EC4" w:rsidRPr="003875F5">
        <w:rPr>
          <w:rFonts w:ascii="Times New Roman" w:hAnsi="Times New Roman" w:cs="Times New Roman"/>
          <w:sz w:val="24"/>
          <w:szCs w:val="24"/>
          <w:lang w:val="en-US"/>
        </w:rPr>
        <w:t xml:space="preserve">ontrol allusions </w:t>
      </w:r>
      <w:r w:rsidRPr="003875F5">
        <w:rPr>
          <w:rFonts w:ascii="Times New Roman" w:hAnsi="Times New Roman" w:cs="Times New Roman"/>
          <w:sz w:val="24"/>
          <w:szCs w:val="24"/>
          <w:lang w:val="en-US"/>
        </w:rPr>
        <w:t xml:space="preserve">to DI regulations. </w:t>
      </w:r>
      <w:r w:rsidR="007D5C03" w:rsidRPr="003875F5">
        <w:rPr>
          <w:rFonts w:ascii="Times New Roman" w:hAnsi="Times New Roman" w:cs="Times New Roman"/>
          <w:sz w:val="24"/>
          <w:szCs w:val="24"/>
          <w:lang w:val="en-US"/>
        </w:rPr>
        <w:t>To be concrete</w:t>
      </w:r>
      <w:r w:rsidRPr="003875F5">
        <w:rPr>
          <w:rFonts w:ascii="Times New Roman" w:hAnsi="Times New Roman" w:cs="Times New Roman"/>
          <w:sz w:val="24"/>
          <w:szCs w:val="24"/>
          <w:lang w:val="en-US"/>
        </w:rPr>
        <w:t xml:space="preserve">, if </w:t>
      </w:r>
      <w:r w:rsidR="007D5C03" w:rsidRPr="003875F5">
        <w:rPr>
          <w:rFonts w:ascii="Times New Roman" w:hAnsi="Times New Roman" w:cs="Times New Roman"/>
          <w:sz w:val="24"/>
          <w:szCs w:val="24"/>
          <w:lang w:val="en-US"/>
        </w:rPr>
        <w:t>the third column alludes to restrictions that apply to equity, bonds, money market, collective investment, or financial credit that are associated to Laws or Regulations that are associated to Direct Investment we do not code this as controls on any of these 5 categories.</w:t>
      </w:r>
      <w:r w:rsidR="00382F3B" w:rsidRPr="003875F5">
        <w:rPr>
          <w:rFonts w:ascii="Times New Roman" w:hAnsi="Times New Roman" w:cs="Times New Roman"/>
          <w:sz w:val="24"/>
          <w:szCs w:val="24"/>
          <w:lang w:val="en-US"/>
        </w:rPr>
        <w:t xml:space="preserve"> The AREAER d</w:t>
      </w:r>
      <w:r w:rsidR="007233C7" w:rsidRPr="003875F5">
        <w:rPr>
          <w:rFonts w:ascii="Times New Roman" w:hAnsi="Times New Roman" w:cs="Times New Roman"/>
          <w:sz w:val="24"/>
          <w:szCs w:val="24"/>
          <w:lang w:val="en-US"/>
        </w:rPr>
        <w:t>ifferences what is recorded in</w:t>
      </w:r>
      <w:r w:rsidR="00382F3B" w:rsidRPr="003875F5">
        <w:rPr>
          <w:rFonts w:ascii="Times New Roman" w:hAnsi="Times New Roman" w:cs="Times New Roman"/>
          <w:sz w:val="24"/>
          <w:szCs w:val="24"/>
          <w:lang w:val="en-US"/>
        </w:rPr>
        <w:t xml:space="preserve"> equity</w:t>
      </w:r>
      <w:r w:rsidR="007233C7" w:rsidRPr="003875F5">
        <w:rPr>
          <w:rFonts w:ascii="Times New Roman" w:hAnsi="Times New Roman" w:cs="Times New Roman"/>
          <w:sz w:val="24"/>
          <w:szCs w:val="24"/>
          <w:lang w:val="en-US"/>
        </w:rPr>
        <w:t xml:space="preserve"> from the FDI section</w:t>
      </w:r>
      <w:r w:rsidR="00382F3B" w:rsidRPr="003875F5">
        <w:rPr>
          <w:rFonts w:ascii="Times New Roman" w:hAnsi="Times New Roman" w:cs="Times New Roman"/>
          <w:sz w:val="24"/>
          <w:szCs w:val="24"/>
          <w:lang w:val="en-US"/>
        </w:rPr>
        <w:t>: “</w:t>
      </w:r>
      <w:r w:rsidR="00382F3B" w:rsidRPr="003875F5">
        <w:rPr>
          <w:rFonts w:ascii="Times New Roman" w:hAnsi="Times New Roman" w:cs="Times New Roman"/>
          <w:i/>
          <w:sz w:val="24"/>
          <w:szCs w:val="24"/>
          <w:lang w:val="en-US"/>
        </w:rPr>
        <w:t xml:space="preserve">Includes transactions involving shares and other securities of a participating nature if they are not </w:t>
      </w:r>
      <w:proofErr w:type="gramStart"/>
      <w:r w:rsidR="00382F3B" w:rsidRPr="003875F5">
        <w:rPr>
          <w:rFonts w:ascii="Times New Roman" w:hAnsi="Times New Roman" w:cs="Times New Roman"/>
          <w:i/>
          <w:sz w:val="24"/>
          <w:szCs w:val="24"/>
          <w:lang w:val="en-US"/>
        </w:rPr>
        <w:t>effected</w:t>
      </w:r>
      <w:proofErr w:type="gramEnd"/>
      <w:r w:rsidR="00382F3B" w:rsidRPr="003875F5">
        <w:rPr>
          <w:rFonts w:ascii="Times New Roman" w:hAnsi="Times New Roman" w:cs="Times New Roman"/>
          <w:sz w:val="24"/>
          <w:szCs w:val="24"/>
          <w:lang w:val="en-US"/>
        </w:rPr>
        <w:t xml:space="preserve"> (sic) </w:t>
      </w:r>
      <w:r w:rsidR="00382F3B" w:rsidRPr="003875F5">
        <w:rPr>
          <w:rFonts w:ascii="Times New Roman" w:hAnsi="Times New Roman" w:cs="Times New Roman"/>
          <w:i/>
          <w:sz w:val="24"/>
          <w:szCs w:val="24"/>
          <w:lang w:val="en-US"/>
        </w:rPr>
        <w:t>for the purpose of acquiring a lasting economic interest in the management of the enterprise concerned. Investment for the purpose of acquiring a lasting economic interest is addressed under foreign direct investment</w:t>
      </w:r>
      <w:r w:rsidR="00382F3B" w:rsidRPr="003875F5">
        <w:rPr>
          <w:rFonts w:ascii="Times New Roman" w:hAnsi="Times New Roman" w:cs="Times New Roman"/>
          <w:sz w:val="24"/>
          <w:szCs w:val="24"/>
          <w:lang w:val="en-US"/>
        </w:rPr>
        <w:t>.”</w:t>
      </w:r>
    </w:p>
    <w:p w:rsidR="00151B33" w:rsidRPr="003875F5" w:rsidRDefault="00151B33"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We do not categorize </w:t>
      </w:r>
      <w:r w:rsidR="007531B7" w:rsidRPr="003875F5">
        <w:rPr>
          <w:rFonts w:ascii="Times New Roman" w:hAnsi="Times New Roman" w:cs="Times New Roman"/>
          <w:sz w:val="24"/>
          <w:szCs w:val="24"/>
          <w:lang w:val="en-US"/>
        </w:rPr>
        <w:t>requirements of “</w:t>
      </w:r>
      <w:r w:rsidRPr="003875F5">
        <w:rPr>
          <w:rFonts w:ascii="Times New Roman" w:hAnsi="Times New Roman" w:cs="Times New Roman"/>
          <w:i/>
          <w:sz w:val="24"/>
          <w:szCs w:val="24"/>
          <w:lang w:val="en-US"/>
        </w:rPr>
        <w:t>reporting</w:t>
      </w:r>
      <w:r w:rsidR="007531B7"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w:t>
      </w:r>
      <w:r w:rsidR="007531B7" w:rsidRPr="003875F5">
        <w:rPr>
          <w:rFonts w:ascii="Times New Roman" w:hAnsi="Times New Roman" w:cs="Times New Roman"/>
          <w:sz w:val="24"/>
          <w:szCs w:val="24"/>
          <w:lang w:val="en-US"/>
        </w:rPr>
        <w:t>“</w:t>
      </w:r>
      <w:r w:rsidRPr="003875F5">
        <w:rPr>
          <w:rFonts w:ascii="Times New Roman" w:hAnsi="Times New Roman" w:cs="Times New Roman"/>
          <w:i/>
          <w:sz w:val="24"/>
          <w:szCs w:val="24"/>
          <w:lang w:val="en-US"/>
        </w:rPr>
        <w:t>registration</w:t>
      </w:r>
      <w:r w:rsidR="007531B7"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or </w:t>
      </w:r>
      <w:r w:rsidR="007531B7" w:rsidRPr="003875F5">
        <w:rPr>
          <w:rFonts w:ascii="Times New Roman" w:hAnsi="Times New Roman" w:cs="Times New Roman"/>
          <w:sz w:val="24"/>
          <w:szCs w:val="24"/>
          <w:lang w:val="en-US"/>
        </w:rPr>
        <w:t>“</w:t>
      </w:r>
      <w:r w:rsidRPr="003875F5">
        <w:rPr>
          <w:rFonts w:ascii="Times New Roman" w:hAnsi="Times New Roman" w:cs="Times New Roman"/>
          <w:i/>
          <w:sz w:val="24"/>
          <w:szCs w:val="24"/>
          <w:lang w:val="en-US"/>
        </w:rPr>
        <w:t>notification</w:t>
      </w:r>
      <w:r w:rsidR="007531B7"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as controls.</w:t>
      </w:r>
    </w:p>
    <w:p w:rsidR="00624947" w:rsidRPr="003875F5" w:rsidRDefault="00624947"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We do not consider as controls, restrictions made to specific countries on the basis of political or national security reasons.</w:t>
      </w:r>
    </w:p>
    <w:p w:rsidR="00624947" w:rsidRPr="003875F5" w:rsidRDefault="00624947"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Restrictions on FDI in real estate are not considered controls, since these pertain to a different category in the AREAER.</w:t>
      </w:r>
    </w:p>
    <w:p w:rsidR="00E11C46" w:rsidRPr="003875F5" w:rsidRDefault="004A234D" w:rsidP="00D712AE">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Explicit </w:t>
      </w:r>
      <w:r w:rsidR="00655F39" w:rsidRPr="003875F5">
        <w:rPr>
          <w:rFonts w:ascii="Times New Roman" w:hAnsi="Times New Roman" w:cs="Times New Roman"/>
          <w:sz w:val="24"/>
          <w:szCs w:val="24"/>
          <w:lang w:val="en-US"/>
        </w:rPr>
        <w:t>allusions to “prudential” considerations are</w:t>
      </w:r>
      <w:r w:rsidR="00361870" w:rsidRPr="003875F5">
        <w:rPr>
          <w:rFonts w:ascii="Times New Roman" w:hAnsi="Times New Roman" w:cs="Times New Roman"/>
          <w:sz w:val="24"/>
          <w:szCs w:val="24"/>
          <w:lang w:val="en-US"/>
        </w:rPr>
        <w:t xml:space="preserve"> deemed to be controls.</w:t>
      </w:r>
    </w:p>
    <w:p w:rsidR="001079DE" w:rsidRPr="003875F5" w:rsidRDefault="00E11C46" w:rsidP="00883943">
      <w:pPr>
        <w:pStyle w:val="Prrafodelista"/>
        <w:numPr>
          <w:ilvl w:val="1"/>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Restrictions</w:t>
      </w:r>
      <w:r w:rsidR="00CC6F64" w:rsidRPr="003875F5">
        <w:rPr>
          <w:rFonts w:ascii="Times New Roman" w:hAnsi="Times New Roman" w:cs="Times New Roman"/>
          <w:sz w:val="24"/>
          <w:szCs w:val="24"/>
          <w:lang w:val="en-US"/>
        </w:rPr>
        <w:t xml:space="preserve"> regarding</w:t>
      </w:r>
      <w:r w:rsidRPr="003875F5">
        <w:rPr>
          <w:rFonts w:ascii="Times New Roman" w:hAnsi="Times New Roman" w:cs="Times New Roman"/>
          <w:sz w:val="24"/>
          <w:szCs w:val="24"/>
          <w:lang w:val="en-US"/>
        </w:rPr>
        <w:t xml:space="preserve"> credit’s maturity are deemed to be controls.</w:t>
      </w:r>
    </w:p>
    <w:p w:rsidR="00026490" w:rsidRPr="003875F5" w:rsidRDefault="00B52291" w:rsidP="00B252C6">
      <w:pPr>
        <w:pStyle w:val="Estilo1"/>
      </w:pPr>
      <w:bookmarkStart w:id="4" w:name="_Toc402472303"/>
      <w:r w:rsidRPr="003875F5">
        <w:t xml:space="preserve">COUNTRY-SPECIFIC </w:t>
      </w:r>
      <w:r w:rsidR="00026490" w:rsidRPr="003875F5">
        <w:t>EXCEPTIONS</w:t>
      </w:r>
      <w:r w:rsidR="009E0CC3" w:rsidRPr="003875F5">
        <w:t xml:space="preserve"> AND CLARIFICATIONS</w:t>
      </w:r>
      <w:bookmarkEnd w:id="4"/>
    </w:p>
    <w:p w:rsidR="003632E8" w:rsidRPr="003875F5" w:rsidRDefault="003632E8" w:rsidP="00B252C6">
      <w:pPr>
        <w:pStyle w:val="Estilo2"/>
      </w:pPr>
      <w:bookmarkStart w:id="5" w:name="_Toc402472304"/>
      <w:r w:rsidRPr="003875F5">
        <w:t>Algeria</w:t>
      </w:r>
      <w:bookmarkEnd w:id="5"/>
    </w:p>
    <w:p w:rsidR="003632E8" w:rsidRPr="003875F5" w:rsidRDefault="003632E8" w:rsidP="003632E8">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dii 1995-</w:t>
      </w:r>
      <w:r w:rsidR="008C55C1"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Foreign direct investment is freely permitted, except in certain specified sectors, provided that it conforms to the laws and </w:t>
      </w:r>
      <w:proofErr w:type="gramStart"/>
      <w:r w:rsidRPr="003875F5">
        <w:rPr>
          <w:rFonts w:ascii="Times New Roman" w:hAnsi="Times New Roman" w:cs="Times New Roman"/>
          <w:i/>
          <w:sz w:val="24"/>
          <w:szCs w:val="24"/>
          <w:lang w:val="en-US"/>
        </w:rPr>
        <w:t>regulations governing regulated activities and that prior declaration is</w:t>
      </w:r>
      <w:proofErr w:type="gramEnd"/>
      <w:r w:rsidRPr="003875F5">
        <w:rPr>
          <w:rFonts w:ascii="Times New Roman" w:hAnsi="Times New Roman" w:cs="Times New Roman"/>
          <w:i/>
          <w:sz w:val="24"/>
          <w:szCs w:val="24"/>
          <w:lang w:val="en-US"/>
        </w:rPr>
        <w:t xml:space="preserve"> made to the authorities</w:t>
      </w:r>
      <w:r w:rsidRPr="003875F5">
        <w:rPr>
          <w:rFonts w:ascii="Times New Roman" w:hAnsi="Times New Roman" w:cs="Times New Roman"/>
          <w:sz w:val="24"/>
          <w:szCs w:val="24"/>
          <w:lang w:val="en-US"/>
        </w:rPr>
        <w:t xml:space="preserve">.” </w:t>
      </w:r>
      <w:r w:rsidR="006510CF" w:rsidRPr="003875F5">
        <w:rPr>
          <w:rFonts w:ascii="Times New Roman" w:hAnsi="Times New Roman" w:cs="Times New Roman"/>
          <w:sz w:val="24"/>
          <w:szCs w:val="24"/>
          <w:lang w:val="en-US"/>
        </w:rPr>
        <w:t xml:space="preserve">This was </w:t>
      </w:r>
      <w:r w:rsidRPr="003875F5">
        <w:rPr>
          <w:rFonts w:ascii="Times New Roman" w:hAnsi="Times New Roman" w:cs="Times New Roman"/>
          <w:sz w:val="24"/>
          <w:szCs w:val="24"/>
          <w:lang w:val="en-US"/>
        </w:rPr>
        <w:t>coded with ones in virtue of th</w:t>
      </w:r>
      <w:r w:rsidR="006510CF" w:rsidRPr="003875F5">
        <w:rPr>
          <w:rFonts w:ascii="Times New Roman" w:hAnsi="Times New Roman" w:cs="Times New Roman"/>
          <w:sz w:val="24"/>
          <w:szCs w:val="24"/>
          <w:lang w:val="en-US"/>
        </w:rPr>
        <w:t>e second sentence of rule 7(ii).</w:t>
      </w:r>
    </w:p>
    <w:p w:rsidR="006D0613" w:rsidRDefault="006D0613" w:rsidP="006D0613">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2010-2012: “</w:t>
      </w:r>
      <w:r w:rsidRPr="003875F5">
        <w:rPr>
          <w:rFonts w:ascii="Times New Roman" w:hAnsi="Times New Roman" w:cs="Times New Roman"/>
          <w:i/>
          <w:sz w:val="24"/>
          <w:szCs w:val="24"/>
          <w:lang w:val="en-US"/>
        </w:rPr>
        <w:t xml:space="preserve">There is no market for derivatives. Purchases and sales of these products by residents and </w:t>
      </w:r>
      <w:r w:rsidRPr="003875F5">
        <w:rPr>
          <w:rFonts w:ascii="Times New Roman" w:hAnsi="Times New Roman" w:cs="Times New Roman"/>
          <w:i/>
          <w:sz w:val="24"/>
          <w:szCs w:val="24"/>
          <w:lang w:val="en-US"/>
        </w:rPr>
        <w:lastRenderedPageBreak/>
        <w:t>nonresidents domestically or abroad are not subject to exchange controls. Nonresidents are not authorized to issue securities on the domestic market.</w:t>
      </w:r>
      <w:r w:rsidRPr="003875F5">
        <w:rPr>
          <w:rFonts w:ascii="Times New Roman" w:hAnsi="Times New Roman" w:cs="Times New Roman"/>
          <w:sz w:val="24"/>
          <w:szCs w:val="24"/>
          <w:lang w:val="en-US"/>
        </w:rPr>
        <w:t>”</w:t>
      </w:r>
      <w:r w:rsidR="00186F40" w:rsidRPr="003875F5">
        <w:rPr>
          <w:rFonts w:ascii="Times New Roman" w:hAnsi="Times New Roman" w:cs="Times New Roman"/>
          <w:sz w:val="24"/>
          <w:szCs w:val="24"/>
          <w:lang w:val="en-US"/>
        </w:rPr>
        <w:t xml:space="preserve"> Subcategories were</w:t>
      </w:r>
      <w:r w:rsidRPr="003875F5">
        <w:rPr>
          <w:rFonts w:ascii="Times New Roman" w:hAnsi="Times New Roman" w:cs="Times New Roman"/>
          <w:sz w:val="24"/>
          <w:szCs w:val="24"/>
          <w:lang w:val="en-US"/>
        </w:rPr>
        <w:t xml:space="preserve"> coded in accordance with rule 3(i).</w:t>
      </w:r>
    </w:p>
    <w:p w:rsidR="009E0CC3" w:rsidRPr="003875F5" w:rsidRDefault="009E0CC3" w:rsidP="00B252C6">
      <w:pPr>
        <w:pStyle w:val="Estilo2"/>
      </w:pPr>
      <w:bookmarkStart w:id="6" w:name="_Toc402472305"/>
      <w:r w:rsidRPr="003875F5">
        <w:t>Angola</w:t>
      </w:r>
      <w:bookmarkEnd w:id="6"/>
    </w:p>
    <w:p w:rsidR="009E0CC3" w:rsidRPr="003875F5" w:rsidRDefault="009E0CC3"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the case of the Private Investment Law (2003) that the reports allude to in FDI starting in 2003 we looked at the details in the Law regarding restrictions to inward direct investment and noticed that there was a mi</w:t>
      </w:r>
      <w:r w:rsidR="00114921" w:rsidRPr="003875F5">
        <w:rPr>
          <w:rFonts w:ascii="Times New Roman" w:hAnsi="Times New Roman" w:cs="Times New Roman"/>
          <w:sz w:val="24"/>
          <w:szCs w:val="24"/>
          <w:lang w:val="en-US"/>
        </w:rPr>
        <w:t>ni</w:t>
      </w:r>
      <w:r w:rsidRPr="003875F5">
        <w:rPr>
          <w:rFonts w:ascii="Times New Roman" w:hAnsi="Times New Roman" w:cs="Times New Roman"/>
          <w:sz w:val="24"/>
          <w:szCs w:val="24"/>
          <w:lang w:val="en-US"/>
        </w:rPr>
        <w:t>mum requirement for foreigners to participate in projects for them to repatriate their profits. This further confirmed our initial coding about controls for this particular subcategory.</w:t>
      </w:r>
    </w:p>
    <w:p w:rsidR="0047528D" w:rsidRPr="003875F5" w:rsidRDefault="0047528D"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ldi</w:t>
      </w:r>
      <w:proofErr w:type="spellEnd"/>
      <w:r w:rsidR="003842AB" w:rsidRPr="003875F5">
        <w:rPr>
          <w:rFonts w:ascii="Times New Roman" w:hAnsi="Times New Roman" w:cs="Times New Roman"/>
          <w:sz w:val="24"/>
          <w:szCs w:val="24"/>
          <w:lang w:val="en-US"/>
        </w:rPr>
        <w:t xml:space="preserve"> 2012</w:t>
      </w:r>
      <w:r w:rsidRPr="003875F5">
        <w:rPr>
          <w:rFonts w:ascii="Times New Roman" w:hAnsi="Times New Roman" w:cs="Times New Roman"/>
          <w:sz w:val="24"/>
          <w:szCs w:val="24"/>
          <w:lang w:val="en-US"/>
        </w:rPr>
        <w:t xml:space="preserve">, pursuant rule 3(ii), we do not consider a control the obligation of paying taxes before repatriating profits. </w:t>
      </w:r>
    </w:p>
    <w:p w:rsidR="00A14DFA" w:rsidRPr="003875F5" w:rsidRDefault="00A14DFA" w:rsidP="00186F4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1995</w:t>
      </w:r>
      <w:r w:rsidR="005434D0" w:rsidRPr="003875F5">
        <w:rPr>
          <w:rFonts w:ascii="Times New Roman" w:hAnsi="Times New Roman" w:cs="Times New Roman"/>
          <w:sz w:val="24"/>
          <w:szCs w:val="24"/>
          <w:lang w:val="en-US"/>
        </w:rPr>
        <w:t>-199</w:t>
      </w:r>
      <w:r w:rsidR="00FC4E3B" w:rsidRPr="003875F5">
        <w:rPr>
          <w:rFonts w:ascii="Times New Roman" w:hAnsi="Times New Roman" w:cs="Times New Roman"/>
          <w:sz w:val="24"/>
          <w:szCs w:val="24"/>
          <w:lang w:val="en-US"/>
        </w:rPr>
        <w:t>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Not applicable for lack of such instruments in Angola, but in principle covered by foreign exchange and foreign investment legislation</w:t>
      </w:r>
      <w:r w:rsidRPr="003875F5">
        <w:rPr>
          <w:rFonts w:ascii="Times New Roman" w:hAnsi="Times New Roman" w:cs="Times New Roman"/>
          <w:sz w:val="24"/>
          <w:szCs w:val="24"/>
          <w:lang w:val="en-US"/>
        </w:rPr>
        <w:t>.”</w:t>
      </w:r>
      <w:r w:rsidR="00186F40" w:rsidRPr="003875F5">
        <w:rPr>
          <w:rFonts w:ascii="Times New Roman" w:hAnsi="Times New Roman" w:cs="Times New Roman"/>
          <w:sz w:val="24"/>
          <w:szCs w:val="24"/>
          <w:lang w:val="en-US"/>
        </w:rPr>
        <w:t xml:space="preserve"> Subcategories were coded in accordance with rule 3(i).</w:t>
      </w:r>
    </w:p>
    <w:p w:rsidR="009A5AE6" w:rsidRPr="003875F5" w:rsidRDefault="009A5AE6" w:rsidP="00B252C6">
      <w:pPr>
        <w:pStyle w:val="Estilo2"/>
      </w:pPr>
      <w:bookmarkStart w:id="7" w:name="_Toc402472306"/>
      <w:r w:rsidRPr="003875F5">
        <w:t>Argentina</w:t>
      </w:r>
      <w:bookmarkEnd w:id="7"/>
    </w:p>
    <w:p w:rsidR="009A5AE6" w:rsidRPr="003875F5" w:rsidRDefault="009A5AE6"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There is an explicit allusion to “ceilings” for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in 2009, 2010, and 2011. Following the criteria above, these were set as controls.</w:t>
      </w:r>
    </w:p>
    <w:p w:rsidR="003D735B" w:rsidRPr="003875F5" w:rsidRDefault="003833BA" w:rsidP="00A91884">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starting in 2007 there is an explicit allusion to a ceiling of the amount of FX that can be bought for FDI abroad. There is also the allusion of approval if one goes beyond the ceiling.</w:t>
      </w:r>
    </w:p>
    <w:p w:rsidR="00901A30" w:rsidRPr="003875F5" w:rsidRDefault="00BA4E34" w:rsidP="00A91884">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eq_siln</w:t>
      </w:r>
      <w:proofErr w:type="spellEnd"/>
      <w:r w:rsidR="00802E90" w:rsidRPr="003875F5">
        <w:rPr>
          <w:rFonts w:ascii="Times New Roman" w:hAnsi="Times New Roman" w:cs="Times New Roman"/>
          <w:sz w:val="24"/>
          <w:szCs w:val="24"/>
          <w:lang w:val="en-US"/>
        </w:rPr>
        <w:t xml:space="preserve"> 2005-2012</w:t>
      </w:r>
      <w:r w:rsidR="00901A30" w:rsidRPr="003875F5">
        <w:rPr>
          <w:rFonts w:ascii="Times New Roman" w:hAnsi="Times New Roman" w:cs="Times New Roman"/>
          <w:sz w:val="24"/>
          <w:szCs w:val="24"/>
          <w:lang w:val="en-US"/>
        </w:rPr>
        <w:t xml:space="preserve"> (and </w:t>
      </w:r>
      <w:proofErr w:type="spellStart"/>
      <w:r w:rsidR="00901A30" w:rsidRPr="003875F5">
        <w:rPr>
          <w:rFonts w:ascii="Times New Roman" w:hAnsi="Times New Roman" w:cs="Times New Roman"/>
          <w:sz w:val="24"/>
          <w:szCs w:val="24"/>
          <w:lang w:val="en-US"/>
        </w:rPr>
        <w:t>bo_siln</w:t>
      </w:r>
      <w:proofErr w:type="spellEnd"/>
      <w:r w:rsidR="00901A30" w:rsidRPr="003875F5">
        <w:rPr>
          <w:rFonts w:ascii="Times New Roman" w:hAnsi="Times New Roman" w:cs="Times New Roman"/>
          <w:sz w:val="24"/>
          <w:szCs w:val="24"/>
          <w:lang w:val="en-US"/>
        </w:rPr>
        <w:t xml:space="preserve"> 2007-2012)</w:t>
      </w:r>
      <w:r w:rsidR="00292F73" w:rsidRPr="003875F5">
        <w:rPr>
          <w:rFonts w:ascii="Times New Roman" w:hAnsi="Times New Roman" w:cs="Times New Roman"/>
          <w:sz w:val="24"/>
          <w:szCs w:val="24"/>
          <w:lang w:val="en-US"/>
        </w:rPr>
        <w:t xml:space="preserve">, residents and nonresidents are equally required to comply with certain criteria. </w:t>
      </w:r>
      <w:r w:rsidR="003D735B" w:rsidRPr="003875F5">
        <w:rPr>
          <w:rFonts w:ascii="Times New Roman" w:hAnsi="Times New Roman" w:cs="Times New Roman"/>
          <w:sz w:val="24"/>
          <w:szCs w:val="24"/>
          <w:lang w:val="en-US"/>
        </w:rPr>
        <w:t>Pursuant</w:t>
      </w:r>
      <w:r w:rsidR="00802E90" w:rsidRPr="003875F5">
        <w:rPr>
          <w:rFonts w:ascii="Times New Roman" w:hAnsi="Times New Roman" w:cs="Times New Roman"/>
          <w:sz w:val="24"/>
          <w:szCs w:val="24"/>
          <w:lang w:val="en-US"/>
        </w:rPr>
        <w:t xml:space="preserve"> rule</w:t>
      </w:r>
      <w:r w:rsidR="003D735B" w:rsidRPr="003875F5">
        <w:rPr>
          <w:rFonts w:ascii="Times New Roman" w:hAnsi="Times New Roman" w:cs="Times New Roman"/>
          <w:sz w:val="24"/>
          <w:szCs w:val="24"/>
          <w:lang w:val="en-US"/>
        </w:rPr>
        <w:t>s</w:t>
      </w:r>
      <w:r w:rsidR="00802E90" w:rsidRPr="003875F5">
        <w:rPr>
          <w:rFonts w:ascii="Times New Roman" w:hAnsi="Times New Roman" w:cs="Times New Roman"/>
          <w:sz w:val="24"/>
          <w:szCs w:val="24"/>
          <w:lang w:val="en-US"/>
        </w:rPr>
        <w:t xml:space="preserve"> 5</w:t>
      </w:r>
      <w:r w:rsidR="003D735B" w:rsidRPr="003875F5">
        <w:rPr>
          <w:rFonts w:ascii="Times New Roman" w:hAnsi="Times New Roman" w:cs="Times New Roman"/>
          <w:sz w:val="24"/>
          <w:szCs w:val="24"/>
          <w:lang w:val="en-US"/>
        </w:rPr>
        <w:t xml:space="preserve"> and 10</w:t>
      </w:r>
      <w:r w:rsidR="00802E90" w:rsidRPr="003875F5">
        <w:rPr>
          <w:rFonts w:ascii="Times New Roman" w:hAnsi="Times New Roman" w:cs="Times New Roman"/>
          <w:sz w:val="24"/>
          <w:szCs w:val="24"/>
          <w:lang w:val="en-US"/>
        </w:rPr>
        <w:t>, this is interpreted as a control</w:t>
      </w:r>
      <w:r w:rsidR="00901A30" w:rsidRPr="003875F5">
        <w:rPr>
          <w:rFonts w:ascii="Times New Roman" w:hAnsi="Times New Roman" w:cs="Times New Roman"/>
          <w:sz w:val="24"/>
          <w:szCs w:val="24"/>
          <w:lang w:val="en-US"/>
        </w:rPr>
        <w:t xml:space="preserve"> because there is an </w:t>
      </w:r>
      <w:r w:rsidR="00802E90" w:rsidRPr="003875F5">
        <w:rPr>
          <w:rFonts w:ascii="Times New Roman" w:hAnsi="Times New Roman" w:cs="Times New Roman"/>
          <w:sz w:val="24"/>
          <w:szCs w:val="24"/>
          <w:lang w:val="en-US"/>
        </w:rPr>
        <w:t>approval requirement</w:t>
      </w:r>
      <w:r w:rsidR="00901A30" w:rsidRPr="003875F5">
        <w:rPr>
          <w:rFonts w:ascii="Times New Roman" w:hAnsi="Times New Roman" w:cs="Times New Roman"/>
          <w:sz w:val="24"/>
          <w:szCs w:val="24"/>
          <w:lang w:val="en-US"/>
        </w:rPr>
        <w:t xml:space="preserve"> for both</w:t>
      </w:r>
      <w:r w:rsidR="00802E90" w:rsidRPr="003875F5">
        <w:rPr>
          <w:rFonts w:ascii="Times New Roman" w:hAnsi="Times New Roman" w:cs="Times New Roman"/>
          <w:sz w:val="24"/>
          <w:szCs w:val="24"/>
          <w:lang w:val="en-US"/>
        </w:rPr>
        <w:t>.</w:t>
      </w:r>
    </w:p>
    <w:p w:rsidR="00901A30" w:rsidRPr="003875F5" w:rsidRDefault="00901A30"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2012, dii and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changed to 1, because BCRA authorization became compulsory effective July 6, 2012.</w:t>
      </w:r>
    </w:p>
    <w:p w:rsidR="000C2B36" w:rsidRPr="003875F5" w:rsidRDefault="00A81576" w:rsidP="000C2B3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dii 2005-2010</w:t>
      </w:r>
      <w:r w:rsidR="000C2B36" w:rsidRPr="003875F5">
        <w:rPr>
          <w:rFonts w:ascii="Times New Roman" w:hAnsi="Times New Roman" w:cs="Times New Roman"/>
          <w:sz w:val="24"/>
          <w:szCs w:val="24"/>
          <w:lang w:val="en-US"/>
        </w:rPr>
        <w:t>: “</w:t>
      </w:r>
      <w:r w:rsidR="000C2B36" w:rsidRPr="003875F5">
        <w:rPr>
          <w:rFonts w:ascii="Times New Roman" w:hAnsi="Times New Roman" w:cs="Times New Roman"/>
          <w:i/>
          <w:sz w:val="24"/>
          <w:szCs w:val="24"/>
          <w:lang w:val="en-US"/>
        </w:rPr>
        <w:t>The deposit and minimum retention time requirements do not apply to foreign exchange imported by nonresidents for direct investment in Argentina. Foreign exchange imported for direct investment covers only those amounts that nonresidents apply to direct investment in Argentina, and the amounts they use specifically to purchase domestic assets that qualify as direct investment in accordance with the concepts used in international accounting, provided the importing institution can certify that the funds were specifically used in such transactions, based on its documentation</w:t>
      </w:r>
      <w:r w:rsidR="000C2B36" w:rsidRPr="003875F5">
        <w:rPr>
          <w:rFonts w:ascii="Times New Roman" w:hAnsi="Times New Roman" w:cs="Times New Roman"/>
          <w:sz w:val="24"/>
          <w:szCs w:val="24"/>
          <w:lang w:val="en-US"/>
        </w:rPr>
        <w:t xml:space="preserve">.” </w:t>
      </w:r>
      <w:r w:rsidR="00861ABB" w:rsidRPr="003875F5">
        <w:rPr>
          <w:rFonts w:ascii="Times New Roman" w:hAnsi="Times New Roman" w:cs="Times New Roman"/>
          <w:sz w:val="24"/>
          <w:szCs w:val="24"/>
          <w:lang w:val="en-US"/>
        </w:rPr>
        <w:t>We think that this is a formality and do not poses any restriction on capital flows. Therefore, we change Schindler’s original coding for 2005 to 0.</w:t>
      </w:r>
    </w:p>
    <w:p w:rsidR="00910D62" w:rsidRPr="003875F5" w:rsidRDefault="00910D62" w:rsidP="00910D62">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eq_siar</w:t>
      </w:r>
      <w:proofErr w:type="spellEnd"/>
      <w:r w:rsidRPr="003875F5">
        <w:rPr>
          <w:rFonts w:ascii="Times New Roman" w:hAnsi="Times New Roman" w:cs="Times New Roman"/>
          <w:sz w:val="24"/>
          <w:szCs w:val="24"/>
          <w:lang w:val="en-US"/>
        </w:rPr>
        <w:t xml:space="preserve"> 2009-201</w:t>
      </w:r>
      <w:r w:rsidR="00F95388" w:rsidRPr="003875F5">
        <w:rPr>
          <w:rFonts w:ascii="Times New Roman" w:hAnsi="Times New Roman" w:cs="Times New Roman"/>
          <w:sz w:val="24"/>
          <w:szCs w:val="24"/>
          <w:lang w:val="en-US"/>
        </w:rPr>
        <w:t>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Resident corporation share issues that are not publicly offered or listed on self-regulated markets and that do not qualify as direct investment are subject to a deposit of 30% of the </w:t>
      </w:r>
      <w:r w:rsidRPr="003875F5">
        <w:rPr>
          <w:rFonts w:ascii="Times New Roman" w:hAnsi="Times New Roman" w:cs="Times New Roman"/>
          <w:i/>
          <w:sz w:val="24"/>
          <w:szCs w:val="24"/>
          <w:lang w:val="en-US"/>
        </w:rPr>
        <w:lastRenderedPageBreak/>
        <w:t>amount raised by the issue, pursuant to Decree No. 616/05 (b)</w:t>
      </w:r>
      <w:r w:rsidRPr="003875F5">
        <w:rPr>
          <w:rFonts w:ascii="Times New Roman" w:hAnsi="Times New Roman" w:cs="Times New Roman"/>
          <w:sz w:val="24"/>
          <w:szCs w:val="24"/>
          <w:lang w:val="en-US"/>
        </w:rPr>
        <w:t xml:space="preserve">” </w:t>
      </w:r>
      <w:r w:rsidR="00A91884" w:rsidRPr="003875F5">
        <w:rPr>
          <w:rFonts w:ascii="Times New Roman" w:hAnsi="Times New Roman" w:cs="Times New Roman"/>
          <w:sz w:val="24"/>
          <w:szCs w:val="24"/>
          <w:lang w:val="en-US"/>
        </w:rPr>
        <w:t>We believe that this has the potential to bear an important macro impact; therefore, we code it as a control.</w:t>
      </w:r>
    </w:p>
    <w:p w:rsidR="00F55224" w:rsidRPr="003875F5" w:rsidRDefault="00F55224" w:rsidP="00F55224">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00331C86" w:rsidRPr="003875F5">
        <w:rPr>
          <w:rFonts w:ascii="Times New Roman" w:hAnsi="Times New Roman" w:cs="Times New Roman"/>
          <w:sz w:val="24"/>
          <w:szCs w:val="24"/>
          <w:lang w:val="en-US"/>
        </w:rPr>
        <w:t xml:space="preserve"> (2001-2005)</w:t>
      </w:r>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de_siar</w:t>
      </w:r>
      <w:proofErr w:type="spellEnd"/>
      <w:r w:rsidRPr="003875F5">
        <w:rPr>
          <w:rFonts w:ascii="Times New Roman" w:hAnsi="Times New Roman" w:cs="Times New Roman"/>
          <w:sz w:val="24"/>
          <w:szCs w:val="24"/>
          <w:lang w:val="en-US"/>
        </w:rPr>
        <w:t xml:space="preserve"> </w:t>
      </w:r>
      <w:r w:rsidR="00331C86"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2001</w:t>
      </w:r>
      <w:r w:rsidR="00331C86" w:rsidRPr="003875F5">
        <w:rPr>
          <w:rFonts w:ascii="Times New Roman" w:hAnsi="Times New Roman" w:cs="Times New Roman"/>
          <w:sz w:val="24"/>
          <w:szCs w:val="24"/>
          <w:lang w:val="en-US"/>
        </w:rPr>
        <w:t>-2002)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Forward and other derivatives contracts—except for currency and commodity swaps—are subject to CBRA approval</w:t>
      </w:r>
      <w:r w:rsidRPr="003875F5">
        <w:rPr>
          <w:rFonts w:ascii="Times New Roman" w:hAnsi="Times New Roman" w:cs="Times New Roman"/>
          <w:sz w:val="24"/>
          <w:szCs w:val="24"/>
          <w:lang w:val="en-US"/>
        </w:rPr>
        <w:t xml:space="preserve">” </w:t>
      </w:r>
      <w:r w:rsidR="00186F40" w:rsidRPr="003875F5">
        <w:rPr>
          <w:rFonts w:ascii="Times New Roman" w:hAnsi="Times New Roman" w:cs="Times New Roman"/>
          <w:sz w:val="24"/>
          <w:szCs w:val="24"/>
          <w:lang w:val="en-US"/>
        </w:rPr>
        <w:t>We coded with ones, since it affects most forms of derivatives</w:t>
      </w:r>
      <w:r w:rsidRPr="003875F5">
        <w:rPr>
          <w:rFonts w:ascii="Times New Roman" w:hAnsi="Times New Roman" w:cs="Times New Roman"/>
          <w:sz w:val="24"/>
          <w:szCs w:val="24"/>
          <w:lang w:val="en-US"/>
        </w:rPr>
        <w:t>.</w:t>
      </w:r>
    </w:p>
    <w:p w:rsidR="00067877" w:rsidRPr="003875F5" w:rsidRDefault="00067877" w:rsidP="0006787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2007: “</w:t>
      </w:r>
      <w:r w:rsidRPr="003875F5">
        <w:rPr>
          <w:rFonts w:ascii="Times New Roman" w:hAnsi="Times New Roman" w:cs="Times New Roman"/>
          <w:i/>
          <w:sz w:val="24"/>
          <w:szCs w:val="24"/>
          <w:lang w:val="en-US"/>
        </w:rPr>
        <w:t xml:space="preserve">There are no limits on private financial and nonfinancial sector transactions in Argentina concerning futures operations on regulated markets and forward transactions, nor is BCRA approval required, provided they are settled domestically by netting in domestic currency. There are no limits on and BCRA approval is not required for operations with the rest of the world authorized by Communications A 4285, </w:t>
      </w:r>
      <w:proofErr w:type="gramStart"/>
      <w:r w:rsidRPr="003875F5">
        <w:rPr>
          <w:rFonts w:ascii="Times New Roman" w:hAnsi="Times New Roman" w:cs="Times New Roman"/>
          <w:i/>
          <w:sz w:val="24"/>
          <w:szCs w:val="24"/>
          <w:lang w:val="en-US"/>
        </w:rPr>
        <w:t>A</w:t>
      </w:r>
      <w:proofErr w:type="gramEnd"/>
      <w:r w:rsidRPr="003875F5">
        <w:rPr>
          <w:rFonts w:ascii="Times New Roman" w:hAnsi="Times New Roman" w:cs="Times New Roman"/>
          <w:i/>
          <w:sz w:val="24"/>
          <w:szCs w:val="24"/>
          <w:lang w:val="en-US"/>
        </w:rPr>
        <w:t xml:space="preserve"> 4440, and A 4743</w:t>
      </w:r>
      <w:r w:rsidRPr="003875F5">
        <w:rPr>
          <w:rFonts w:ascii="Times New Roman" w:hAnsi="Times New Roman" w:cs="Times New Roman"/>
          <w:sz w:val="24"/>
          <w:szCs w:val="24"/>
          <w:lang w:val="en-US"/>
        </w:rPr>
        <w:t xml:space="preserve">.” </w:t>
      </w:r>
      <w:r w:rsidR="00186F40" w:rsidRPr="003875F5">
        <w:rPr>
          <w:rFonts w:ascii="Times New Roman" w:hAnsi="Times New Roman" w:cs="Times New Roman"/>
          <w:sz w:val="24"/>
          <w:szCs w:val="24"/>
          <w:lang w:val="en-US"/>
        </w:rPr>
        <w:t>This is considered as control pursuant rules 5, 6, and the second sentence of 7(ii).</w:t>
      </w:r>
      <w:r w:rsidRPr="003875F5">
        <w:rPr>
          <w:rFonts w:ascii="Times New Roman" w:hAnsi="Times New Roman" w:cs="Times New Roman"/>
          <w:sz w:val="24"/>
          <w:szCs w:val="24"/>
          <w:lang w:val="en-US"/>
        </w:rPr>
        <w:t xml:space="preserve"> </w:t>
      </w:r>
    </w:p>
    <w:p w:rsidR="00816666" w:rsidRPr="003875F5" w:rsidRDefault="00816666" w:rsidP="0081666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gso</w:t>
      </w:r>
      <w:proofErr w:type="spellEnd"/>
      <w:r w:rsidRPr="003875F5">
        <w:rPr>
          <w:rFonts w:ascii="Times New Roman" w:hAnsi="Times New Roman" w:cs="Times New Roman"/>
          <w:sz w:val="24"/>
          <w:szCs w:val="24"/>
          <w:lang w:val="en-US"/>
        </w:rPr>
        <w:t xml:space="preserve"> 2008-201</w:t>
      </w:r>
      <w:r w:rsidR="00A632F2" w:rsidRPr="003875F5">
        <w:rPr>
          <w:rFonts w:ascii="Times New Roman" w:hAnsi="Times New Roman" w:cs="Times New Roman"/>
          <w:sz w:val="24"/>
          <w:szCs w:val="24"/>
          <w:lang w:val="en-US"/>
        </w:rPr>
        <w:t>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Local banking institutions may purchase foreign exchange without the approval of the BCRA to meet their obligations to nonresidents concerning financial guarantees, if the operation guaranteed triggers automatic access to the exchange market, or if the granting of the guarantee is necessary to a commercial operation abroad ensuring direct or indirect provision of goods and/or services to residents involved in the operation (Communication A 4880).</w:t>
      </w:r>
      <w:r w:rsidRPr="003875F5">
        <w:rPr>
          <w:rFonts w:ascii="Times New Roman" w:hAnsi="Times New Roman" w:cs="Times New Roman"/>
          <w:sz w:val="24"/>
          <w:szCs w:val="24"/>
          <w:lang w:val="en-US"/>
        </w:rPr>
        <w:t xml:space="preserve">” </w:t>
      </w:r>
      <w:r w:rsidR="00E607F2" w:rsidRPr="003875F5">
        <w:rPr>
          <w:rFonts w:ascii="Times New Roman" w:hAnsi="Times New Roman" w:cs="Times New Roman"/>
          <w:sz w:val="24"/>
          <w:szCs w:val="24"/>
          <w:lang w:val="en-US"/>
        </w:rPr>
        <w:t>This is deemed to be a control.</w:t>
      </w:r>
    </w:p>
    <w:p w:rsidR="009A5AE6" w:rsidRPr="003875F5" w:rsidRDefault="00924B28" w:rsidP="00B252C6">
      <w:pPr>
        <w:pStyle w:val="Estilo2"/>
      </w:pPr>
      <w:bookmarkStart w:id="8" w:name="_Toc402472307"/>
      <w:r w:rsidRPr="003875F5">
        <w:t>Australia</w:t>
      </w:r>
      <w:bookmarkEnd w:id="8"/>
    </w:p>
    <w:p w:rsidR="003833BA" w:rsidRPr="003875F5" w:rsidRDefault="003833BA"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For dii there is slight change in the sectors covered in 2011 but we still call it as a control as it belongs to many sectors with broad macro consequences.</w:t>
      </w:r>
    </w:p>
    <w:p w:rsidR="002D02D4" w:rsidRPr="003875F5" w:rsidRDefault="002D02D4"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accordance with rule 13,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2007</w:t>
      </w:r>
      <w:r w:rsidR="00B8009F" w:rsidRPr="003875F5">
        <w:rPr>
          <w:rFonts w:ascii="Times New Roman" w:hAnsi="Times New Roman" w:cs="Times New Roman"/>
          <w:sz w:val="24"/>
          <w:szCs w:val="24"/>
          <w:lang w:val="en-US"/>
        </w:rPr>
        <w:t>-2011</w:t>
      </w:r>
      <w:r w:rsidRPr="003875F5">
        <w:rPr>
          <w:rFonts w:ascii="Times New Roman" w:hAnsi="Times New Roman" w:cs="Times New Roman"/>
          <w:sz w:val="24"/>
          <w:szCs w:val="24"/>
          <w:lang w:val="en-US"/>
        </w:rPr>
        <w:t xml:space="preserve"> should not be coded as a 1</w:t>
      </w:r>
      <w:r w:rsidR="005C3F0A" w:rsidRPr="003875F5">
        <w:rPr>
          <w:rFonts w:ascii="Times New Roman" w:hAnsi="Times New Roman" w:cs="Times New Roman"/>
          <w:sz w:val="24"/>
          <w:szCs w:val="24"/>
          <w:lang w:val="en-US"/>
        </w:rPr>
        <w:t>, as suggested by the Note</w:t>
      </w:r>
      <w:r w:rsidRPr="003875F5">
        <w:rPr>
          <w:rFonts w:ascii="Times New Roman" w:hAnsi="Times New Roman" w:cs="Times New Roman"/>
          <w:sz w:val="24"/>
          <w:szCs w:val="24"/>
          <w:lang w:val="en-US"/>
        </w:rPr>
        <w:t>.</w:t>
      </w:r>
      <w:r w:rsidR="005C3F0A" w:rsidRPr="003875F5">
        <w:rPr>
          <w:rFonts w:ascii="Times New Roman" w:hAnsi="Times New Roman" w:cs="Times New Roman"/>
          <w:sz w:val="24"/>
          <w:szCs w:val="24"/>
          <w:lang w:val="en-US"/>
        </w:rPr>
        <w:t xml:space="preserve"> In 2006, rule 3(i) was applied.</w:t>
      </w:r>
      <w:r w:rsidR="00B8009F" w:rsidRPr="003875F5">
        <w:rPr>
          <w:rFonts w:ascii="Times New Roman" w:hAnsi="Times New Roman" w:cs="Times New Roman"/>
          <w:sz w:val="24"/>
          <w:szCs w:val="24"/>
          <w:lang w:val="en-US"/>
        </w:rPr>
        <w:t xml:space="preserve"> </w:t>
      </w:r>
    </w:p>
    <w:p w:rsidR="002D02D4" w:rsidRPr="003875F5" w:rsidRDefault="00361870"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w:t>
      </w:r>
      <w:r w:rsidR="00A009BE" w:rsidRPr="003875F5">
        <w:rPr>
          <w:rFonts w:ascii="Times New Roman" w:hAnsi="Times New Roman" w:cs="Times New Roman"/>
          <w:sz w:val="24"/>
          <w:szCs w:val="24"/>
          <w:lang w:val="en-US"/>
        </w:rPr>
        <w:t xml:space="preserve"> </w:t>
      </w:r>
      <w:proofErr w:type="spellStart"/>
      <w:r w:rsidR="00A009BE" w:rsidRPr="003875F5">
        <w:rPr>
          <w:rFonts w:ascii="Times New Roman" w:hAnsi="Times New Roman" w:cs="Times New Roman"/>
          <w:sz w:val="24"/>
          <w:szCs w:val="24"/>
          <w:lang w:val="en-US"/>
        </w:rPr>
        <w:t>eq_siar</w:t>
      </w:r>
      <w:proofErr w:type="spellEnd"/>
      <w:r w:rsidR="00A009BE" w:rsidRPr="003875F5">
        <w:rPr>
          <w:rFonts w:ascii="Times New Roman" w:hAnsi="Times New Roman" w:cs="Times New Roman"/>
          <w:sz w:val="24"/>
          <w:szCs w:val="24"/>
          <w:lang w:val="en-US"/>
        </w:rPr>
        <w:t xml:space="preserve"> 2008</w:t>
      </w:r>
      <w:r w:rsidR="00B8009F" w:rsidRPr="003875F5">
        <w:rPr>
          <w:rFonts w:ascii="Times New Roman" w:hAnsi="Times New Roman" w:cs="Times New Roman"/>
          <w:sz w:val="24"/>
          <w:szCs w:val="24"/>
          <w:lang w:val="en-US"/>
        </w:rPr>
        <w:t>-2010</w:t>
      </w:r>
      <w:r w:rsidRPr="003875F5">
        <w:rPr>
          <w:rFonts w:ascii="Times New Roman" w:hAnsi="Times New Roman" w:cs="Times New Roman"/>
          <w:sz w:val="24"/>
          <w:szCs w:val="24"/>
          <w:lang w:val="en-US"/>
        </w:rPr>
        <w:t xml:space="preserve"> rule 12 was applied</w:t>
      </w:r>
      <w:r w:rsidR="00A009BE" w:rsidRPr="003875F5">
        <w:rPr>
          <w:rFonts w:ascii="Times New Roman" w:hAnsi="Times New Roman" w:cs="Times New Roman"/>
          <w:sz w:val="24"/>
          <w:szCs w:val="24"/>
          <w:lang w:val="en-US"/>
        </w:rPr>
        <w:t xml:space="preserve"> –In 2006 and 2007, rule 3(i) was applied</w:t>
      </w:r>
      <w:r w:rsidR="00B42218" w:rsidRPr="003875F5">
        <w:rPr>
          <w:rFonts w:ascii="Times New Roman" w:hAnsi="Times New Roman" w:cs="Times New Roman"/>
          <w:sz w:val="24"/>
          <w:szCs w:val="24"/>
          <w:lang w:val="en-US"/>
        </w:rPr>
        <w:t xml:space="preserve"> which implies ones in coding</w:t>
      </w:r>
      <w:r w:rsidR="00A009BE" w:rsidRPr="003875F5">
        <w:rPr>
          <w:rFonts w:ascii="Times New Roman" w:hAnsi="Times New Roman" w:cs="Times New Roman"/>
          <w:sz w:val="24"/>
          <w:szCs w:val="24"/>
          <w:lang w:val="en-US"/>
        </w:rPr>
        <w:t xml:space="preserve">–. </w:t>
      </w:r>
    </w:p>
    <w:p w:rsidR="00B8009F" w:rsidRPr="003875F5" w:rsidRDefault="00B8009F"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00E213F0" w:rsidRPr="003875F5">
        <w:rPr>
          <w:rFonts w:ascii="Times New Roman" w:hAnsi="Times New Roman" w:cs="Times New Roman"/>
          <w:sz w:val="24"/>
          <w:szCs w:val="24"/>
          <w:lang w:val="en-US"/>
        </w:rPr>
        <w:t xml:space="preserve"> 2012</w:t>
      </w:r>
      <w:r w:rsidRPr="003875F5">
        <w:rPr>
          <w:rFonts w:ascii="Times New Roman" w:hAnsi="Times New Roman" w:cs="Times New Roman"/>
          <w:sz w:val="24"/>
          <w:szCs w:val="24"/>
          <w:lang w:val="en-US"/>
        </w:rPr>
        <w:t xml:space="preserve">, although the narrative referred to in (ii) remained unchanged, nonetheless, the following was added: </w:t>
      </w:r>
      <w:r w:rsidR="00D41B00" w:rsidRPr="003875F5">
        <w:rPr>
          <w:rFonts w:ascii="Times New Roman" w:hAnsi="Times New Roman" w:cs="Times New Roman"/>
          <w:sz w:val="24"/>
          <w:szCs w:val="24"/>
          <w:lang w:val="en-US"/>
        </w:rPr>
        <w:t>“If Australian issuers have determined that it would not be reasonable to make an offer of securities to nonresidents, nonresidents may receive cash instead of securities.” Although this is not explicitly addressed by any rule, we considered it to be a control, since Australian issuers might choose not to offer</w:t>
      </w:r>
      <w:r w:rsidR="00C25E0A" w:rsidRPr="003875F5">
        <w:rPr>
          <w:rFonts w:ascii="Times New Roman" w:hAnsi="Times New Roman" w:cs="Times New Roman"/>
          <w:sz w:val="24"/>
          <w:szCs w:val="24"/>
          <w:lang w:val="en-US"/>
        </w:rPr>
        <w:t xml:space="preserve"> securities in virtue of the Corporations Act of 2001</w:t>
      </w:r>
      <w:r w:rsidR="00B572DB" w:rsidRPr="003875F5">
        <w:rPr>
          <w:rFonts w:ascii="Times New Roman" w:hAnsi="Times New Roman" w:cs="Times New Roman"/>
          <w:sz w:val="24"/>
          <w:szCs w:val="24"/>
          <w:lang w:val="en-US"/>
        </w:rPr>
        <w:t>.</w:t>
      </w:r>
      <w:r w:rsidR="00D41B00" w:rsidRPr="003875F5">
        <w:rPr>
          <w:rFonts w:ascii="Times New Roman" w:hAnsi="Times New Roman" w:cs="Times New Roman"/>
          <w:sz w:val="24"/>
          <w:szCs w:val="24"/>
          <w:lang w:val="en-US"/>
        </w:rPr>
        <w:t xml:space="preserve"> This rationale also applies to </w:t>
      </w:r>
      <w:proofErr w:type="spellStart"/>
      <w:r w:rsidR="00D41B00" w:rsidRPr="003875F5">
        <w:rPr>
          <w:rFonts w:ascii="Times New Roman" w:hAnsi="Times New Roman" w:cs="Times New Roman"/>
          <w:sz w:val="24"/>
          <w:szCs w:val="24"/>
          <w:lang w:val="en-US"/>
        </w:rPr>
        <w:t>ci_plbn</w:t>
      </w:r>
      <w:proofErr w:type="spellEnd"/>
      <w:r w:rsidR="00D41B00" w:rsidRPr="003875F5">
        <w:rPr>
          <w:rFonts w:ascii="Times New Roman" w:hAnsi="Times New Roman" w:cs="Times New Roman"/>
          <w:sz w:val="24"/>
          <w:szCs w:val="24"/>
          <w:lang w:val="en-US"/>
        </w:rPr>
        <w:t xml:space="preserve"> 2012.</w:t>
      </w:r>
    </w:p>
    <w:p w:rsidR="002510AA" w:rsidRPr="003875F5" w:rsidRDefault="002510AA"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eq_siar</w:t>
      </w:r>
      <w:proofErr w:type="spellEnd"/>
      <w:r w:rsidRPr="003875F5">
        <w:rPr>
          <w:rFonts w:ascii="Times New Roman" w:hAnsi="Times New Roman" w:cs="Times New Roman"/>
          <w:sz w:val="24"/>
          <w:szCs w:val="24"/>
          <w:lang w:val="en-US"/>
        </w:rPr>
        <w:t xml:space="preserve"> 2012, the narrative disappears. The second column is no. Pursuant rule 3(i), this is interpreted as a 0.</w:t>
      </w:r>
    </w:p>
    <w:p w:rsidR="0085235A" w:rsidRPr="003875F5" w:rsidRDefault="00CC21E5" w:rsidP="00310CA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bo_siln</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mm_siln</w:t>
      </w:r>
      <w:proofErr w:type="spellEnd"/>
      <w:r w:rsidRPr="003875F5">
        <w:rPr>
          <w:rFonts w:ascii="Times New Roman" w:hAnsi="Times New Roman" w:cs="Times New Roman"/>
          <w:sz w:val="24"/>
          <w:szCs w:val="24"/>
          <w:lang w:val="en-US"/>
        </w:rPr>
        <w:t xml:space="preserve"> 2005-2006</w:t>
      </w:r>
      <w:r w:rsidR="00310CA7" w:rsidRPr="003875F5">
        <w:rPr>
          <w:rFonts w:ascii="Times New Roman" w:hAnsi="Times New Roman" w:cs="Times New Roman"/>
          <w:sz w:val="24"/>
          <w:szCs w:val="24"/>
          <w:lang w:val="en-US"/>
        </w:rPr>
        <w:t xml:space="preserve"> the following appears: “</w:t>
      </w:r>
      <w:r w:rsidR="00310CA7" w:rsidRPr="003875F5">
        <w:rPr>
          <w:rFonts w:ascii="Times New Roman" w:hAnsi="Times New Roman" w:cs="Times New Roman"/>
          <w:i/>
          <w:sz w:val="24"/>
          <w:szCs w:val="24"/>
          <w:lang w:val="en-US"/>
        </w:rPr>
        <w:t xml:space="preserve">Foreign governments, their agencies, and international organizations are not permitted to issue bearer securities and, when borrowing in the </w:t>
      </w:r>
      <w:r w:rsidR="00310CA7" w:rsidRPr="003875F5">
        <w:rPr>
          <w:rFonts w:ascii="Times New Roman" w:hAnsi="Times New Roman" w:cs="Times New Roman"/>
          <w:i/>
          <w:sz w:val="24"/>
          <w:szCs w:val="24"/>
          <w:lang w:val="en-US"/>
        </w:rPr>
        <w:lastRenderedPageBreak/>
        <w:t>Australian capital market, must advise the Australian authorities of the details of each transaction after its completion</w:t>
      </w:r>
      <w:r w:rsidR="00310CA7" w:rsidRPr="003875F5">
        <w:rPr>
          <w:rFonts w:ascii="Times New Roman" w:hAnsi="Times New Roman" w:cs="Times New Roman"/>
          <w:sz w:val="24"/>
          <w:szCs w:val="24"/>
          <w:lang w:val="en-US"/>
        </w:rPr>
        <w:t>.”</w:t>
      </w:r>
      <w:r w:rsidR="0085235A" w:rsidRPr="003875F5">
        <w:rPr>
          <w:rFonts w:ascii="Times New Roman" w:hAnsi="Times New Roman" w:cs="Times New Roman"/>
          <w:sz w:val="24"/>
          <w:szCs w:val="24"/>
          <w:lang w:val="en-US"/>
        </w:rPr>
        <w:t xml:space="preserve"> We believe that this might bear a significant impact, therefore, in accordance with rule 7(ii) it is considered a control.</w:t>
      </w:r>
    </w:p>
    <w:p w:rsidR="00CC21E5" w:rsidRPr="003875F5" w:rsidRDefault="00310CA7" w:rsidP="00310CA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2007-2008</w:t>
      </w:r>
      <w:r w:rsidR="0085235A" w:rsidRPr="003875F5">
        <w:rPr>
          <w:rFonts w:ascii="Times New Roman" w:hAnsi="Times New Roman" w:cs="Times New Roman"/>
          <w:sz w:val="24"/>
          <w:szCs w:val="24"/>
          <w:lang w:val="en-US"/>
        </w:rPr>
        <w:t xml:space="preserve"> </w:t>
      </w:r>
      <w:proofErr w:type="spellStart"/>
      <w:r w:rsidR="0085235A" w:rsidRPr="003875F5">
        <w:rPr>
          <w:rFonts w:ascii="Times New Roman" w:hAnsi="Times New Roman" w:cs="Times New Roman"/>
          <w:sz w:val="24"/>
          <w:szCs w:val="24"/>
          <w:lang w:val="en-US"/>
        </w:rPr>
        <w:t>bo_siln</w:t>
      </w:r>
      <w:proofErr w:type="spellEnd"/>
      <w:r w:rsidR="0085235A" w:rsidRPr="003875F5">
        <w:rPr>
          <w:rFonts w:ascii="Times New Roman" w:hAnsi="Times New Roman" w:cs="Times New Roman"/>
          <w:sz w:val="24"/>
          <w:szCs w:val="24"/>
          <w:lang w:val="en-US"/>
        </w:rPr>
        <w:t xml:space="preserve"> and </w:t>
      </w:r>
      <w:proofErr w:type="spellStart"/>
      <w:r w:rsidR="0085235A" w:rsidRPr="003875F5">
        <w:rPr>
          <w:rFonts w:ascii="Times New Roman" w:hAnsi="Times New Roman" w:cs="Times New Roman"/>
          <w:sz w:val="24"/>
          <w:szCs w:val="24"/>
          <w:lang w:val="en-US"/>
        </w:rPr>
        <w:t>mm_siln</w:t>
      </w:r>
      <w:proofErr w:type="spellEnd"/>
      <w:r w:rsidRPr="003875F5">
        <w:rPr>
          <w:rFonts w:ascii="Times New Roman" w:hAnsi="Times New Roman" w:cs="Times New Roman"/>
          <w:sz w:val="24"/>
          <w:szCs w:val="24"/>
          <w:lang w:val="en-US"/>
        </w:rPr>
        <w:t xml:space="preserve"> a third sentence is added: “</w:t>
      </w:r>
      <w:r w:rsidRPr="003875F5">
        <w:rPr>
          <w:rFonts w:ascii="Times New Roman" w:hAnsi="Times New Roman" w:cs="Times New Roman"/>
          <w:i/>
          <w:sz w:val="24"/>
          <w:szCs w:val="24"/>
          <w:lang w:val="en-US"/>
        </w:rPr>
        <w:t xml:space="preserve">Offering debentures in Australia and providing financial services in relation to debentures by residents or nonresidents are subject to </w:t>
      </w:r>
      <w:proofErr w:type="spellStart"/>
      <w:r w:rsidRPr="003875F5">
        <w:rPr>
          <w:rFonts w:ascii="Times New Roman" w:hAnsi="Times New Roman" w:cs="Times New Roman"/>
          <w:i/>
          <w:sz w:val="24"/>
          <w:szCs w:val="24"/>
          <w:lang w:val="en-US"/>
        </w:rPr>
        <w:t>Ch</w:t>
      </w:r>
      <w:proofErr w:type="spellEnd"/>
      <w:r w:rsidRPr="003875F5">
        <w:rPr>
          <w:rFonts w:ascii="Times New Roman" w:hAnsi="Times New Roman" w:cs="Times New Roman"/>
          <w:i/>
          <w:sz w:val="24"/>
          <w:szCs w:val="24"/>
          <w:lang w:val="en-US"/>
        </w:rPr>
        <w:t xml:space="preserve"> 6D of the Corporations Act</w:t>
      </w:r>
      <w:r w:rsidRPr="003875F5">
        <w:rPr>
          <w:rFonts w:ascii="Times New Roman" w:hAnsi="Times New Roman" w:cs="Times New Roman"/>
          <w:sz w:val="24"/>
          <w:szCs w:val="24"/>
          <w:lang w:val="en-US"/>
        </w:rPr>
        <w:t>.”</w:t>
      </w:r>
      <w:r w:rsidR="0085235A" w:rsidRPr="003875F5">
        <w:rPr>
          <w:rFonts w:ascii="Times New Roman" w:hAnsi="Times New Roman" w:cs="Times New Roman"/>
          <w:sz w:val="24"/>
          <w:szCs w:val="24"/>
          <w:lang w:val="en-US"/>
        </w:rPr>
        <w:t xml:space="preserve"> Our coding was supported further by the Corporations Act, since</w:t>
      </w:r>
      <w:r w:rsidRPr="003875F5">
        <w:rPr>
          <w:rFonts w:ascii="Times New Roman" w:hAnsi="Times New Roman" w:cs="Times New Roman"/>
          <w:sz w:val="24"/>
          <w:szCs w:val="24"/>
          <w:lang w:val="en-US"/>
        </w:rPr>
        <w:t xml:space="preserve"> we have equated allusion to specific regulation with control.</w:t>
      </w:r>
    </w:p>
    <w:p w:rsidR="003963CD" w:rsidRPr="003875F5" w:rsidRDefault="00563D9C" w:rsidP="00B252C6">
      <w:pPr>
        <w:pStyle w:val="Estilo2"/>
      </w:pPr>
      <w:bookmarkStart w:id="9" w:name="_Toc402472308"/>
      <w:r w:rsidRPr="003875F5">
        <w:t>Austria</w:t>
      </w:r>
      <w:bookmarkEnd w:id="9"/>
    </w:p>
    <w:p w:rsidR="003963CD" w:rsidRPr="003875F5" w:rsidRDefault="003963CD" w:rsidP="0056662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ci_pabr</w:t>
      </w:r>
      <w:proofErr w:type="spellEnd"/>
      <w:r w:rsidRPr="003875F5">
        <w:rPr>
          <w:rFonts w:ascii="Times New Roman" w:hAnsi="Times New Roman" w:cs="Times New Roman"/>
          <w:sz w:val="24"/>
          <w:szCs w:val="24"/>
          <w:lang w:val="en-US"/>
        </w:rPr>
        <w:t xml:space="preserve"> M. Schindler identified a change in the regime in 2005 that we followed all through the following years: “</w:t>
      </w:r>
      <w:r w:rsidRPr="003875F5">
        <w:rPr>
          <w:rFonts w:ascii="Times New Roman" w:hAnsi="Times New Roman" w:cs="Times New Roman"/>
          <w:i/>
          <w:sz w:val="24"/>
          <w:szCs w:val="24"/>
          <w:lang w:val="en-US"/>
        </w:rPr>
        <w:t>Controls apply to assets not denominated in euros by a private pension fund that would cause its total assets not denominated in euros to exceed 30% of its total assets. If the exchange risk is eliminated by hedging transactions, these investments may be counted as euro-denominated investments</w:t>
      </w:r>
      <w:r w:rsidRPr="003875F5">
        <w:rPr>
          <w:rFonts w:ascii="Times New Roman" w:hAnsi="Times New Roman" w:cs="Times New Roman"/>
          <w:sz w:val="24"/>
          <w:szCs w:val="24"/>
          <w:lang w:val="en-US"/>
        </w:rPr>
        <w:t xml:space="preserve">.” We consider that a restriction on pension funds has the potential to bear a significant macro impact. Please note that in 2010 there is only reference to the insurance sector (therefore coded with zeros). </w:t>
      </w:r>
    </w:p>
    <w:p w:rsidR="003963CD" w:rsidRPr="003875F5" w:rsidRDefault="00E34D7F" w:rsidP="00A91884">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2005</w:t>
      </w:r>
      <w:r w:rsidR="008B077F" w:rsidRPr="003875F5">
        <w:rPr>
          <w:rFonts w:ascii="Times New Roman" w:hAnsi="Times New Roman" w:cs="Times New Roman"/>
          <w:sz w:val="24"/>
          <w:szCs w:val="24"/>
          <w:lang w:val="en-US"/>
        </w:rPr>
        <w:t>-2009</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Controls apply to purchase of derivatives and other instruments and claims not denominated in euros by a private pension fund that would cause its total assets not denominated in euros to exceed 30% of its total assets. If the exchange risk is eliminated by hedging transactions, these investments may be attributed to the euro-denominated investments.</w:t>
      </w:r>
      <w:r w:rsidRPr="003875F5">
        <w:rPr>
          <w:rFonts w:ascii="Times New Roman" w:hAnsi="Times New Roman" w:cs="Times New Roman"/>
          <w:sz w:val="24"/>
          <w:szCs w:val="24"/>
          <w:lang w:val="en-US"/>
        </w:rPr>
        <w:t xml:space="preserve">” </w:t>
      </w:r>
      <w:r w:rsidR="003963CD" w:rsidRPr="003875F5">
        <w:rPr>
          <w:rFonts w:ascii="Times New Roman" w:hAnsi="Times New Roman" w:cs="Times New Roman"/>
          <w:sz w:val="24"/>
          <w:szCs w:val="24"/>
          <w:lang w:val="en-US"/>
        </w:rPr>
        <w:t>Same reason as above, that is, a restriction on pension funds might have important macroeconomic effects</w:t>
      </w:r>
      <w:r w:rsidRPr="003875F5">
        <w:rPr>
          <w:rFonts w:ascii="Times New Roman" w:hAnsi="Times New Roman" w:cs="Times New Roman"/>
          <w:sz w:val="24"/>
          <w:szCs w:val="24"/>
          <w:lang w:val="en-US"/>
        </w:rPr>
        <w:t>.</w:t>
      </w:r>
    </w:p>
    <w:p w:rsidR="00AD7EB8" w:rsidRPr="003875F5" w:rsidRDefault="00AD7EB8" w:rsidP="00A91884">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fco</w:t>
      </w:r>
      <w:proofErr w:type="spellEnd"/>
      <w:r w:rsidR="002E74B8" w:rsidRPr="003875F5">
        <w:rPr>
          <w:rFonts w:ascii="Times New Roman" w:hAnsi="Times New Roman" w:cs="Times New Roman"/>
          <w:sz w:val="24"/>
          <w:szCs w:val="24"/>
          <w:lang w:val="en-US"/>
        </w:rPr>
        <w:t xml:space="preserve"> 2010: “</w:t>
      </w:r>
      <w:r w:rsidR="002E74B8" w:rsidRPr="003875F5">
        <w:rPr>
          <w:rFonts w:ascii="Times New Roman" w:hAnsi="Times New Roman" w:cs="Times New Roman"/>
          <w:i/>
          <w:sz w:val="24"/>
          <w:szCs w:val="24"/>
          <w:lang w:val="en-US"/>
        </w:rPr>
        <w:t>Controls apply to the loans granted to (1) nonresidents, or for which the designated collateral is located abroad, if the asset in question is to form part of the guarantee funds of a local branch of a non-EU insurance company established in Austria; and (2) residents outside the EU, or for which the designated collateral is located outside the EU, if the asset in question is to form part of the cover of the prescribed solvency margin for the local branch of a non-EU insurance company established in Austria or is to form part of the cover of the technical provisions of resident insurance companies</w:t>
      </w:r>
      <w:r w:rsidR="002E74B8" w:rsidRPr="003875F5">
        <w:rPr>
          <w:rFonts w:ascii="Times New Roman" w:hAnsi="Times New Roman" w:cs="Times New Roman"/>
          <w:sz w:val="24"/>
          <w:szCs w:val="24"/>
          <w:lang w:val="en-US"/>
        </w:rPr>
        <w:t>.” In 2011-2012 a third sentence is added: “</w:t>
      </w:r>
      <w:r w:rsidR="002E74B8" w:rsidRPr="003875F5">
        <w:rPr>
          <w:rFonts w:ascii="Times New Roman" w:hAnsi="Times New Roman" w:cs="Times New Roman"/>
          <w:i/>
          <w:sz w:val="24"/>
          <w:szCs w:val="24"/>
          <w:lang w:val="en-US"/>
        </w:rPr>
        <w:t>and (3) in currencies other than euros by private pension funds that would cause its total assets not denominated in euros to exceed 50% of its total assets</w:t>
      </w:r>
      <w:r w:rsidR="002E74B8" w:rsidRPr="003875F5">
        <w:rPr>
          <w:rFonts w:ascii="Times New Roman" w:hAnsi="Times New Roman" w:cs="Times New Roman"/>
          <w:sz w:val="24"/>
          <w:szCs w:val="24"/>
          <w:lang w:val="en-US"/>
        </w:rPr>
        <w:t>.”</w:t>
      </w:r>
      <w:r w:rsidR="00106772" w:rsidRPr="003875F5">
        <w:rPr>
          <w:rFonts w:ascii="Times New Roman" w:hAnsi="Times New Roman" w:cs="Times New Roman"/>
          <w:sz w:val="24"/>
          <w:szCs w:val="24"/>
          <w:lang w:val="en-US"/>
        </w:rPr>
        <w:t xml:space="preserve"> </w:t>
      </w:r>
      <w:r w:rsidR="003963CD" w:rsidRPr="003875F5">
        <w:rPr>
          <w:rFonts w:ascii="Times New Roman" w:hAnsi="Times New Roman" w:cs="Times New Roman"/>
          <w:sz w:val="24"/>
          <w:szCs w:val="24"/>
          <w:lang w:val="en-US"/>
        </w:rPr>
        <w:t>It must be noted that we take the stand that restrictions on insurance companies do not have a significant impact, whereas a restriction on pension funds does.</w:t>
      </w:r>
    </w:p>
    <w:p w:rsidR="00FF0E0C" w:rsidRPr="003875F5" w:rsidRDefault="00FF0E0C" w:rsidP="00B252C6">
      <w:pPr>
        <w:pStyle w:val="Estilo2"/>
      </w:pPr>
      <w:bookmarkStart w:id="10" w:name="_Toc402472309"/>
      <w:r w:rsidRPr="003875F5">
        <w:lastRenderedPageBreak/>
        <w:t>Bahrain</w:t>
      </w:r>
      <w:bookmarkEnd w:id="10"/>
    </w:p>
    <w:p w:rsidR="00FF0E0C" w:rsidRPr="003875F5" w:rsidRDefault="00FF0E0C"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For money market in 2007, there were </w:t>
      </w:r>
      <w:proofErr w:type="spellStart"/>
      <w:proofErr w:type="gramStart"/>
      <w:r w:rsidRPr="003875F5">
        <w:rPr>
          <w:rFonts w:ascii="Times New Roman" w:hAnsi="Times New Roman" w:cs="Times New Roman"/>
          <w:sz w:val="24"/>
          <w:szCs w:val="24"/>
          <w:lang w:val="en-US"/>
        </w:rPr>
        <w:t>n.a</w:t>
      </w:r>
      <w:proofErr w:type="gramEnd"/>
      <w:r w:rsidRPr="003875F5">
        <w:rPr>
          <w:rFonts w:ascii="Times New Roman" w:hAnsi="Times New Roman" w:cs="Times New Roman"/>
          <w:sz w:val="24"/>
          <w:szCs w:val="24"/>
          <w:lang w:val="en-US"/>
        </w:rPr>
        <w:t>.’s</w:t>
      </w:r>
      <w:proofErr w:type="spellEnd"/>
      <w:r w:rsidRPr="003875F5">
        <w:rPr>
          <w:rFonts w:ascii="Times New Roman" w:hAnsi="Times New Roman" w:cs="Times New Roman"/>
          <w:sz w:val="24"/>
          <w:szCs w:val="24"/>
          <w:lang w:val="en-US"/>
        </w:rPr>
        <w:t xml:space="preserve"> in all subcategories which we decided to set as 1s equal to the year before, given that there were no changes recorded in “changes”. But this is a pending decision based on what</w:t>
      </w:r>
      <w:r w:rsidR="00A26BAF" w:rsidRPr="003875F5">
        <w:rPr>
          <w:rFonts w:ascii="Times New Roman" w:hAnsi="Times New Roman" w:cs="Times New Roman"/>
          <w:sz w:val="24"/>
          <w:szCs w:val="24"/>
          <w:lang w:val="en-US"/>
        </w:rPr>
        <w:t xml:space="preserve"> we decide to do with these </w:t>
      </w:r>
      <w:proofErr w:type="spellStart"/>
      <w:r w:rsidR="00A26BAF" w:rsidRPr="003875F5">
        <w:rPr>
          <w:rFonts w:ascii="Times New Roman" w:hAnsi="Times New Roman" w:cs="Times New Roman"/>
          <w:sz w:val="24"/>
          <w:szCs w:val="24"/>
          <w:lang w:val="en-US"/>
        </w:rPr>
        <w:t>n.a’</w:t>
      </w:r>
      <w:r w:rsidRPr="003875F5">
        <w:rPr>
          <w:rFonts w:ascii="Times New Roman" w:hAnsi="Times New Roman" w:cs="Times New Roman"/>
          <w:sz w:val="24"/>
          <w:szCs w:val="24"/>
          <w:lang w:val="en-US"/>
        </w:rPr>
        <w:t>s</w:t>
      </w:r>
      <w:proofErr w:type="spellEnd"/>
      <w:r w:rsidR="001023AF" w:rsidRPr="003875F5">
        <w:rPr>
          <w:rFonts w:ascii="Times New Roman" w:hAnsi="Times New Roman" w:cs="Times New Roman"/>
          <w:sz w:val="24"/>
          <w:szCs w:val="24"/>
          <w:lang w:val="en-US"/>
        </w:rPr>
        <w:t xml:space="preserve"> </w:t>
      </w:r>
    </w:p>
    <w:p w:rsidR="00FF0E0C" w:rsidRPr="003875F5" w:rsidRDefault="00FF0E0C"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Starting in 2007 in </w:t>
      </w:r>
      <w:proofErr w:type="spellStart"/>
      <w:r w:rsidRPr="003875F5">
        <w:rPr>
          <w:rFonts w:ascii="Times New Roman" w:hAnsi="Times New Roman" w:cs="Times New Roman"/>
          <w:sz w:val="24"/>
          <w:szCs w:val="24"/>
          <w:lang w:val="en-US"/>
        </w:rPr>
        <w:t>eq_siar</w:t>
      </w:r>
      <w:proofErr w:type="spellEnd"/>
      <w:r w:rsidRPr="003875F5">
        <w:rPr>
          <w:rFonts w:ascii="Times New Roman" w:hAnsi="Times New Roman" w:cs="Times New Roman"/>
          <w:sz w:val="24"/>
          <w:szCs w:val="24"/>
          <w:lang w:val="en-US"/>
        </w:rPr>
        <w:t xml:space="preserve"> we started seeing the allusion that authorities “</w:t>
      </w:r>
      <w:r w:rsidRPr="003875F5">
        <w:rPr>
          <w:rFonts w:ascii="Times New Roman" w:hAnsi="Times New Roman" w:cs="Times New Roman"/>
          <w:i/>
          <w:sz w:val="24"/>
          <w:szCs w:val="24"/>
          <w:lang w:val="en-US"/>
        </w:rPr>
        <w:t>may object</w:t>
      </w:r>
      <w:r w:rsidRPr="003875F5">
        <w:rPr>
          <w:rFonts w:ascii="Times New Roman" w:hAnsi="Times New Roman" w:cs="Times New Roman"/>
          <w:sz w:val="24"/>
          <w:szCs w:val="24"/>
          <w:lang w:val="en-US"/>
        </w:rPr>
        <w:t>” which we from now onwards will equate to a control as it sounds very similar to authorization.</w:t>
      </w:r>
    </w:p>
    <w:p w:rsidR="001023AF" w:rsidRPr="003875F5" w:rsidRDefault="001023AF" w:rsidP="001023A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dii 2005</w:t>
      </w:r>
      <w:r w:rsidR="00A91884"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GCC nationals are allowed to own up to 100% of the shares of domestic enterprises. Non-GCC nationals are allowed to own up to 100% of the shares of domestic (locally incorporated) companies and branches of foreign incorporated companies, with the exception of a small number of activities contained in the “negative list,” and those restrictions that apply to the ownership of publicly listed companies. Disclosure standards require listed companies to notify the BMA of developments or changes in their paid-up capital, including (1) when one holder’s ownership of the issued and paid-up capital reaches 5% or more, (2) when ownership reaches 10% or more (this requires prior BMA approval), or (3) when ownership reaches 10% or more and the holder wishes to purchase more shares (this also requires prior approval and is subject to a limit of 20%).</w:t>
      </w:r>
      <w:r w:rsidRPr="003875F5">
        <w:rPr>
          <w:rFonts w:ascii="Times New Roman" w:hAnsi="Times New Roman" w:cs="Times New Roman"/>
          <w:sz w:val="24"/>
          <w:szCs w:val="24"/>
          <w:lang w:val="en-US"/>
        </w:rPr>
        <w:t>” This must be considered as a control, pursuant rules 5 and 6</w:t>
      </w:r>
      <w:r w:rsidR="00A91884" w:rsidRPr="003875F5">
        <w:rPr>
          <w:rFonts w:ascii="Times New Roman" w:hAnsi="Times New Roman" w:cs="Times New Roman"/>
          <w:sz w:val="24"/>
          <w:szCs w:val="24"/>
          <w:lang w:val="en-US"/>
        </w:rPr>
        <w:t xml:space="preserve"> and the second sentence of rule 7(i)</w:t>
      </w:r>
      <w:r w:rsidRPr="003875F5">
        <w:rPr>
          <w:rFonts w:ascii="Times New Roman" w:hAnsi="Times New Roman" w:cs="Times New Roman"/>
          <w:sz w:val="24"/>
          <w:szCs w:val="24"/>
          <w:lang w:val="en-US"/>
        </w:rPr>
        <w:t>.</w:t>
      </w:r>
      <w:r w:rsidR="00C62009" w:rsidRPr="003875F5">
        <w:rPr>
          <w:rFonts w:ascii="Times New Roman" w:hAnsi="Times New Roman" w:cs="Times New Roman"/>
          <w:sz w:val="24"/>
          <w:szCs w:val="24"/>
          <w:lang w:val="en-US"/>
        </w:rPr>
        <w:t xml:space="preserve"> </w:t>
      </w:r>
    </w:p>
    <w:p w:rsidR="00D22A79" w:rsidRPr="003875F5" w:rsidRDefault="00D22A79" w:rsidP="001023A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We change Schindler’s original coding in </w:t>
      </w:r>
      <w:proofErr w:type="spellStart"/>
      <w:r w:rsidRPr="003875F5">
        <w:rPr>
          <w:rFonts w:ascii="Times New Roman" w:hAnsi="Times New Roman" w:cs="Times New Roman"/>
          <w:sz w:val="24"/>
          <w:szCs w:val="24"/>
          <w:lang w:val="en-US"/>
        </w:rPr>
        <w:t>bo_plbn</w:t>
      </w:r>
      <w:proofErr w:type="spellEnd"/>
      <w:r w:rsidRPr="003875F5">
        <w:rPr>
          <w:rFonts w:ascii="Times New Roman" w:hAnsi="Times New Roman" w:cs="Times New Roman"/>
          <w:sz w:val="24"/>
          <w:szCs w:val="24"/>
          <w:lang w:val="en-US"/>
        </w:rPr>
        <w:t xml:space="preserve"> 2004-2005, since there is no narrative and there is only a “</w:t>
      </w:r>
      <w:r w:rsidRPr="003875F5">
        <w:rPr>
          <w:rFonts w:ascii="Times New Roman" w:hAnsi="Times New Roman" w:cs="Times New Roman"/>
          <w:i/>
          <w:sz w:val="24"/>
          <w:szCs w:val="24"/>
          <w:lang w:val="en-US"/>
        </w:rPr>
        <w:t>no</w:t>
      </w:r>
      <w:r w:rsidRPr="003875F5">
        <w:rPr>
          <w:rFonts w:ascii="Times New Roman" w:hAnsi="Times New Roman" w:cs="Times New Roman"/>
          <w:sz w:val="24"/>
          <w:szCs w:val="24"/>
          <w:lang w:val="en-US"/>
        </w:rPr>
        <w:t>” in the second column, pursuant rule 3(i).</w:t>
      </w:r>
    </w:p>
    <w:p w:rsidR="00924B28" w:rsidRPr="003875F5" w:rsidRDefault="00AB4637" w:rsidP="00B252C6">
      <w:pPr>
        <w:pStyle w:val="Estilo2"/>
      </w:pPr>
      <w:bookmarkStart w:id="11" w:name="_Toc402472310"/>
      <w:r w:rsidRPr="003875F5">
        <w:t>Bangladesh</w:t>
      </w:r>
      <w:bookmarkEnd w:id="11"/>
    </w:p>
    <w:p w:rsidR="002D36ED" w:rsidRPr="003875F5" w:rsidRDefault="00D32827"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For years 2009-2012</w:t>
      </w:r>
      <w:r w:rsidR="003C044E" w:rsidRPr="003875F5">
        <w:rPr>
          <w:rFonts w:ascii="Times New Roman" w:hAnsi="Times New Roman" w:cs="Times New Roman"/>
          <w:sz w:val="24"/>
          <w:szCs w:val="24"/>
          <w:lang w:val="en-US"/>
        </w:rPr>
        <w:t xml:space="preserve">, in </w:t>
      </w:r>
      <w:proofErr w:type="spellStart"/>
      <w:r w:rsidR="003C044E" w:rsidRPr="003875F5">
        <w:rPr>
          <w:rFonts w:ascii="Times New Roman" w:hAnsi="Times New Roman" w:cs="Times New Roman"/>
          <w:sz w:val="24"/>
          <w:szCs w:val="24"/>
          <w:lang w:val="en-US"/>
        </w:rPr>
        <w:t>bo_plbn</w:t>
      </w:r>
      <w:proofErr w:type="spellEnd"/>
      <w:r w:rsidR="003C044E" w:rsidRPr="003875F5">
        <w:rPr>
          <w:rFonts w:ascii="Times New Roman" w:hAnsi="Times New Roman" w:cs="Times New Roman"/>
          <w:sz w:val="24"/>
          <w:szCs w:val="24"/>
          <w:lang w:val="en-US"/>
        </w:rPr>
        <w:t xml:space="preserve">, we decided to put a control as it was alluding to the fact that nonresidents may buy </w:t>
      </w:r>
      <w:proofErr w:type="spellStart"/>
      <w:r w:rsidR="003C044E" w:rsidRPr="003875F5">
        <w:rPr>
          <w:rFonts w:ascii="Times New Roman" w:hAnsi="Times New Roman" w:cs="Times New Roman"/>
          <w:sz w:val="24"/>
          <w:szCs w:val="24"/>
          <w:lang w:val="en-US"/>
        </w:rPr>
        <w:t>gov</w:t>
      </w:r>
      <w:proofErr w:type="spellEnd"/>
      <w:r w:rsidR="003C044E" w:rsidRPr="003875F5">
        <w:rPr>
          <w:rFonts w:ascii="Times New Roman" w:hAnsi="Times New Roman" w:cs="Times New Roman"/>
          <w:sz w:val="24"/>
          <w:szCs w:val="24"/>
          <w:lang w:val="en-US"/>
        </w:rPr>
        <w:t>-issued treasury bonds and “two” other foreign-currency denominated bonds. This “two” is a quantity restriction which we take as a control</w:t>
      </w:r>
      <w:r w:rsidR="009A3907" w:rsidRPr="003875F5">
        <w:rPr>
          <w:rFonts w:ascii="Times New Roman" w:hAnsi="Times New Roman" w:cs="Times New Roman"/>
          <w:sz w:val="24"/>
          <w:szCs w:val="24"/>
          <w:lang w:val="en-US"/>
        </w:rPr>
        <w:t>.</w:t>
      </w:r>
    </w:p>
    <w:p w:rsidR="009A3907" w:rsidRPr="003875F5" w:rsidRDefault="009A3907"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2004-2012 </w:t>
      </w:r>
      <w:proofErr w:type="spellStart"/>
      <w:r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the following narrative is present: “</w:t>
      </w:r>
      <w:r w:rsidRPr="003875F5">
        <w:rPr>
          <w:rFonts w:ascii="Times New Roman" w:hAnsi="Times New Roman" w:cs="Times New Roman"/>
          <w:i/>
          <w:sz w:val="24"/>
          <w:szCs w:val="24"/>
          <w:lang w:val="en-US"/>
        </w:rPr>
        <w:t xml:space="preserve">Liquidation of direct investment does not require prior BB approval. Also, </w:t>
      </w:r>
      <w:proofErr w:type="gramStart"/>
      <w:r w:rsidRPr="003875F5">
        <w:rPr>
          <w:rFonts w:ascii="Times New Roman" w:hAnsi="Times New Roman" w:cs="Times New Roman"/>
          <w:i/>
          <w:sz w:val="24"/>
          <w:szCs w:val="24"/>
          <w:lang w:val="en-US"/>
        </w:rPr>
        <w:t>transfers of Bangladesh shares and securities from one nonresident holder to another nonresident holder does</w:t>
      </w:r>
      <w:proofErr w:type="gramEnd"/>
      <w:r w:rsidRPr="003875F5">
        <w:rPr>
          <w:rFonts w:ascii="Times New Roman" w:hAnsi="Times New Roman" w:cs="Times New Roman"/>
          <w:i/>
          <w:sz w:val="24"/>
          <w:szCs w:val="24"/>
          <w:lang w:val="en-US"/>
        </w:rPr>
        <w:t xml:space="preserve"> </w:t>
      </w:r>
      <w:r w:rsidRPr="003875F5">
        <w:rPr>
          <w:rFonts w:ascii="Times New Roman" w:hAnsi="Times New Roman" w:cs="Times New Roman"/>
          <w:sz w:val="24"/>
          <w:szCs w:val="24"/>
          <w:lang w:val="en-US"/>
        </w:rPr>
        <w:t>(sic)</w:t>
      </w:r>
      <w:r w:rsidRPr="003875F5">
        <w:rPr>
          <w:rFonts w:ascii="Times New Roman" w:hAnsi="Times New Roman" w:cs="Times New Roman"/>
          <w:i/>
          <w:sz w:val="24"/>
          <w:szCs w:val="24"/>
          <w:lang w:val="en-US"/>
        </w:rPr>
        <w:t xml:space="preserve"> not require prior BB approval. However, proceeds from the disinvestment of nonresidents’ equity investments in unlisted public limited companies and in private limited companies may be repatriated with prior BB permission since there may not be any established market value for such investment at the time of disinvestments. When a nonresident liquidates investment through a sale to a resident investor, the net asset value of the shares of the company is used as the basis for calculating the repatriation of proceeds</w:t>
      </w:r>
      <w:r w:rsidRPr="003875F5">
        <w:rPr>
          <w:rFonts w:ascii="Times New Roman" w:hAnsi="Times New Roman" w:cs="Times New Roman"/>
          <w:sz w:val="24"/>
          <w:szCs w:val="24"/>
          <w:lang w:val="en-US"/>
        </w:rPr>
        <w:t>.” This is taken as a control</w:t>
      </w:r>
      <w:r w:rsidR="00CC60FB" w:rsidRPr="003875F5">
        <w:rPr>
          <w:rFonts w:ascii="Times New Roman" w:hAnsi="Times New Roman" w:cs="Times New Roman"/>
          <w:sz w:val="24"/>
          <w:szCs w:val="24"/>
          <w:lang w:val="en-US"/>
        </w:rPr>
        <w:t>, since there is a permission requirement.</w:t>
      </w:r>
      <w:r w:rsidRPr="003875F5">
        <w:rPr>
          <w:rFonts w:ascii="Times New Roman" w:hAnsi="Times New Roman" w:cs="Times New Roman"/>
          <w:sz w:val="24"/>
          <w:szCs w:val="24"/>
          <w:lang w:val="en-US"/>
        </w:rPr>
        <w:t xml:space="preserve"> </w:t>
      </w:r>
    </w:p>
    <w:p w:rsidR="009F67E9" w:rsidRPr="003875F5" w:rsidRDefault="00473E9D" w:rsidP="00E90DF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w:t>
      </w:r>
      <w:r w:rsidR="00AA17E6" w:rsidRPr="003875F5">
        <w:rPr>
          <w:rFonts w:ascii="Times New Roman" w:hAnsi="Times New Roman" w:cs="Times New Roman"/>
          <w:sz w:val="24"/>
          <w:szCs w:val="24"/>
          <w:lang w:val="en-US"/>
        </w:rPr>
        <w:t>1996</w:t>
      </w:r>
      <w:r w:rsidRPr="003875F5">
        <w:rPr>
          <w:rFonts w:ascii="Times New Roman" w:hAnsi="Times New Roman" w:cs="Times New Roman"/>
          <w:sz w:val="24"/>
          <w:szCs w:val="24"/>
          <w:lang w:val="en-US"/>
        </w:rPr>
        <w:t>-2012: “</w:t>
      </w:r>
      <w:r w:rsidRPr="003875F5">
        <w:rPr>
          <w:rFonts w:ascii="Times New Roman" w:hAnsi="Times New Roman" w:cs="Times New Roman"/>
          <w:i/>
          <w:sz w:val="24"/>
          <w:szCs w:val="24"/>
          <w:lang w:val="en-US"/>
        </w:rPr>
        <w:t>Nonresidents may buy Bangladesh securities through stock exchanges against payment in freely convertible currency remitted from abroad through banking channels</w:t>
      </w:r>
      <w:r w:rsidRPr="003875F5">
        <w:rPr>
          <w:rFonts w:ascii="Times New Roman" w:hAnsi="Times New Roman" w:cs="Times New Roman"/>
          <w:sz w:val="24"/>
          <w:szCs w:val="24"/>
          <w:lang w:val="en-US"/>
        </w:rPr>
        <w:t xml:space="preserve">” </w:t>
      </w:r>
      <w:r w:rsidR="00164879" w:rsidRPr="003875F5">
        <w:rPr>
          <w:rFonts w:ascii="Times New Roman" w:hAnsi="Times New Roman" w:cs="Times New Roman"/>
          <w:sz w:val="24"/>
          <w:szCs w:val="24"/>
          <w:lang w:val="en-US"/>
        </w:rPr>
        <w:t>This is not considered as a control.</w:t>
      </w:r>
    </w:p>
    <w:p w:rsidR="00A30014" w:rsidRPr="003875F5" w:rsidRDefault="009F67E9" w:rsidP="009F67E9">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re_pabr</w:t>
      </w:r>
      <w:proofErr w:type="spellEnd"/>
      <w:r w:rsidRPr="003875F5">
        <w:rPr>
          <w:rFonts w:ascii="Times New Roman" w:hAnsi="Times New Roman" w:cs="Times New Roman"/>
          <w:sz w:val="24"/>
          <w:szCs w:val="24"/>
          <w:lang w:val="en-US"/>
        </w:rPr>
        <w:t xml:space="preserve"> 1995</w:t>
      </w:r>
      <w:r w:rsidR="006A6816" w:rsidRPr="003875F5">
        <w:rPr>
          <w:rFonts w:ascii="Times New Roman" w:hAnsi="Times New Roman" w:cs="Times New Roman"/>
          <w:sz w:val="24"/>
          <w:szCs w:val="24"/>
          <w:lang w:val="en-US"/>
        </w:rPr>
        <w:t>, 1997</w:t>
      </w:r>
      <w:r w:rsidR="00EB0C4B"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Remittances of funds to acquire real estate abroad by resident nationals are not permitted</w:t>
      </w:r>
      <w:r w:rsidRPr="003875F5">
        <w:rPr>
          <w:rFonts w:ascii="Times New Roman" w:hAnsi="Times New Roman" w:cs="Times New Roman"/>
          <w:sz w:val="24"/>
          <w:szCs w:val="24"/>
          <w:lang w:val="en-US"/>
        </w:rPr>
        <w:t xml:space="preserve">.” </w:t>
      </w:r>
      <w:r w:rsidR="00E607F2" w:rsidRPr="003875F5">
        <w:rPr>
          <w:rFonts w:ascii="Times New Roman" w:hAnsi="Times New Roman" w:cs="Times New Roman"/>
          <w:sz w:val="24"/>
          <w:szCs w:val="24"/>
          <w:lang w:val="en-US"/>
        </w:rPr>
        <w:t>This is considered to be a control.</w:t>
      </w:r>
    </w:p>
    <w:p w:rsidR="00AA17E6" w:rsidRPr="003875F5" w:rsidRDefault="00A30014" w:rsidP="00A30014">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1995</w:t>
      </w:r>
      <w:r w:rsidR="006A6816" w:rsidRPr="003875F5">
        <w:rPr>
          <w:rFonts w:ascii="Times New Roman" w:hAnsi="Times New Roman" w:cs="Times New Roman"/>
          <w:sz w:val="24"/>
          <w:szCs w:val="24"/>
          <w:lang w:val="en-US"/>
        </w:rPr>
        <w:t>-</w:t>
      </w:r>
      <w:r w:rsidR="00EB0C4B"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Purchases of real estate by a nonresident with funds brought from abroad are free</w:t>
      </w:r>
      <w:r w:rsidR="00E607F2" w:rsidRPr="003875F5">
        <w:rPr>
          <w:rFonts w:ascii="Times New Roman" w:hAnsi="Times New Roman" w:cs="Times New Roman"/>
          <w:sz w:val="24"/>
          <w:szCs w:val="24"/>
          <w:lang w:val="en-US"/>
        </w:rPr>
        <w:t>.” This was coded with zeros.</w:t>
      </w:r>
    </w:p>
    <w:p w:rsidR="006A6816" w:rsidRPr="003875F5" w:rsidRDefault="006A6816" w:rsidP="006A681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gsi</w:t>
      </w:r>
      <w:proofErr w:type="spellEnd"/>
      <w:r w:rsidRPr="003875F5">
        <w:rPr>
          <w:rFonts w:ascii="Times New Roman" w:hAnsi="Times New Roman" w:cs="Times New Roman"/>
          <w:sz w:val="24"/>
          <w:szCs w:val="24"/>
          <w:lang w:val="en-US"/>
        </w:rPr>
        <w:t xml:space="preserve"> 1997</w:t>
      </w:r>
      <w:r w:rsidR="00EF0761"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Receipt of guarantees/sureties by residents from abroad requires full disclosure of the underlying transaction</w:t>
      </w:r>
      <w:r w:rsidRPr="003875F5">
        <w:rPr>
          <w:rFonts w:ascii="Times New Roman" w:hAnsi="Times New Roman" w:cs="Times New Roman"/>
          <w:sz w:val="24"/>
          <w:szCs w:val="24"/>
          <w:lang w:val="en-US"/>
        </w:rPr>
        <w:t xml:space="preserve">” </w:t>
      </w:r>
      <w:r w:rsidR="00E607F2" w:rsidRPr="003875F5">
        <w:rPr>
          <w:rFonts w:ascii="Times New Roman" w:hAnsi="Times New Roman" w:cs="Times New Roman"/>
          <w:sz w:val="24"/>
          <w:szCs w:val="24"/>
          <w:lang w:val="en-US"/>
        </w:rPr>
        <w:t>We believe</w:t>
      </w:r>
      <w:r w:rsidRPr="003875F5">
        <w:rPr>
          <w:rFonts w:ascii="Times New Roman" w:hAnsi="Times New Roman" w:cs="Times New Roman"/>
          <w:sz w:val="24"/>
          <w:szCs w:val="24"/>
          <w:lang w:val="en-US"/>
        </w:rPr>
        <w:t xml:space="preserve"> that t</w:t>
      </w:r>
      <w:r w:rsidR="00E607F2" w:rsidRPr="003875F5">
        <w:rPr>
          <w:rFonts w:ascii="Times New Roman" w:hAnsi="Times New Roman" w:cs="Times New Roman"/>
          <w:sz w:val="24"/>
          <w:szCs w:val="24"/>
          <w:lang w:val="en-US"/>
        </w:rPr>
        <w:t>his is a mere formality; thus, we</w:t>
      </w:r>
      <w:r w:rsidRPr="003875F5">
        <w:rPr>
          <w:rFonts w:ascii="Times New Roman" w:hAnsi="Times New Roman" w:cs="Times New Roman"/>
          <w:sz w:val="24"/>
          <w:szCs w:val="24"/>
          <w:lang w:val="en-US"/>
        </w:rPr>
        <w:t xml:space="preserve"> coded with zeros.</w:t>
      </w:r>
    </w:p>
    <w:p w:rsidR="00833666" w:rsidRPr="003875F5" w:rsidRDefault="00833666" w:rsidP="00B252C6">
      <w:pPr>
        <w:pStyle w:val="Estilo2"/>
      </w:pPr>
      <w:bookmarkStart w:id="12" w:name="_Toc402472311"/>
      <w:r w:rsidRPr="003875F5">
        <w:t>Belgium</w:t>
      </w:r>
      <w:bookmarkEnd w:id="12"/>
    </w:p>
    <w:p w:rsidR="003963CD" w:rsidRPr="003875F5" w:rsidRDefault="00833666" w:rsidP="0056662F">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2005</w:t>
      </w:r>
      <w:r w:rsidR="0080320A" w:rsidRPr="003875F5">
        <w:rPr>
          <w:rFonts w:ascii="Times New Roman" w:hAnsi="Times New Roman" w:cs="Times New Roman"/>
          <w:sz w:val="24"/>
          <w:szCs w:val="24"/>
          <w:lang w:val="en-US"/>
        </w:rPr>
        <w:t>-2011</w:t>
      </w:r>
      <w:r w:rsidR="007E3DA6" w:rsidRPr="003875F5">
        <w:rPr>
          <w:rFonts w:ascii="Times New Roman" w:hAnsi="Times New Roman" w:cs="Times New Roman"/>
          <w:sz w:val="24"/>
          <w:szCs w:val="24"/>
          <w:lang w:val="en-US"/>
        </w:rPr>
        <w:t xml:space="preserve"> (not 2012)</w:t>
      </w:r>
      <w:r w:rsidR="003E177F" w:rsidRPr="003875F5">
        <w:rPr>
          <w:rFonts w:ascii="Times New Roman" w:hAnsi="Times New Roman" w:cs="Times New Roman"/>
          <w:sz w:val="24"/>
          <w:szCs w:val="24"/>
          <w:lang w:val="en-US"/>
        </w:rPr>
        <w:t xml:space="preserve"> all subcategories of </w:t>
      </w:r>
      <w:proofErr w:type="spellStart"/>
      <w:r w:rsidR="003E177F" w:rsidRPr="003875F5">
        <w:rPr>
          <w:rFonts w:ascii="Times New Roman" w:hAnsi="Times New Roman" w:cs="Times New Roman"/>
          <w:sz w:val="24"/>
          <w:szCs w:val="24"/>
          <w:lang w:val="en-US"/>
        </w:rPr>
        <w:t>pabr</w:t>
      </w:r>
      <w:proofErr w:type="spellEnd"/>
      <w:r w:rsidR="0080320A" w:rsidRPr="003875F5">
        <w:rPr>
          <w:rFonts w:ascii="Times New Roman" w:hAnsi="Times New Roman" w:cs="Times New Roman"/>
          <w:sz w:val="24"/>
          <w:szCs w:val="24"/>
          <w:lang w:val="en-US"/>
        </w:rPr>
        <w:t xml:space="preserve">, the </w:t>
      </w:r>
      <w:r w:rsidR="007E3DA6" w:rsidRPr="003875F5">
        <w:rPr>
          <w:rFonts w:ascii="Times New Roman" w:hAnsi="Times New Roman" w:cs="Times New Roman"/>
          <w:sz w:val="24"/>
          <w:szCs w:val="24"/>
          <w:lang w:val="en-US"/>
        </w:rPr>
        <w:t>coding with ones fails to comply with rule 7(i), as the controls only apply to insurance companies. Consider the following (2005-2006): “</w:t>
      </w:r>
      <w:r w:rsidR="007E3DA6" w:rsidRPr="003875F5">
        <w:rPr>
          <w:rFonts w:ascii="Times New Roman" w:hAnsi="Times New Roman" w:cs="Times New Roman"/>
          <w:i/>
          <w:sz w:val="24"/>
          <w:szCs w:val="24"/>
          <w:lang w:val="en-US"/>
        </w:rPr>
        <w:t>Controls apply to the acquisition of securities issued by collective investment funds not regulated by EU authorities if these assets are to form more than 10% of the cover of the technical reserves of an insurance company or of the assets representative of the liabilities of a private pension fund</w:t>
      </w:r>
      <w:r w:rsidR="007E3DA6" w:rsidRPr="003875F5">
        <w:rPr>
          <w:rFonts w:ascii="Times New Roman" w:hAnsi="Times New Roman" w:cs="Times New Roman"/>
          <w:sz w:val="24"/>
          <w:szCs w:val="24"/>
          <w:lang w:val="en-US"/>
        </w:rPr>
        <w:t xml:space="preserve">.” In 2007-2011, a second sentence is </w:t>
      </w:r>
      <w:r w:rsidR="007E3DA6" w:rsidRPr="003875F5">
        <w:rPr>
          <w:rFonts w:ascii="Times New Roman" w:hAnsi="Times New Roman" w:cs="Times New Roman"/>
          <w:sz w:val="24"/>
          <w:szCs w:val="24"/>
          <w:u w:val="single"/>
          <w:lang w:val="en-US"/>
        </w:rPr>
        <w:t>added</w:t>
      </w:r>
      <w:r w:rsidR="007E3DA6" w:rsidRPr="003875F5">
        <w:rPr>
          <w:rFonts w:ascii="Times New Roman" w:hAnsi="Times New Roman" w:cs="Times New Roman"/>
          <w:sz w:val="24"/>
          <w:szCs w:val="24"/>
          <w:lang w:val="en-US"/>
        </w:rPr>
        <w:t>: “</w:t>
      </w:r>
      <w:r w:rsidR="007E3DA6" w:rsidRPr="003875F5">
        <w:rPr>
          <w:rFonts w:ascii="Times New Roman" w:hAnsi="Times New Roman" w:cs="Times New Roman"/>
          <w:i/>
          <w:sz w:val="24"/>
          <w:szCs w:val="24"/>
          <w:lang w:val="en-US"/>
        </w:rPr>
        <w:t>Royal Decree of February 22, 1991, on General Regulation of the Supervision of Insurance Companies, contains detailed rules governing investments by insurance companies for the assets that cover their technical provisions</w:t>
      </w:r>
      <w:r w:rsidR="007E3DA6" w:rsidRPr="003875F5">
        <w:rPr>
          <w:rFonts w:ascii="Times New Roman" w:hAnsi="Times New Roman" w:cs="Times New Roman"/>
          <w:sz w:val="24"/>
          <w:szCs w:val="24"/>
          <w:lang w:val="en-US"/>
        </w:rPr>
        <w:t>.”</w:t>
      </w:r>
      <w:r w:rsidR="0090147E" w:rsidRPr="003875F5">
        <w:rPr>
          <w:rFonts w:ascii="Times New Roman" w:hAnsi="Times New Roman" w:cs="Times New Roman"/>
          <w:sz w:val="24"/>
          <w:szCs w:val="24"/>
          <w:lang w:val="en-US"/>
        </w:rPr>
        <w:t xml:space="preserve"> As there is no other sector involved, this is not considered as a control.</w:t>
      </w:r>
    </w:p>
    <w:p w:rsidR="00740700" w:rsidRPr="003875F5" w:rsidRDefault="00740700" w:rsidP="0056662F">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2005</w:t>
      </w:r>
      <w:r w:rsidR="005E1581" w:rsidRPr="003875F5">
        <w:rPr>
          <w:rFonts w:ascii="Times New Roman" w:hAnsi="Times New Roman" w:cs="Times New Roman"/>
          <w:sz w:val="24"/>
          <w:szCs w:val="24"/>
          <w:lang w:val="en-US"/>
        </w:rPr>
        <w:t>-2011 (2012 has a different narrative – which I deem to be a clear control)</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Controls apply to the purchase of or swap operations in instruments and claims not traded on a regulated foreign financial market (1) negotiable within a period exceeding three months, except liabilities of financial institutions headquartered in the EU, if these assets are to form part of the cover of the technical reserves of an insurance company or of the assets representative of the liabilities of a private pension fund; (2) negotiable within a period exceeding three months, issued by financial institutions headquartered within the EU, if these assets are to form more than 20% of the cover of the technical reserves of an insurance company or of the assets representative of the liabilities of a private pension fund; (3) negotiable within three months, except liabilities of financial institutions headquartered within the EU, if these assets are to form more than 10% of the cover of the technical reserves of an insurance company or of the assets representative of the liabilities of a private pension fund; and (4) issued by financial institutions headquartered within the EU, if these assets are to form </w:t>
      </w:r>
      <w:r w:rsidRPr="003875F5">
        <w:rPr>
          <w:rFonts w:ascii="Times New Roman" w:hAnsi="Times New Roman" w:cs="Times New Roman"/>
          <w:i/>
          <w:sz w:val="24"/>
          <w:szCs w:val="24"/>
          <w:lang w:val="en-US"/>
        </w:rPr>
        <w:lastRenderedPageBreak/>
        <w:t>more than 20% of the cover of the technical reserves of an insurance company or of the assets representative of the liabilities of a private pension fund</w:t>
      </w:r>
      <w:r w:rsidRPr="003875F5">
        <w:rPr>
          <w:rFonts w:ascii="Times New Roman" w:hAnsi="Times New Roman" w:cs="Times New Roman"/>
          <w:sz w:val="24"/>
          <w:szCs w:val="24"/>
          <w:lang w:val="en-US"/>
        </w:rPr>
        <w:t xml:space="preserve">.” </w:t>
      </w:r>
      <w:r w:rsidR="003963CD" w:rsidRPr="003875F5">
        <w:rPr>
          <w:rFonts w:ascii="Times New Roman" w:hAnsi="Times New Roman" w:cs="Times New Roman"/>
          <w:sz w:val="24"/>
          <w:szCs w:val="24"/>
          <w:lang w:val="en-US"/>
        </w:rPr>
        <w:t>Since there is a restriction on pension funds, we consider this to be a control.</w:t>
      </w:r>
    </w:p>
    <w:p w:rsidR="00D5090B" w:rsidRPr="003875F5" w:rsidRDefault="00D5090B" w:rsidP="00B252C6">
      <w:pPr>
        <w:pStyle w:val="Estilo2"/>
      </w:pPr>
      <w:bookmarkStart w:id="13" w:name="_Toc402472312"/>
      <w:r w:rsidRPr="003875F5">
        <w:t>Bolivia</w:t>
      </w:r>
      <w:bookmarkEnd w:id="13"/>
    </w:p>
    <w:p w:rsidR="00B63394" w:rsidRPr="003875F5" w:rsidRDefault="00D5090B"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2012, a quantity restriction is introduced in all </w:t>
      </w:r>
      <w:proofErr w:type="spellStart"/>
      <w:r w:rsidRPr="003875F5">
        <w:rPr>
          <w:rFonts w:ascii="Times New Roman" w:hAnsi="Times New Roman" w:cs="Times New Roman"/>
          <w:sz w:val="24"/>
          <w:szCs w:val="24"/>
          <w:lang w:val="en-US"/>
        </w:rPr>
        <w:t>pabr</w:t>
      </w:r>
      <w:proofErr w:type="spellEnd"/>
      <w:r w:rsidRPr="003875F5">
        <w:rPr>
          <w:rFonts w:ascii="Times New Roman" w:hAnsi="Times New Roman" w:cs="Times New Roman"/>
          <w:sz w:val="24"/>
          <w:szCs w:val="24"/>
          <w:lang w:val="en-US"/>
        </w:rPr>
        <w:t xml:space="preserve"> subcategories for </w:t>
      </w:r>
      <w:r w:rsidR="00B63394" w:rsidRPr="003875F5">
        <w:rPr>
          <w:rFonts w:ascii="Times New Roman" w:hAnsi="Times New Roman" w:cs="Times New Roman"/>
          <w:sz w:val="24"/>
          <w:szCs w:val="24"/>
          <w:lang w:val="en-US"/>
        </w:rPr>
        <w:t>more than one sector (banking, insurance and investment funds)</w:t>
      </w:r>
      <w:r w:rsidRPr="003875F5">
        <w:rPr>
          <w:rFonts w:ascii="Times New Roman" w:hAnsi="Times New Roman" w:cs="Times New Roman"/>
          <w:sz w:val="24"/>
          <w:szCs w:val="24"/>
          <w:lang w:val="en-US"/>
        </w:rPr>
        <w:t xml:space="preserve">; before 2011, only insurance companies had quantity restrictions. </w:t>
      </w:r>
    </w:p>
    <w:p w:rsidR="00D5090B" w:rsidRPr="003875F5" w:rsidRDefault="00B63394"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Also in 2012, a</w:t>
      </w:r>
      <w:r w:rsidR="00D5090B" w:rsidRPr="003875F5">
        <w:rPr>
          <w:rFonts w:ascii="Times New Roman" w:hAnsi="Times New Roman" w:cs="Times New Roman"/>
          <w:sz w:val="24"/>
          <w:szCs w:val="24"/>
          <w:lang w:val="en-US"/>
        </w:rPr>
        <w:t xml:space="preserve">ll restrictions in </w:t>
      </w:r>
      <w:proofErr w:type="spellStart"/>
      <w:r w:rsidR="00D5090B" w:rsidRPr="003875F5">
        <w:rPr>
          <w:rFonts w:ascii="Times New Roman" w:hAnsi="Times New Roman" w:cs="Times New Roman"/>
          <w:sz w:val="24"/>
          <w:szCs w:val="24"/>
          <w:lang w:val="en-US"/>
        </w:rPr>
        <w:t>plbn</w:t>
      </w:r>
      <w:proofErr w:type="spellEnd"/>
      <w:r w:rsidR="00361870" w:rsidRPr="003875F5">
        <w:rPr>
          <w:rFonts w:ascii="Times New Roman" w:hAnsi="Times New Roman" w:cs="Times New Roman"/>
          <w:sz w:val="24"/>
          <w:szCs w:val="24"/>
          <w:lang w:val="en-US"/>
        </w:rPr>
        <w:t xml:space="preserve"> subcategories</w:t>
      </w:r>
      <w:r w:rsidR="00D5090B"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were</w:t>
      </w:r>
      <w:r w:rsidR="00D5090B" w:rsidRPr="003875F5">
        <w:rPr>
          <w:rFonts w:ascii="Times New Roman" w:hAnsi="Times New Roman" w:cs="Times New Roman"/>
          <w:sz w:val="24"/>
          <w:szCs w:val="24"/>
          <w:lang w:val="en-US"/>
        </w:rPr>
        <w:t xml:space="preserve"> removed</w:t>
      </w:r>
      <w:r w:rsidRPr="003875F5">
        <w:rPr>
          <w:rFonts w:ascii="Times New Roman" w:hAnsi="Times New Roman" w:cs="Times New Roman"/>
          <w:sz w:val="24"/>
          <w:szCs w:val="24"/>
          <w:lang w:val="en-US"/>
        </w:rPr>
        <w:t xml:space="preserve"> (rule 3(i))</w:t>
      </w:r>
      <w:r w:rsidR="00D5090B" w:rsidRPr="003875F5">
        <w:rPr>
          <w:rFonts w:ascii="Times New Roman" w:hAnsi="Times New Roman" w:cs="Times New Roman"/>
          <w:sz w:val="24"/>
          <w:szCs w:val="24"/>
          <w:lang w:val="en-US"/>
        </w:rPr>
        <w:t xml:space="preserve">. </w:t>
      </w:r>
    </w:p>
    <w:p w:rsidR="00E5141B" w:rsidRPr="003875F5" w:rsidRDefault="00E5141B" w:rsidP="00E5141B">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2011: “</w:t>
      </w:r>
      <w:r w:rsidRPr="003875F5">
        <w:rPr>
          <w:rFonts w:ascii="Times New Roman" w:hAnsi="Times New Roman" w:cs="Times New Roman"/>
          <w:i/>
          <w:sz w:val="24"/>
          <w:szCs w:val="24"/>
          <w:lang w:val="en-US"/>
        </w:rPr>
        <w:t>A financial transaction tax applies to inward transfers or shipments of money made through authorized financial institutions, except through current or savings accounts and through institutions legally established in Bolivia that provide funds transfer services. The tax applies to all foreign currency deposits (with deposits and withdrawals considered taxable events), as well as to shares in investment funds, including redemption of shares and earnings. The rate is 0.15%.</w:t>
      </w:r>
      <w:r w:rsidRPr="003875F5">
        <w:rPr>
          <w:rFonts w:ascii="Times New Roman" w:hAnsi="Times New Roman" w:cs="Times New Roman"/>
          <w:sz w:val="24"/>
          <w:szCs w:val="24"/>
          <w:lang w:val="en-US"/>
        </w:rPr>
        <w:t>” This narrative disappears in 2012.</w:t>
      </w:r>
    </w:p>
    <w:p w:rsidR="003C044E" w:rsidRPr="003875F5" w:rsidRDefault="003C044E" w:rsidP="00B252C6">
      <w:pPr>
        <w:pStyle w:val="Estilo2"/>
      </w:pPr>
      <w:bookmarkStart w:id="14" w:name="_Toc402472313"/>
      <w:r w:rsidRPr="003875F5">
        <w:t>Brazil</w:t>
      </w:r>
      <w:bookmarkEnd w:id="14"/>
    </w:p>
    <w:p w:rsidR="003C044E" w:rsidRPr="003875F5" w:rsidRDefault="003C044E"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We determined that for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in 2011 whenever it said for “prudential nature” we were going to set it as 0 given that we are already coding as a control when Brazil put in place a specific tax on IOF in </w:t>
      </w:r>
      <w:proofErr w:type="spellStart"/>
      <w:r w:rsidRPr="003875F5">
        <w:rPr>
          <w:rFonts w:ascii="Times New Roman" w:hAnsi="Times New Roman" w:cs="Times New Roman"/>
          <w:sz w:val="24"/>
          <w:szCs w:val="24"/>
          <w:lang w:val="en-US"/>
        </w:rPr>
        <w:t>siln</w:t>
      </w:r>
      <w:proofErr w:type="spellEnd"/>
      <w:r w:rsidRPr="003875F5">
        <w:rPr>
          <w:rFonts w:ascii="Times New Roman" w:hAnsi="Times New Roman" w:cs="Times New Roman"/>
          <w:sz w:val="24"/>
          <w:szCs w:val="24"/>
          <w:lang w:val="en-US"/>
        </w:rPr>
        <w:t xml:space="preserve"> investment, and that a couple of years earlier those same prudential rules w</w:t>
      </w:r>
      <w:r w:rsidR="001274E5" w:rsidRPr="003875F5">
        <w:rPr>
          <w:rFonts w:ascii="Times New Roman" w:hAnsi="Times New Roman" w:cs="Times New Roman"/>
          <w:sz w:val="24"/>
          <w:szCs w:val="24"/>
          <w:lang w:val="en-US"/>
        </w:rPr>
        <w:t>ere coded as no.</w:t>
      </w:r>
    </w:p>
    <w:p w:rsidR="003C044E" w:rsidRPr="003875F5" w:rsidRDefault="003C044E"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eq_siar</w:t>
      </w:r>
      <w:proofErr w:type="spellEnd"/>
      <w:r w:rsidRPr="003875F5">
        <w:rPr>
          <w:rFonts w:ascii="Times New Roman" w:hAnsi="Times New Roman" w:cs="Times New Roman"/>
          <w:sz w:val="24"/>
          <w:szCs w:val="24"/>
          <w:lang w:val="en-US"/>
        </w:rPr>
        <w:t>, 2011, the tax rate was in place at 2% until December 2011 so we decided to keep it as a control throughout the entire year.</w:t>
      </w:r>
    </w:p>
    <w:p w:rsidR="003C044E" w:rsidRPr="003875F5" w:rsidRDefault="00A170D8"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For 2010-2012</w:t>
      </w:r>
      <w:r w:rsidR="00361870" w:rsidRPr="003875F5">
        <w:rPr>
          <w:rFonts w:ascii="Times New Roman" w:hAnsi="Times New Roman" w:cs="Times New Roman"/>
          <w:sz w:val="24"/>
          <w:szCs w:val="24"/>
          <w:lang w:val="en-US"/>
        </w:rPr>
        <w:t>,</w:t>
      </w:r>
      <w:r w:rsidR="003C044E" w:rsidRPr="003875F5">
        <w:rPr>
          <w:rFonts w:ascii="Times New Roman" w:hAnsi="Times New Roman" w:cs="Times New Roman"/>
          <w:sz w:val="24"/>
          <w:szCs w:val="24"/>
          <w:lang w:val="en-US"/>
        </w:rPr>
        <w:t xml:space="preserve"> in </w:t>
      </w:r>
      <w:proofErr w:type="spellStart"/>
      <w:r w:rsidR="003C044E" w:rsidRPr="003875F5">
        <w:rPr>
          <w:rFonts w:ascii="Times New Roman" w:hAnsi="Times New Roman" w:cs="Times New Roman"/>
          <w:sz w:val="24"/>
          <w:szCs w:val="24"/>
          <w:lang w:val="en-US"/>
        </w:rPr>
        <w:t>bo_pabr</w:t>
      </w:r>
      <w:proofErr w:type="spellEnd"/>
      <w:r w:rsidR="003C044E" w:rsidRPr="003875F5">
        <w:rPr>
          <w:rFonts w:ascii="Times New Roman" w:hAnsi="Times New Roman" w:cs="Times New Roman"/>
          <w:sz w:val="24"/>
          <w:szCs w:val="24"/>
          <w:lang w:val="en-US"/>
        </w:rPr>
        <w:t xml:space="preserve">, </w:t>
      </w:r>
      <w:proofErr w:type="spellStart"/>
      <w:r w:rsidR="003C044E" w:rsidRPr="003875F5">
        <w:rPr>
          <w:rFonts w:ascii="Times New Roman" w:hAnsi="Times New Roman" w:cs="Times New Roman"/>
          <w:sz w:val="24"/>
          <w:szCs w:val="24"/>
          <w:lang w:val="en-US"/>
        </w:rPr>
        <w:t>mm_pabr</w:t>
      </w:r>
      <w:proofErr w:type="spellEnd"/>
      <w:r w:rsidR="003C044E" w:rsidRPr="003875F5">
        <w:rPr>
          <w:rFonts w:ascii="Times New Roman" w:hAnsi="Times New Roman" w:cs="Times New Roman"/>
          <w:sz w:val="24"/>
          <w:szCs w:val="24"/>
          <w:lang w:val="en-US"/>
        </w:rPr>
        <w:t xml:space="preserve">, and </w:t>
      </w:r>
      <w:proofErr w:type="spellStart"/>
      <w:r w:rsidR="003C044E" w:rsidRPr="003875F5">
        <w:rPr>
          <w:rFonts w:ascii="Times New Roman" w:hAnsi="Times New Roman" w:cs="Times New Roman"/>
          <w:sz w:val="24"/>
          <w:szCs w:val="24"/>
          <w:lang w:val="en-US"/>
        </w:rPr>
        <w:t>ci_pabr</w:t>
      </w:r>
      <w:proofErr w:type="spellEnd"/>
      <w:r w:rsidR="003C044E" w:rsidRPr="003875F5">
        <w:rPr>
          <w:rFonts w:ascii="Times New Roman" w:hAnsi="Times New Roman" w:cs="Times New Roman"/>
          <w:sz w:val="24"/>
          <w:szCs w:val="24"/>
          <w:lang w:val="en-US"/>
        </w:rPr>
        <w:t xml:space="preserve"> we decided to equate the word prudential with capital controls</w:t>
      </w:r>
      <w:r w:rsidR="00361870" w:rsidRPr="003875F5">
        <w:rPr>
          <w:rFonts w:ascii="Times New Roman" w:hAnsi="Times New Roman" w:cs="Times New Roman"/>
          <w:sz w:val="24"/>
          <w:szCs w:val="24"/>
          <w:lang w:val="en-US"/>
        </w:rPr>
        <w:t>, pursuant rule 17</w:t>
      </w:r>
      <w:r w:rsidR="003C044E" w:rsidRPr="003875F5">
        <w:rPr>
          <w:rFonts w:ascii="Times New Roman" w:hAnsi="Times New Roman" w:cs="Times New Roman"/>
          <w:sz w:val="24"/>
          <w:szCs w:val="24"/>
          <w:lang w:val="en-US"/>
        </w:rPr>
        <w:t xml:space="preserve">. </w:t>
      </w:r>
    </w:p>
    <w:p w:rsidR="003833BA" w:rsidRPr="003875F5" w:rsidRDefault="003833BA" w:rsidP="00A170D8">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in 2006 we agree that we should have a 0 as they state that “</w:t>
      </w:r>
      <w:r w:rsidRPr="003875F5">
        <w:rPr>
          <w:rFonts w:ascii="Times New Roman" w:hAnsi="Times New Roman" w:cs="Times New Roman"/>
          <w:i/>
          <w:sz w:val="24"/>
          <w:szCs w:val="24"/>
          <w:lang w:val="en-US"/>
        </w:rPr>
        <w:t>no restrictions apply on making transfers abroad by individuals or corporations</w:t>
      </w:r>
      <w:r w:rsidRPr="003875F5">
        <w:rPr>
          <w:rFonts w:ascii="Times New Roman" w:hAnsi="Times New Roman" w:cs="Times New Roman"/>
          <w:sz w:val="24"/>
          <w:szCs w:val="24"/>
          <w:lang w:val="en-US"/>
        </w:rPr>
        <w:t xml:space="preserve">”. They do talk about authorizations but reading at the narrative in the 2005 report they allude to only public firms having to ask for such authorization and this was coded as 0 by M. Schindler. This does not qualify as a control to me and neither Klein nor </w:t>
      </w:r>
      <w:proofErr w:type="spellStart"/>
      <w:r w:rsidRPr="003875F5">
        <w:rPr>
          <w:rFonts w:ascii="Times New Roman" w:hAnsi="Times New Roman" w:cs="Times New Roman"/>
          <w:sz w:val="24"/>
          <w:szCs w:val="24"/>
          <w:lang w:val="en-US"/>
        </w:rPr>
        <w:t>Rebucci</w:t>
      </w:r>
      <w:proofErr w:type="spellEnd"/>
      <w:r w:rsidRPr="003875F5">
        <w:rPr>
          <w:rFonts w:ascii="Times New Roman" w:hAnsi="Times New Roman" w:cs="Times New Roman"/>
          <w:sz w:val="24"/>
          <w:szCs w:val="24"/>
          <w:lang w:val="en-US"/>
        </w:rPr>
        <w:t xml:space="preserve"> have it. In 2007 the narrative is much shorter and only talks about “</w:t>
      </w:r>
      <w:r w:rsidRPr="003875F5">
        <w:rPr>
          <w:rFonts w:ascii="Times New Roman" w:hAnsi="Times New Roman" w:cs="Times New Roman"/>
          <w:i/>
          <w:sz w:val="24"/>
          <w:szCs w:val="24"/>
          <w:lang w:val="en-US"/>
        </w:rPr>
        <w:t>Specific regulations apply to transfers of funds for investment abroad by institutions authorized to operate by the CBB</w:t>
      </w:r>
      <w:r w:rsidRPr="003875F5">
        <w:rPr>
          <w:rFonts w:ascii="Times New Roman" w:hAnsi="Times New Roman" w:cs="Times New Roman"/>
          <w:sz w:val="24"/>
          <w:szCs w:val="24"/>
          <w:lang w:val="en-US"/>
        </w:rPr>
        <w:t xml:space="preserve"> …</w:t>
      </w:r>
      <w:proofErr w:type="gramStart"/>
      <w:r w:rsidRPr="003875F5">
        <w:rPr>
          <w:rFonts w:ascii="Times New Roman" w:hAnsi="Times New Roman" w:cs="Times New Roman"/>
          <w:sz w:val="24"/>
          <w:szCs w:val="24"/>
          <w:lang w:val="en-US"/>
        </w:rPr>
        <w:t>”.</w:t>
      </w:r>
      <w:proofErr w:type="gramEnd"/>
      <w:r w:rsidRPr="003875F5">
        <w:rPr>
          <w:rFonts w:ascii="Times New Roman" w:hAnsi="Times New Roman" w:cs="Times New Roman"/>
          <w:sz w:val="24"/>
          <w:szCs w:val="24"/>
          <w:lang w:val="en-US"/>
        </w:rPr>
        <w:t xml:space="preserve"> Assuming that such institutions continue to be the public ones we coded that as a 0 to be consistent with the previous year. Same applies to 2008. Starting in 2009 an explicit allusion to “</w:t>
      </w:r>
      <w:r w:rsidRPr="003875F5">
        <w:rPr>
          <w:rFonts w:ascii="Times New Roman" w:hAnsi="Times New Roman" w:cs="Times New Roman"/>
          <w:i/>
          <w:sz w:val="24"/>
          <w:szCs w:val="24"/>
          <w:lang w:val="en-US"/>
        </w:rPr>
        <w:t>prudential regulations</w:t>
      </w:r>
      <w:r w:rsidRPr="003875F5">
        <w:rPr>
          <w:rFonts w:ascii="Times New Roman" w:hAnsi="Times New Roman" w:cs="Times New Roman"/>
          <w:sz w:val="24"/>
          <w:szCs w:val="24"/>
          <w:lang w:val="en-US"/>
        </w:rPr>
        <w:t xml:space="preserve">” appears which, to be consistent, with other cases in Brazil. However, it continues to apply to only those institutions authorized by CBB. So continuing with the assumption made earlier this should be coded as 0. In 2010 the narrative changes and states </w:t>
      </w:r>
      <w:r w:rsidRPr="003875F5">
        <w:rPr>
          <w:rFonts w:ascii="Times New Roman" w:hAnsi="Times New Roman" w:cs="Times New Roman"/>
          <w:sz w:val="24"/>
          <w:szCs w:val="24"/>
          <w:lang w:val="en-US"/>
        </w:rPr>
        <w:lastRenderedPageBreak/>
        <w:t>that sectors in finance (FI, pension funds, and mutual funds) are subject to prudential regulations. This I would start qualifying as a control given that it does have macro consequences and that we are talking about Brazil. Idem for 2011.</w:t>
      </w:r>
    </w:p>
    <w:p w:rsidR="00A170D8" w:rsidRPr="003875F5" w:rsidRDefault="00A05561" w:rsidP="00A170D8">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2002</w:t>
      </w:r>
      <w:r w:rsidR="009C423B" w:rsidRPr="003875F5">
        <w:rPr>
          <w:rFonts w:ascii="Times New Roman" w:hAnsi="Times New Roman" w:cs="Times New Roman"/>
          <w:sz w:val="24"/>
          <w:szCs w:val="24"/>
          <w:lang w:val="en-US"/>
        </w:rPr>
        <w:t>-200</w:t>
      </w:r>
      <w:r w:rsidR="006B690A" w:rsidRPr="003875F5">
        <w:rPr>
          <w:rFonts w:ascii="Times New Roman" w:hAnsi="Times New Roman" w:cs="Times New Roman"/>
          <w:sz w:val="24"/>
          <w:szCs w:val="24"/>
          <w:lang w:val="en-US"/>
        </w:rPr>
        <w:t>8</w:t>
      </w:r>
      <w:r w:rsidR="00A377F6" w:rsidRPr="003875F5">
        <w:rPr>
          <w:rFonts w:ascii="Times New Roman" w:hAnsi="Times New Roman" w:cs="Times New Roman"/>
          <w:sz w:val="24"/>
          <w:szCs w:val="24"/>
          <w:lang w:val="en-US"/>
        </w:rPr>
        <w:t>: “</w:t>
      </w:r>
      <w:r w:rsidR="00A377F6" w:rsidRPr="003875F5">
        <w:rPr>
          <w:rFonts w:ascii="Times New Roman" w:hAnsi="Times New Roman" w:cs="Times New Roman"/>
          <w:i/>
          <w:sz w:val="24"/>
          <w:szCs w:val="24"/>
          <w:lang w:val="en-US"/>
        </w:rPr>
        <w:t>The sale of shares of foreign enterprises from MERCOSUR countries is regulated in Brazil through share custody certificates or directly. The only way to sell other foreign securities is through Brazilian Depository Receipts (BDRs), which allow the placement of certificates representing these shares in the Brazilian market</w:t>
      </w:r>
      <w:r w:rsidR="00A377F6" w:rsidRPr="003875F5">
        <w:rPr>
          <w:rFonts w:ascii="Times New Roman" w:hAnsi="Times New Roman" w:cs="Times New Roman"/>
          <w:sz w:val="24"/>
          <w:szCs w:val="24"/>
          <w:lang w:val="en-US"/>
        </w:rPr>
        <w:t xml:space="preserve">.” </w:t>
      </w:r>
      <w:r w:rsidR="001274E5" w:rsidRPr="003875F5">
        <w:rPr>
          <w:rFonts w:ascii="Times New Roman" w:hAnsi="Times New Roman" w:cs="Times New Roman"/>
          <w:sz w:val="24"/>
          <w:szCs w:val="24"/>
          <w:lang w:val="en-US"/>
        </w:rPr>
        <w:t>Considering that only</w:t>
      </w:r>
      <w:r w:rsidR="00E92F0F" w:rsidRPr="003875F5">
        <w:rPr>
          <w:rFonts w:ascii="Times New Roman" w:hAnsi="Times New Roman" w:cs="Times New Roman"/>
          <w:sz w:val="24"/>
          <w:szCs w:val="24"/>
          <w:lang w:val="en-US"/>
        </w:rPr>
        <w:t xml:space="preserve"> </w:t>
      </w:r>
      <w:r w:rsidR="001274E5" w:rsidRPr="003875F5">
        <w:rPr>
          <w:rFonts w:ascii="Times New Roman" w:hAnsi="Times New Roman" w:cs="Times New Roman"/>
          <w:sz w:val="24"/>
          <w:szCs w:val="24"/>
          <w:lang w:val="en-US"/>
        </w:rPr>
        <w:t>foreign enterprises from MERCOSUR countries are allowed to sell shares directly, we consider that this is enough to consider a control. This is further supported by the narrative present following years.</w:t>
      </w:r>
    </w:p>
    <w:p w:rsidR="00A377F6" w:rsidRPr="003875F5" w:rsidRDefault="00E92F0F" w:rsidP="00A170D8">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2009</w:t>
      </w:r>
      <w:r w:rsidR="00611954" w:rsidRPr="003875F5">
        <w:rPr>
          <w:rFonts w:ascii="Times New Roman" w:hAnsi="Times New Roman" w:cs="Times New Roman"/>
          <w:sz w:val="24"/>
          <w:szCs w:val="24"/>
          <w:lang w:val="en-US"/>
        </w:rPr>
        <w:t>-2010</w:t>
      </w:r>
      <w:r w:rsidR="00C7293B"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a new sentence is added at the end: “</w:t>
      </w:r>
      <w:r w:rsidRPr="003875F5">
        <w:rPr>
          <w:rFonts w:ascii="Times New Roman" w:hAnsi="Times New Roman" w:cs="Times New Roman"/>
          <w:i/>
          <w:sz w:val="24"/>
          <w:szCs w:val="24"/>
          <w:lang w:val="en-US"/>
        </w:rPr>
        <w:t>The person offering the securities must be registered with the CVM. Commercial presence in Brazil is a requirement, except for sales through BDRs</w:t>
      </w:r>
      <w:r w:rsidRPr="003875F5">
        <w:rPr>
          <w:rFonts w:ascii="Times New Roman" w:hAnsi="Times New Roman" w:cs="Times New Roman"/>
          <w:sz w:val="24"/>
          <w:szCs w:val="24"/>
          <w:lang w:val="en-US"/>
        </w:rPr>
        <w:t>”</w:t>
      </w:r>
    </w:p>
    <w:p w:rsidR="001E7B35" w:rsidRPr="003875F5" w:rsidRDefault="001E7B35" w:rsidP="00A170D8">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2011</w:t>
      </w:r>
      <w:r w:rsidR="00C7293B"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a new sentence is added at the end: “</w:t>
      </w:r>
      <w:r w:rsidRPr="003875F5">
        <w:rPr>
          <w:rFonts w:ascii="Times New Roman" w:hAnsi="Times New Roman" w:cs="Times New Roman"/>
          <w:i/>
          <w:sz w:val="24"/>
          <w:szCs w:val="24"/>
          <w:lang w:val="en-US"/>
        </w:rPr>
        <w:t>A 1.5% IOF rate applies to certain trades involving DRs issued by Brazilian companies. The tax is charged when foreign investors convert DRs for Brazilian companies into shares issued locally</w:t>
      </w:r>
      <w:r w:rsidRPr="003875F5">
        <w:rPr>
          <w:rFonts w:ascii="Times New Roman" w:hAnsi="Times New Roman" w:cs="Times New Roman"/>
          <w:sz w:val="24"/>
          <w:szCs w:val="24"/>
          <w:lang w:val="en-US"/>
        </w:rPr>
        <w:t>.”</w:t>
      </w:r>
      <w:r w:rsidR="00C7293B" w:rsidRPr="003875F5">
        <w:rPr>
          <w:rFonts w:ascii="Times New Roman" w:hAnsi="Times New Roman" w:cs="Times New Roman"/>
          <w:sz w:val="24"/>
          <w:szCs w:val="24"/>
          <w:lang w:val="en-US"/>
        </w:rPr>
        <w:t xml:space="preserve"> In 2012, this last sentence is eliminated.</w:t>
      </w:r>
    </w:p>
    <w:p w:rsidR="001274E5" w:rsidRPr="003875F5" w:rsidRDefault="00A377F6" w:rsidP="00A170D8">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eq_siar</w:t>
      </w:r>
      <w:proofErr w:type="spellEnd"/>
      <w:r w:rsidRPr="003875F5">
        <w:rPr>
          <w:rFonts w:ascii="Times New Roman" w:hAnsi="Times New Roman" w:cs="Times New Roman"/>
          <w:sz w:val="24"/>
          <w:szCs w:val="24"/>
          <w:lang w:val="en-US"/>
        </w:rPr>
        <w:t xml:space="preserve"> </w:t>
      </w:r>
      <w:r w:rsidR="00A05561" w:rsidRPr="003875F5">
        <w:rPr>
          <w:rFonts w:ascii="Times New Roman" w:hAnsi="Times New Roman" w:cs="Times New Roman"/>
          <w:sz w:val="24"/>
          <w:szCs w:val="24"/>
          <w:lang w:val="en-US"/>
        </w:rPr>
        <w:t>2003-</w:t>
      </w:r>
      <w:r w:rsidRPr="003875F5">
        <w:rPr>
          <w:rFonts w:ascii="Times New Roman" w:hAnsi="Times New Roman" w:cs="Times New Roman"/>
          <w:sz w:val="24"/>
          <w:szCs w:val="24"/>
          <w:lang w:val="en-US"/>
        </w:rPr>
        <w:t>2005: “</w:t>
      </w:r>
      <w:r w:rsidRPr="003875F5">
        <w:rPr>
          <w:rFonts w:ascii="Times New Roman" w:hAnsi="Times New Roman" w:cs="Times New Roman"/>
          <w:i/>
          <w:sz w:val="24"/>
          <w:szCs w:val="24"/>
          <w:lang w:val="en-US"/>
        </w:rPr>
        <w:t>Corporations may issue depository receipts abroad. In the MERCOSUR countries, Brazilian enterprises may operate through share custody certificates or directly</w:t>
      </w:r>
      <w:r w:rsidR="001274E5" w:rsidRPr="003875F5">
        <w:rPr>
          <w:rFonts w:ascii="Times New Roman" w:hAnsi="Times New Roman" w:cs="Times New Roman"/>
          <w:i/>
          <w:sz w:val="24"/>
          <w:szCs w:val="24"/>
          <w:lang w:val="en-US"/>
        </w:rPr>
        <w:t>”.</w:t>
      </w:r>
      <w:r w:rsidR="001274E5" w:rsidRPr="003875F5">
        <w:rPr>
          <w:rFonts w:ascii="Times New Roman" w:hAnsi="Times New Roman" w:cs="Times New Roman"/>
          <w:sz w:val="24"/>
          <w:szCs w:val="24"/>
          <w:lang w:val="en-US"/>
        </w:rPr>
        <w:t xml:space="preserve"> Considering that only foreign enterprises from MERCOSUR countries are allowed to sell shares directly, we think that this is enough to consider a control.</w:t>
      </w:r>
    </w:p>
    <w:p w:rsidR="006E1947" w:rsidRPr="003875F5" w:rsidRDefault="006E1947" w:rsidP="006E194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dii 2005</w:t>
      </w:r>
      <w:r w:rsidR="006F5C86" w:rsidRPr="003875F5">
        <w:rPr>
          <w:rFonts w:ascii="Times New Roman" w:hAnsi="Times New Roman" w:cs="Times New Roman"/>
          <w:sz w:val="24"/>
          <w:szCs w:val="24"/>
          <w:lang w:val="en-US"/>
        </w:rPr>
        <w:t>-2007</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are legal limitations on participation in certain economic activities</w:t>
      </w:r>
      <w:r w:rsidRPr="003875F5">
        <w:rPr>
          <w:rFonts w:ascii="Times New Roman" w:hAnsi="Times New Roman" w:cs="Times New Roman"/>
          <w:sz w:val="24"/>
          <w:szCs w:val="24"/>
          <w:lang w:val="en-US"/>
        </w:rPr>
        <w:t>” Pursuant the second sentence of rule 7(i) this is deemed to be a control.</w:t>
      </w:r>
    </w:p>
    <w:p w:rsidR="00C41D72" w:rsidRPr="003875F5" w:rsidRDefault="00C41D72" w:rsidP="00C41D72">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2006: “</w:t>
      </w:r>
      <w:r w:rsidRPr="003875F5">
        <w:rPr>
          <w:rFonts w:ascii="Times New Roman" w:hAnsi="Times New Roman" w:cs="Times New Roman"/>
          <w:i/>
          <w:sz w:val="24"/>
          <w:szCs w:val="24"/>
          <w:lang w:val="en-US"/>
        </w:rPr>
        <w:t>Effective September 27, 2006, there are no restrictions on making transfers abroad of individual or corporate interest. Transfers of funds for investments abroad by institutions authorized to operate by the CBB and funds of any nature must observe specific regulations.</w:t>
      </w:r>
      <w:r w:rsidRPr="003875F5">
        <w:rPr>
          <w:rFonts w:ascii="Times New Roman" w:hAnsi="Times New Roman" w:cs="Times New Roman"/>
          <w:sz w:val="24"/>
          <w:szCs w:val="24"/>
          <w:lang w:val="en-US"/>
        </w:rPr>
        <w:t>”</w:t>
      </w:r>
      <w:r w:rsidR="001E1FFC" w:rsidRPr="003875F5">
        <w:rPr>
          <w:rFonts w:ascii="Times New Roman" w:hAnsi="Times New Roman" w:cs="Times New Roman"/>
          <w:sz w:val="24"/>
          <w:szCs w:val="24"/>
          <w:lang w:val="en-US"/>
        </w:rPr>
        <w:t xml:space="preserve"> This is a control</w:t>
      </w:r>
      <w:r w:rsidRPr="003875F5">
        <w:rPr>
          <w:rFonts w:ascii="Times New Roman" w:hAnsi="Times New Roman" w:cs="Times New Roman"/>
          <w:sz w:val="24"/>
          <w:szCs w:val="24"/>
          <w:lang w:val="en-US"/>
        </w:rPr>
        <w:t xml:space="preserve"> pursuant rule 17</w:t>
      </w:r>
      <w:r w:rsidR="001E1FFC" w:rsidRPr="003875F5">
        <w:rPr>
          <w:rFonts w:ascii="Times New Roman" w:hAnsi="Times New Roman" w:cs="Times New Roman"/>
          <w:sz w:val="24"/>
          <w:szCs w:val="24"/>
          <w:lang w:val="en-US"/>
        </w:rPr>
        <w:t xml:space="preserve"> and rule 5</w:t>
      </w:r>
      <w:r w:rsidRPr="003875F5">
        <w:rPr>
          <w:rFonts w:ascii="Times New Roman" w:hAnsi="Times New Roman" w:cs="Times New Roman"/>
          <w:sz w:val="24"/>
          <w:szCs w:val="24"/>
          <w:lang w:val="en-US"/>
        </w:rPr>
        <w:t>.</w:t>
      </w:r>
    </w:p>
    <w:p w:rsidR="001E1FFC" w:rsidRPr="003875F5" w:rsidRDefault="001E1FFC" w:rsidP="001E1FFC">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2006: “</w:t>
      </w:r>
      <w:r w:rsidRPr="003875F5">
        <w:rPr>
          <w:rFonts w:ascii="Times New Roman" w:hAnsi="Times New Roman" w:cs="Times New Roman"/>
          <w:i/>
          <w:sz w:val="24"/>
          <w:szCs w:val="24"/>
          <w:lang w:val="en-US"/>
        </w:rPr>
        <w:t>Effective September 27, 2006, no restrictions apply on making transfers abroad by residents. Transfers of funds for investments abroad by institutions authorized by the CBB to operate and funds of any nature must observe specific regulations. Previously, residents could purchase bonds or other debt securities through Brazilian external debt funds</w:t>
      </w:r>
      <w:r w:rsidRPr="003875F5">
        <w:rPr>
          <w:rFonts w:ascii="Times New Roman" w:hAnsi="Times New Roman" w:cs="Times New Roman"/>
          <w:sz w:val="24"/>
          <w:szCs w:val="24"/>
          <w:lang w:val="en-US"/>
        </w:rPr>
        <w:t>” Pursuant rule 5, this is a control.</w:t>
      </w:r>
    </w:p>
    <w:p w:rsidR="00A170D8" w:rsidRPr="003875F5" w:rsidRDefault="00B27EA9" w:rsidP="009C42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2006: “</w:t>
      </w:r>
      <w:r w:rsidRPr="003875F5">
        <w:rPr>
          <w:rFonts w:ascii="Times New Roman" w:hAnsi="Times New Roman" w:cs="Times New Roman"/>
          <w:i/>
          <w:sz w:val="24"/>
          <w:szCs w:val="24"/>
          <w:lang w:val="en-US"/>
        </w:rPr>
        <w:t xml:space="preserve">Effective September 27, 2006, no restrictions apply on making transfers abroad by individuals or corporations. Transfers of funds for investments abroad by institutions authorized to operate by the CBB and funds of any nature must observe specific regulations. </w:t>
      </w:r>
      <w:r w:rsidRPr="003875F5">
        <w:rPr>
          <w:rFonts w:ascii="Times New Roman" w:hAnsi="Times New Roman" w:cs="Times New Roman"/>
          <w:i/>
          <w:sz w:val="24"/>
          <w:szCs w:val="24"/>
          <w:lang w:val="en-US"/>
        </w:rPr>
        <w:lastRenderedPageBreak/>
        <w:t xml:space="preserve">Investments abroad by institutions authorized to operate by the CBB require prior approval of the CBB’s Department of Financial System Organization. In addition, the institutions must meet specific </w:t>
      </w:r>
      <w:proofErr w:type="gramStart"/>
      <w:r w:rsidRPr="003875F5">
        <w:rPr>
          <w:rFonts w:ascii="Times New Roman" w:hAnsi="Times New Roman" w:cs="Times New Roman"/>
          <w:i/>
          <w:sz w:val="24"/>
          <w:szCs w:val="24"/>
          <w:lang w:val="en-US"/>
        </w:rPr>
        <w:t>conditions, especially that</w:t>
      </w:r>
      <w:proofErr w:type="gramEnd"/>
      <w:r w:rsidRPr="003875F5">
        <w:rPr>
          <w:rFonts w:ascii="Times New Roman" w:hAnsi="Times New Roman" w:cs="Times New Roman"/>
          <w:i/>
          <w:sz w:val="24"/>
          <w:szCs w:val="24"/>
          <w:lang w:val="en-US"/>
        </w:rPr>
        <w:t xml:space="preserve"> prudential regulations on minimum paid-in capital be effectively operational for a minimum time span and strictly observe fixed-asset-to-net-worth ratios. Previously, only Brazilian nonfinancial enterprises could make transfers for outward direct investment purposes without limitation. Exchange operations in which the purchaser of the foreign exchange was an entity belonging to the direct or indirect public administration were subject to prior authorization by the CBB</w:t>
      </w:r>
      <w:r w:rsidRPr="003875F5">
        <w:rPr>
          <w:rFonts w:ascii="Times New Roman" w:hAnsi="Times New Roman" w:cs="Times New Roman"/>
          <w:sz w:val="24"/>
          <w:szCs w:val="24"/>
          <w:lang w:val="en-US"/>
        </w:rPr>
        <w:t>.”</w:t>
      </w:r>
      <w:r w:rsidR="009C423B" w:rsidRPr="003875F5">
        <w:rPr>
          <w:rFonts w:ascii="Times New Roman" w:hAnsi="Times New Roman" w:cs="Times New Roman"/>
          <w:sz w:val="24"/>
          <w:szCs w:val="24"/>
          <w:lang w:val="en-US"/>
        </w:rPr>
        <w:t xml:space="preserve"> Pursuant rule 17 and rule 5, this is a control. </w:t>
      </w:r>
    </w:p>
    <w:p w:rsidR="009C423B" w:rsidRPr="003875F5" w:rsidRDefault="009C423B" w:rsidP="00A170D8">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Also, please note that the underlined sentence clarifies the obscure wording in 2005: “</w:t>
      </w:r>
      <w:r w:rsidRPr="003875F5">
        <w:rPr>
          <w:rFonts w:ascii="Times New Roman" w:hAnsi="Times New Roman" w:cs="Times New Roman"/>
          <w:i/>
          <w:sz w:val="24"/>
          <w:szCs w:val="24"/>
          <w:lang w:val="en-US"/>
        </w:rPr>
        <w:t xml:space="preserve">Effective March 14, 2005, Brazilian nonfinancial enterprises may make transfers for outward direct investment purposes without limitation. Previously, the limit was US$5 million including all remittances in the previous 12 months. Transfers exceeding the established limit must first be submitted to the CBB before the exchange contract. Exchange operations in which the purchaser of the foreign exchange is an entity belonging to the direct or indirect public administration are subject to prior authorization by the CBB. Investments abroad by institutions authorized to operate by the CBB must obtain the prior approval of the CBB’s Department of Financial System Organization and satisfy several conditions, especially with respect to paid-up capital, net assets, </w:t>
      </w:r>
      <w:proofErr w:type="gramStart"/>
      <w:r w:rsidRPr="003875F5">
        <w:rPr>
          <w:rFonts w:ascii="Times New Roman" w:hAnsi="Times New Roman" w:cs="Times New Roman"/>
          <w:i/>
          <w:sz w:val="24"/>
          <w:szCs w:val="24"/>
          <w:lang w:val="en-US"/>
        </w:rPr>
        <w:t>time</w:t>
      </w:r>
      <w:proofErr w:type="gramEnd"/>
      <w:r w:rsidRPr="003875F5">
        <w:rPr>
          <w:rFonts w:ascii="Times New Roman" w:hAnsi="Times New Roman" w:cs="Times New Roman"/>
          <w:i/>
          <w:sz w:val="24"/>
          <w:szCs w:val="24"/>
          <w:lang w:val="en-US"/>
        </w:rPr>
        <w:t xml:space="preserve"> in operation, fixed-asset ratios, and borrowing ceilings</w:t>
      </w:r>
      <w:r w:rsidRPr="003875F5">
        <w:rPr>
          <w:rFonts w:ascii="Times New Roman" w:hAnsi="Times New Roman" w:cs="Times New Roman"/>
          <w:sz w:val="24"/>
          <w:szCs w:val="24"/>
          <w:lang w:val="en-US"/>
        </w:rPr>
        <w:t>.” This means that 2005 must be considered as a control, since financial institutions are affected by a ceiling (rule 6).</w:t>
      </w:r>
    </w:p>
    <w:p w:rsidR="00B27EA9" w:rsidRPr="003875F5" w:rsidRDefault="004A3121" w:rsidP="004A312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2007</w:t>
      </w:r>
      <w:r w:rsidR="006B690A" w:rsidRPr="003875F5">
        <w:rPr>
          <w:rFonts w:ascii="Times New Roman" w:hAnsi="Times New Roman" w:cs="Times New Roman"/>
          <w:sz w:val="24"/>
          <w:szCs w:val="24"/>
          <w:lang w:val="en-US"/>
        </w:rPr>
        <w:t>-2008</w:t>
      </w:r>
      <w:r w:rsidRPr="003875F5">
        <w:rPr>
          <w:rFonts w:ascii="Times New Roman" w:hAnsi="Times New Roman" w:cs="Times New Roman"/>
          <w:sz w:val="24"/>
          <w:szCs w:val="24"/>
          <w:lang w:val="en-US"/>
        </w:rPr>
        <w:t xml:space="preserve"> (similar to 2006): “</w:t>
      </w:r>
      <w:r w:rsidRPr="003875F5">
        <w:rPr>
          <w:rFonts w:ascii="Times New Roman" w:hAnsi="Times New Roman" w:cs="Times New Roman"/>
          <w:i/>
          <w:sz w:val="24"/>
          <w:szCs w:val="24"/>
          <w:lang w:val="en-US"/>
        </w:rPr>
        <w:t>No restrictions apply to transfers abroad of individual or corporate interest. Effective April 26, 2007, investments abroad by mutual funds are subject to prudential rules set by the CVM. Other funds are subject to specific regulation</w:t>
      </w:r>
      <w:r w:rsidRPr="003875F5">
        <w:rPr>
          <w:rFonts w:ascii="Times New Roman" w:hAnsi="Times New Roman" w:cs="Times New Roman"/>
          <w:sz w:val="24"/>
          <w:szCs w:val="24"/>
          <w:lang w:val="en-US"/>
        </w:rPr>
        <w:t>” This is a control pursuant rule 17 and rule 5.</w:t>
      </w:r>
    </w:p>
    <w:p w:rsidR="006F5C86" w:rsidRPr="003875F5" w:rsidRDefault="006F5C86" w:rsidP="006F5C8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ci_siln</w:t>
      </w:r>
      <w:proofErr w:type="spellEnd"/>
      <w:r w:rsidRPr="003875F5">
        <w:rPr>
          <w:rFonts w:ascii="Times New Roman" w:hAnsi="Times New Roman" w:cs="Times New Roman"/>
          <w:sz w:val="24"/>
          <w:szCs w:val="24"/>
          <w:lang w:val="en-US"/>
        </w:rPr>
        <w:t xml:space="preserve"> 2007</w:t>
      </w:r>
      <w:r w:rsidR="006B690A" w:rsidRPr="003875F5">
        <w:rPr>
          <w:rFonts w:ascii="Times New Roman" w:hAnsi="Times New Roman" w:cs="Times New Roman"/>
          <w:sz w:val="24"/>
          <w:szCs w:val="24"/>
          <w:lang w:val="en-US"/>
        </w:rPr>
        <w:t>-2008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 person offering the securities must be registered with the CVM. Commercial presence in Brazil is a requirement, except for sales through BDRs</w:t>
      </w:r>
      <w:r w:rsidRPr="003875F5">
        <w:rPr>
          <w:rFonts w:ascii="Times New Roman" w:hAnsi="Times New Roman" w:cs="Times New Roman"/>
          <w:sz w:val="24"/>
          <w:szCs w:val="24"/>
          <w:lang w:val="en-US"/>
        </w:rPr>
        <w:t xml:space="preserve">” </w:t>
      </w:r>
      <w:r w:rsidR="00A170D8" w:rsidRPr="003875F5">
        <w:rPr>
          <w:rFonts w:ascii="Times New Roman" w:hAnsi="Times New Roman" w:cs="Times New Roman"/>
          <w:sz w:val="24"/>
          <w:szCs w:val="24"/>
          <w:lang w:val="en-US"/>
        </w:rPr>
        <w:t>The commercial presence requirement is considered to be a control.</w:t>
      </w:r>
    </w:p>
    <w:p w:rsidR="006F5C86" w:rsidRPr="003875F5" w:rsidRDefault="006F5C86" w:rsidP="006F5C8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2007</w:t>
      </w:r>
      <w:r w:rsidR="006B690A" w:rsidRPr="003875F5">
        <w:rPr>
          <w:rFonts w:ascii="Times New Roman" w:hAnsi="Times New Roman" w:cs="Times New Roman"/>
          <w:sz w:val="24"/>
          <w:szCs w:val="24"/>
          <w:lang w:val="en-US"/>
        </w:rPr>
        <w:t>-200</w:t>
      </w:r>
      <w:r w:rsidR="00A05561" w:rsidRPr="003875F5">
        <w:rPr>
          <w:rFonts w:ascii="Times New Roman" w:hAnsi="Times New Roman" w:cs="Times New Roman"/>
          <w:sz w:val="24"/>
          <w:szCs w:val="24"/>
          <w:lang w:val="en-US"/>
        </w:rPr>
        <w:t>9</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Specific regulations apply to transfers of funds for investment abroad by institutions authorized to operate by the CBB and funds of any nature</w:t>
      </w:r>
      <w:r w:rsidRPr="003875F5">
        <w:rPr>
          <w:rFonts w:ascii="Times New Roman" w:hAnsi="Times New Roman" w:cs="Times New Roman"/>
          <w:sz w:val="24"/>
          <w:szCs w:val="24"/>
          <w:lang w:val="en-US"/>
        </w:rPr>
        <w:t>” This is a control, following rule 5.</w:t>
      </w:r>
    </w:p>
    <w:p w:rsidR="006F5C86" w:rsidRPr="003875F5" w:rsidRDefault="006F5C86" w:rsidP="00E6726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0005768C" w:rsidRPr="003875F5">
        <w:rPr>
          <w:rFonts w:ascii="Times New Roman" w:hAnsi="Times New Roman" w:cs="Times New Roman"/>
          <w:sz w:val="24"/>
          <w:szCs w:val="24"/>
          <w:lang w:val="en-US"/>
        </w:rPr>
        <w:t>eq_pabr</w:t>
      </w:r>
      <w:proofErr w:type="spellEnd"/>
      <w:r w:rsidR="0005768C" w:rsidRPr="003875F5">
        <w:rPr>
          <w:rFonts w:ascii="Times New Roman" w:hAnsi="Times New Roman" w:cs="Times New Roman"/>
          <w:sz w:val="24"/>
          <w:szCs w:val="24"/>
          <w:lang w:val="en-US"/>
        </w:rPr>
        <w:t xml:space="preserve"> 2009</w:t>
      </w:r>
      <w:r w:rsidR="00E92F0F" w:rsidRPr="003875F5">
        <w:rPr>
          <w:rFonts w:ascii="Times New Roman" w:hAnsi="Times New Roman" w:cs="Times New Roman"/>
          <w:sz w:val="24"/>
          <w:szCs w:val="24"/>
          <w:lang w:val="en-US"/>
        </w:rPr>
        <w:t>-2010</w:t>
      </w:r>
      <w:r w:rsidR="00E67261" w:rsidRPr="003875F5">
        <w:rPr>
          <w:rFonts w:ascii="Times New Roman" w:hAnsi="Times New Roman" w:cs="Times New Roman"/>
          <w:sz w:val="24"/>
          <w:szCs w:val="24"/>
          <w:lang w:val="en-US"/>
        </w:rPr>
        <w:t>: “</w:t>
      </w:r>
      <w:r w:rsidR="00E67261" w:rsidRPr="003875F5">
        <w:rPr>
          <w:rFonts w:ascii="Times New Roman" w:hAnsi="Times New Roman" w:cs="Times New Roman"/>
          <w:i/>
          <w:sz w:val="24"/>
          <w:szCs w:val="24"/>
          <w:lang w:val="en-US"/>
        </w:rPr>
        <w:t>No restrictions apply to transfers abroad for the purchase of shares or other interest by individuals or corporations. Investments abroad by mutual funds are subject to prudential rules set by the CVM. Other funds are subject to specific regulations</w:t>
      </w:r>
      <w:r w:rsidR="00E67261" w:rsidRPr="003875F5">
        <w:rPr>
          <w:rFonts w:ascii="Times New Roman" w:hAnsi="Times New Roman" w:cs="Times New Roman"/>
          <w:sz w:val="24"/>
          <w:szCs w:val="24"/>
          <w:lang w:val="en-US"/>
        </w:rPr>
        <w:t>” This is a control, following rule 17.</w:t>
      </w:r>
    </w:p>
    <w:p w:rsidR="00776321" w:rsidRPr="003875F5" w:rsidRDefault="00776321" w:rsidP="00776321">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2011-2012 the first sentence of the foregoing narrative is eliminated.</w:t>
      </w:r>
    </w:p>
    <w:p w:rsidR="00E67261" w:rsidRPr="003875F5" w:rsidRDefault="00E67261" w:rsidP="00E6726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bo_siar</w:t>
      </w:r>
      <w:proofErr w:type="spellEnd"/>
      <w:r w:rsidRPr="003875F5">
        <w:rPr>
          <w:rFonts w:ascii="Times New Roman" w:hAnsi="Times New Roman" w:cs="Times New Roman"/>
          <w:sz w:val="24"/>
          <w:szCs w:val="24"/>
          <w:lang w:val="en-US"/>
        </w:rPr>
        <w:t xml:space="preserve"> 2009: “</w:t>
      </w:r>
      <w:r w:rsidRPr="003875F5">
        <w:rPr>
          <w:rFonts w:ascii="Times New Roman" w:hAnsi="Times New Roman" w:cs="Times New Roman"/>
          <w:i/>
          <w:sz w:val="24"/>
          <w:szCs w:val="24"/>
          <w:lang w:val="en-US"/>
        </w:rPr>
        <w:t>Effective October 19, 2009, a 2% tax (IOF) applies to nonresidents’ funds inflows</w:t>
      </w:r>
      <w:r w:rsidRPr="003875F5">
        <w:rPr>
          <w:rFonts w:ascii="Times New Roman" w:hAnsi="Times New Roman" w:cs="Times New Roman"/>
          <w:sz w:val="24"/>
          <w:szCs w:val="24"/>
          <w:lang w:val="en-US"/>
        </w:rPr>
        <w:t xml:space="preserve">.” This </w:t>
      </w:r>
      <w:r w:rsidR="00A170D8" w:rsidRPr="003875F5">
        <w:rPr>
          <w:rFonts w:ascii="Times New Roman" w:hAnsi="Times New Roman" w:cs="Times New Roman"/>
          <w:sz w:val="24"/>
          <w:szCs w:val="24"/>
          <w:lang w:val="en-US"/>
        </w:rPr>
        <w:t>is</w:t>
      </w:r>
      <w:r w:rsidRPr="003875F5">
        <w:rPr>
          <w:rFonts w:ascii="Times New Roman" w:hAnsi="Times New Roman" w:cs="Times New Roman"/>
          <w:sz w:val="24"/>
          <w:szCs w:val="24"/>
          <w:lang w:val="en-US"/>
        </w:rPr>
        <w:t xml:space="preserve"> a control</w:t>
      </w:r>
      <w:r w:rsidR="00A170D8" w:rsidRPr="003875F5">
        <w:rPr>
          <w:rFonts w:ascii="Times New Roman" w:hAnsi="Times New Roman" w:cs="Times New Roman"/>
          <w:sz w:val="24"/>
          <w:szCs w:val="24"/>
          <w:lang w:val="en-US"/>
        </w:rPr>
        <w:t xml:space="preserve"> consistent with (i)</w:t>
      </w:r>
      <w:r w:rsidRPr="003875F5">
        <w:rPr>
          <w:rFonts w:ascii="Times New Roman" w:hAnsi="Times New Roman" w:cs="Times New Roman"/>
          <w:sz w:val="24"/>
          <w:szCs w:val="24"/>
          <w:lang w:val="en-US"/>
        </w:rPr>
        <w:t>.</w:t>
      </w:r>
    </w:p>
    <w:p w:rsidR="00A170D8" w:rsidRPr="003875F5" w:rsidRDefault="00A170D8" w:rsidP="00A170D8">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2010-2012, there was only a registration requirement, meaning that it is not deemed a control.</w:t>
      </w:r>
    </w:p>
    <w:p w:rsidR="00F675DD" w:rsidRPr="003875F5" w:rsidRDefault="00F675DD" w:rsidP="00F675D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mm_siar</w:t>
      </w:r>
      <w:proofErr w:type="spellEnd"/>
      <w:r w:rsidRPr="003875F5">
        <w:rPr>
          <w:rFonts w:ascii="Times New Roman" w:hAnsi="Times New Roman" w:cs="Times New Roman"/>
          <w:sz w:val="24"/>
          <w:szCs w:val="24"/>
          <w:lang w:val="en-US"/>
        </w:rPr>
        <w:t xml:space="preserve"> 2009: “</w:t>
      </w:r>
      <w:r w:rsidRPr="003875F5">
        <w:rPr>
          <w:rFonts w:ascii="Times New Roman" w:hAnsi="Times New Roman" w:cs="Times New Roman"/>
          <w:i/>
          <w:sz w:val="24"/>
          <w:szCs w:val="24"/>
          <w:lang w:val="en-US"/>
        </w:rPr>
        <w:t>Effective October 19, 2009, a 2% tax applies to nonresidents’ funds inflows</w:t>
      </w:r>
      <w:r w:rsidRPr="003875F5">
        <w:rPr>
          <w:rFonts w:ascii="Times New Roman" w:hAnsi="Times New Roman" w:cs="Times New Roman"/>
          <w:sz w:val="24"/>
          <w:szCs w:val="24"/>
          <w:lang w:val="en-US"/>
        </w:rPr>
        <w:t>” This should be a control</w:t>
      </w:r>
      <w:r w:rsidR="00A170D8" w:rsidRPr="003875F5">
        <w:rPr>
          <w:rFonts w:ascii="Times New Roman" w:hAnsi="Times New Roman" w:cs="Times New Roman"/>
          <w:sz w:val="24"/>
          <w:szCs w:val="24"/>
          <w:lang w:val="en-US"/>
        </w:rPr>
        <w:t xml:space="preserve"> consistent with (i)</w:t>
      </w:r>
      <w:r w:rsidRPr="003875F5">
        <w:rPr>
          <w:rFonts w:ascii="Times New Roman" w:hAnsi="Times New Roman" w:cs="Times New Roman"/>
          <w:sz w:val="24"/>
          <w:szCs w:val="24"/>
          <w:lang w:val="en-US"/>
        </w:rPr>
        <w:t>.</w:t>
      </w:r>
    </w:p>
    <w:p w:rsidR="00F675DD" w:rsidRPr="003875F5" w:rsidRDefault="00F675DD" w:rsidP="00DB4C0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ci_plbn</w:t>
      </w:r>
      <w:proofErr w:type="spellEnd"/>
      <w:r w:rsidRPr="003875F5">
        <w:rPr>
          <w:rFonts w:ascii="Times New Roman" w:hAnsi="Times New Roman" w:cs="Times New Roman"/>
          <w:sz w:val="24"/>
          <w:szCs w:val="24"/>
          <w:lang w:val="en-US"/>
        </w:rPr>
        <w:t xml:space="preserve"> 2009: “</w:t>
      </w:r>
      <w:r w:rsidR="00DB4C00" w:rsidRPr="003875F5">
        <w:rPr>
          <w:rFonts w:ascii="Times New Roman" w:hAnsi="Times New Roman" w:cs="Times New Roman"/>
          <w:i/>
          <w:sz w:val="24"/>
          <w:szCs w:val="24"/>
          <w:lang w:val="en-US"/>
        </w:rPr>
        <w:t>Effective October 19, 2009, a 2% tax (IOF) applies to nonresidents’ investments in equity and fixed income securities, with no discrimination between long- and short term flows. The foreign exchange transaction tax on other transactions is 0.38%, with some exceptions. Nonresident investors must register with the CVM, and the transactions must be reported to the CVM and registered with the RDE</w:t>
      </w:r>
      <w:r w:rsidR="00DB4C00"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w:t>
      </w:r>
      <w:r w:rsidR="00DB4C00" w:rsidRPr="003875F5">
        <w:rPr>
          <w:rFonts w:ascii="Times New Roman" w:hAnsi="Times New Roman" w:cs="Times New Roman"/>
          <w:sz w:val="24"/>
          <w:szCs w:val="24"/>
          <w:lang w:val="en-US"/>
        </w:rPr>
        <w:t xml:space="preserve"> This should be a control</w:t>
      </w:r>
      <w:r w:rsidR="00A05561" w:rsidRPr="003875F5">
        <w:rPr>
          <w:rFonts w:ascii="Times New Roman" w:hAnsi="Times New Roman" w:cs="Times New Roman"/>
          <w:sz w:val="24"/>
          <w:szCs w:val="24"/>
          <w:lang w:val="en-US"/>
        </w:rPr>
        <w:t xml:space="preserve"> </w:t>
      </w:r>
      <w:r w:rsidR="00A170D8" w:rsidRPr="003875F5">
        <w:rPr>
          <w:rFonts w:ascii="Times New Roman" w:hAnsi="Times New Roman" w:cs="Times New Roman"/>
          <w:sz w:val="24"/>
          <w:szCs w:val="24"/>
          <w:lang w:val="en-US"/>
        </w:rPr>
        <w:t>consistent</w:t>
      </w:r>
      <w:r w:rsidR="00A05561" w:rsidRPr="003875F5">
        <w:rPr>
          <w:rFonts w:ascii="Times New Roman" w:hAnsi="Times New Roman" w:cs="Times New Roman"/>
          <w:sz w:val="24"/>
          <w:szCs w:val="24"/>
          <w:lang w:val="en-US"/>
        </w:rPr>
        <w:t xml:space="preserve"> with (i)</w:t>
      </w:r>
      <w:r w:rsidR="00DB4C00" w:rsidRPr="003875F5">
        <w:rPr>
          <w:rFonts w:ascii="Times New Roman" w:hAnsi="Times New Roman" w:cs="Times New Roman"/>
          <w:sz w:val="24"/>
          <w:szCs w:val="24"/>
          <w:lang w:val="en-US"/>
        </w:rPr>
        <w:t>.</w:t>
      </w:r>
    </w:p>
    <w:p w:rsidR="00A170D8" w:rsidRPr="003875F5" w:rsidRDefault="00A170D8" w:rsidP="00A170D8">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This requirement was lifted effective December 1, 2011.</w:t>
      </w:r>
    </w:p>
    <w:p w:rsidR="00A05561" w:rsidRPr="003875F5" w:rsidRDefault="00F675DD" w:rsidP="00C729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ci_siar</w:t>
      </w:r>
      <w:proofErr w:type="spellEnd"/>
      <w:r w:rsidRPr="003875F5">
        <w:rPr>
          <w:rFonts w:ascii="Times New Roman" w:hAnsi="Times New Roman" w:cs="Times New Roman"/>
          <w:sz w:val="24"/>
          <w:szCs w:val="24"/>
          <w:lang w:val="en-US"/>
        </w:rPr>
        <w:t xml:space="preserve"> 2009 there is a</w:t>
      </w:r>
      <w:r w:rsidR="00C865AB" w:rsidRPr="003875F5">
        <w:rPr>
          <w:rFonts w:ascii="Times New Roman" w:hAnsi="Times New Roman" w:cs="Times New Roman"/>
          <w:sz w:val="24"/>
          <w:szCs w:val="24"/>
          <w:lang w:val="en-US"/>
        </w:rPr>
        <w:t>n</w:t>
      </w:r>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n.r</w:t>
      </w:r>
      <w:proofErr w:type="spellEnd"/>
      <w:r w:rsidRPr="003875F5">
        <w:rPr>
          <w:rFonts w:ascii="Times New Roman" w:hAnsi="Times New Roman" w:cs="Times New Roman"/>
          <w:sz w:val="24"/>
          <w:szCs w:val="24"/>
          <w:lang w:val="en-US"/>
        </w:rPr>
        <w:t>” in the second column; but, in the third column there is the following narrative: “</w:t>
      </w:r>
      <w:r w:rsidRPr="003875F5">
        <w:rPr>
          <w:rFonts w:ascii="Times New Roman" w:hAnsi="Times New Roman" w:cs="Times New Roman"/>
          <w:i/>
          <w:sz w:val="24"/>
          <w:szCs w:val="24"/>
          <w:lang w:val="en-US"/>
        </w:rPr>
        <w:t>The 2% tax applies only to nonresidents’ funds inflows</w:t>
      </w:r>
      <w:r w:rsidRPr="003875F5">
        <w:rPr>
          <w:rFonts w:ascii="Times New Roman" w:hAnsi="Times New Roman" w:cs="Times New Roman"/>
          <w:sz w:val="24"/>
          <w:szCs w:val="24"/>
          <w:lang w:val="en-US"/>
        </w:rPr>
        <w:t>”</w:t>
      </w:r>
      <w:r w:rsidR="00C865AB" w:rsidRPr="003875F5">
        <w:rPr>
          <w:rFonts w:ascii="Times New Roman" w:hAnsi="Times New Roman" w:cs="Times New Roman"/>
          <w:sz w:val="24"/>
          <w:szCs w:val="24"/>
          <w:lang w:val="en-US"/>
        </w:rPr>
        <w:t>. In this case, we decided to ignore the “</w:t>
      </w:r>
      <w:proofErr w:type="spellStart"/>
      <w:r w:rsidR="00C865AB" w:rsidRPr="003875F5">
        <w:rPr>
          <w:rFonts w:ascii="Times New Roman" w:hAnsi="Times New Roman" w:cs="Times New Roman"/>
          <w:sz w:val="24"/>
          <w:szCs w:val="24"/>
          <w:lang w:val="en-US"/>
        </w:rPr>
        <w:t>n.r</w:t>
      </w:r>
      <w:proofErr w:type="spellEnd"/>
      <w:r w:rsidR="00C865AB" w:rsidRPr="003875F5">
        <w:rPr>
          <w:rFonts w:ascii="Times New Roman" w:hAnsi="Times New Roman" w:cs="Times New Roman"/>
          <w:sz w:val="24"/>
          <w:szCs w:val="24"/>
          <w:lang w:val="en-US"/>
        </w:rPr>
        <w:t>”, and to consider it a control, bearing in mind its context.</w:t>
      </w:r>
    </w:p>
    <w:p w:rsidR="00C865AB" w:rsidRPr="003875F5" w:rsidRDefault="00C865AB" w:rsidP="00C729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fci</w:t>
      </w:r>
      <w:proofErr w:type="spellEnd"/>
      <w:r w:rsidRPr="003875F5">
        <w:rPr>
          <w:rFonts w:ascii="Times New Roman" w:hAnsi="Times New Roman" w:cs="Times New Roman"/>
          <w:sz w:val="24"/>
          <w:szCs w:val="24"/>
          <w:lang w:val="en-US"/>
        </w:rPr>
        <w:t xml:space="preserve"> 2008 we decided to set it as a control, since there was a tax at the time for this category of transactions. Despite this, it was not recorded on the AREAER. We resorted to the Decree 6333 of January 3, 2009.</w:t>
      </w:r>
    </w:p>
    <w:p w:rsidR="00186F40" w:rsidRPr="003875F5" w:rsidRDefault="00186F40" w:rsidP="00186F4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1995-1998: “</w:t>
      </w:r>
      <w:r w:rsidRPr="003875F5">
        <w:rPr>
          <w:rFonts w:ascii="Times New Roman" w:hAnsi="Times New Roman" w:cs="Times New Roman"/>
          <w:i/>
          <w:sz w:val="24"/>
          <w:szCs w:val="24"/>
          <w:lang w:val="en-US"/>
        </w:rPr>
        <w:t>Foreign capital fixed-income funds may conduct operations in organized derivative markets in the country, including futures operations carried out in markets managed by stock exchanges or commodities and futures exchanges. The resources of investors from Asuncion Treaty countries may be invested in the domestic options and futures market. The use of funds entering the country for the purchase of fixed-income securities and in operations carried out in derivatives markets is prohibited. There are no restrictions on investments in derivatives operations in Brazil by recipients of direct investments</w:t>
      </w:r>
      <w:r w:rsidRPr="003875F5">
        <w:rPr>
          <w:rFonts w:ascii="Times New Roman" w:hAnsi="Times New Roman" w:cs="Times New Roman"/>
          <w:sz w:val="24"/>
          <w:szCs w:val="24"/>
          <w:lang w:val="en-US"/>
        </w:rPr>
        <w:t>.” We believe that this is a control, as the foreign capitals are kept from entering the country.</w:t>
      </w:r>
    </w:p>
    <w:p w:rsidR="00AE32F9" w:rsidRPr="003875F5" w:rsidRDefault="00AE32F9" w:rsidP="00AE32F9">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1999</w:t>
      </w:r>
      <w:r w:rsidR="008856CB" w:rsidRPr="003875F5">
        <w:rPr>
          <w:rFonts w:ascii="Times New Roman" w:hAnsi="Times New Roman" w:cs="Times New Roman"/>
          <w:sz w:val="24"/>
          <w:szCs w:val="24"/>
          <w:lang w:val="en-US"/>
        </w:rPr>
        <w:t>-200</w:t>
      </w:r>
      <w:r w:rsidR="00B74EEF" w:rsidRPr="003875F5">
        <w:rPr>
          <w:rFonts w:ascii="Times New Roman" w:hAnsi="Times New Roman" w:cs="Times New Roman"/>
          <w:sz w:val="24"/>
          <w:szCs w:val="24"/>
          <w:lang w:val="en-US"/>
        </w:rPr>
        <w:t>1</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Any operation by a nonresident investor in derivatives or other future settlements markets may only be performed or registered in stock exchanges, commodities and futures exchanges, or over-the-counter markets organized by an entity authorized by the securities commission or settlement and custody system accredited by the CBB or authorized by the securities commission under their respective jurisdictions. In addition, resident and domiciled natural persons and corporations, including those having their head office abroad; funds; and other entities of foreign collective investment may perform transactions in commodities and futures exchanges involving forwards, futures, and options contracts </w:t>
      </w:r>
      <w:r w:rsidRPr="003875F5">
        <w:rPr>
          <w:rFonts w:ascii="Times New Roman" w:hAnsi="Times New Roman" w:cs="Times New Roman"/>
          <w:i/>
          <w:sz w:val="24"/>
          <w:szCs w:val="24"/>
          <w:lang w:val="en-US"/>
        </w:rPr>
        <w:lastRenderedPageBreak/>
        <w:t>in farm products. There are no restrictions on investments in derivative operations in Brazil by recipients of direct investments</w:t>
      </w:r>
      <w:r w:rsidRPr="003875F5">
        <w:rPr>
          <w:rFonts w:ascii="Times New Roman" w:hAnsi="Times New Roman" w:cs="Times New Roman"/>
          <w:sz w:val="24"/>
          <w:szCs w:val="24"/>
          <w:lang w:val="en-US"/>
        </w:rPr>
        <w:t>.”</w:t>
      </w:r>
      <w:r w:rsidR="008856CB" w:rsidRPr="003875F5">
        <w:rPr>
          <w:rFonts w:ascii="Times New Roman" w:hAnsi="Times New Roman" w:cs="Times New Roman"/>
          <w:sz w:val="24"/>
          <w:szCs w:val="24"/>
          <w:lang w:val="en-US"/>
        </w:rPr>
        <w:t xml:space="preserve"> </w:t>
      </w:r>
      <w:r w:rsidR="00186F40" w:rsidRPr="003875F5">
        <w:rPr>
          <w:rFonts w:ascii="Times New Roman" w:hAnsi="Times New Roman" w:cs="Times New Roman"/>
          <w:sz w:val="24"/>
          <w:szCs w:val="24"/>
          <w:lang w:val="en-US"/>
        </w:rPr>
        <w:t>This is a control, considering that OTC operations require authorization (rule 5).</w:t>
      </w:r>
    </w:p>
    <w:p w:rsidR="00906610" w:rsidRPr="003875F5" w:rsidRDefault="00906610" w:rsidP="0090661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1995-</w:t>
      </w:r>
      <w:r w:rsidR="009D788B" w:rsidRPr="003875F5">
        <w:rPr>
          <w:rFonts w:ascii="Times New Roman" w:hAnsi="Times New Roman" w:cs="Times New Roman"/>
          <w:sz w:val="24"/>
          <w:szCs w:val="24"/>
          <w:lang w:val="en-US"/>
        </w:rPr>
        <w:t>200</w:t>
      </w:r>
      <w:r w:rsidR="00303CCF" w:rsidRPr="003875F5">
        <w:rPr>
          <w:rFonts w:ascii="Times New Roman" w:hAnsi="Times New Roman" w:cs="Times New Roman"/>
          <w:sz w:val="24"/>
          <w:szCs w:val="24"/>
          <w:lang w:val="en-US"/>
        </w:rPr>
        <w:t>1</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Private sector entities may engage in hedging operations with financial institutions or stock exchanges abroad to protect themselves against the risk of variations in interest rates, exchange rates, and commodity prices. The costs of such operations must conform to the parameters in force in the international market. The CBB may, at its sole discretion, require foreign exchange compensation sufficient to eliminate the effects of operations not in line with the established objective or executed outside those parameters, without prejudice to other sanctions that may apply. Payments and receipts in foreign currency scheduled or expected to occur in the future in connection with commercial or financial rights or obligations may also be protected by hedging. Hedging operations, however, are limited at any time (1) in interest rate and currency swaps, to the amount of the underlying commercial or financial rights and obligations remaining in foreign currency; and (2) in commodities swaps, open positions are limited to the physical volume of the commodity to be exported, imported, or traded in the domestic market</w:t>
      </w:r>
      <w:r w:rsidRPr="003875F5">
        <w:rPr>
          <w:rFonts w:ascii="Times New Roman" w:hAnsi="Times New Roman" w:cs="Times New Roman"/>
          <w:sz w:val="24"/>
          <w:szCs w:val="24"/>
          <w:lang w:val="en-US"/>
        </w:rPr>
        <w:t>”</w:t>
      </w:r>
      <w:r w:rsidR="0016311B" w:rsidRPr="003875F5">
        <w:rPr>
          <w:rFonts w:ascii="Times New Roman" w:hAnsi="Times New Roman" w:cs="Times New Roman"/>
          <w:sz w:val="24"/>
          <w:szCs w:val="24"/>
          <w:lang w:val="en-US"/>
        </w:rPr>
        <w:t xml:space="preserve"> We</w:t>
      </w:r>
      <w:r w:rsidRPr="003875F5">
        <w:rPr>
          <w:rFonts w:ascii="Times New Roman" w:hAnsi="Times New Roman" w:cs="Times New Roman"/>
          <w:sz w:val="24"/>
          <w:szCs w:val="24"/>
          <w:lang w:val="en-US"/>
        </w:rPr>
        <w:t xml:space="preserve"> think that this is a control, considering that “</w:t>
      </w:r>
      <w:r w:rsidRPr="003875F5">
        <w:rPr>
          <w:rFonts w:ascii="Times New Roman" w:hAnsi="Times New Roman" w:cs="Times New Roman"/>
          <w:i/>
          <w:sz w:val="24"/>
          <w:szCs w:val="24"/>
          <w:lang w:val="en-US"/>
        </w:rPr>
        <w:t>The CBB may, at its sole discretion (…)</w:t>
      </w:r>
      <w:r w:rsidRPr="003875F5">
        <w:rPr>
          <w:rFonts w:ascii="Times New Roman" w:hAnsi="Times New Roman" w:cs="Times New Roman"/>
          <w:sz w:val="24"/>
          <w:szCs w:val="24"/>
          <w:lang w:val="en-US"/>
        </w:rPr>
        <w:t xml:space="preserve">” which recalls some form of prudential regulation. Therefore, pursuant rule 17, this should be coded with ones. </w:t>
      </w:r>
    </w:p>
    <w:p w:rsidR="00A30014" w:rsidRPr="003875F5" w:rsidRDefault="00E447CD" w:rsidP="00E447C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w:t>
      </w:r>
      <w:r w:rsidR="00881DD5"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2009</w:t>
      </w:r>
      <w:r w:rsidR="00881DD5" w:rsidRPr="003875F5">
        <w:rPr>
          <w:rFonts w:ascii="Times New Roman" w:hAnsi="Times New Roman" w:cs="Times New Roman"/>
          <w:sz w:val="24"/>
          <w:szCs w:val="24"/>
          <w:lang w:val="en-US"/>
        </w:rPr>
        <w:t>-201</w:t>
      </w:r>
      <w:r w:rsidR="00904D82" w:rsidRPr="003875F5">
        <w:rPr>
          <w:rFonts w:ascii="Times New Roman" w:hAnsi="Times New Roman" w:cs="Times New Roman"/>
          <w:sz w:val="24"/>
          <w:szCs w:val="24"/>
          <w:lang w:val="en-US"/>
        </w:rPr>
        <w:t>2</w:t>
      </w:r>
      <w:r w:rsidR="00881DD5" w:rsidRPr="003875F5">
        <w:rPr>
          <w:rFonts w:ascii="Times New Roman" w:hAnsi="Times New Roman" w:cs="Times New Roman"/>
          <w:sz w:val="24"/>
          <w:szCs w:val="24"/>
          <w:lang w:val="en-US"/>
        </w:rPr>
        <w:t xml:space="preserve">) and </w:t>
      </w:r>
      <w:proofErr w:type="spellStart"/>
      <w:r w:rsidR="00881DD5" w:rsidRPr="003875F5">
        <w:rPr>
          <w:rFonts w:ascii="Times New Roman" w:hAnsi="Times New Roman" w:cs="Times New Roman"/>
          <w:sz w:val="24"/>
          <w:szCs w:val="24"/>
          <w:lang w:val="en-US"/>
        </w:rPr>
        <w:t>de_siar</w:t>
      </w:r>
      <w:proofErr w:type="spellEnd"/>
      <w:r w:rsidR="00881DD5" w:rsidRPr="003875F5">
        <w:rPr>
          <w:rFonts w:ascii="Times New Roman" w:hAnsi="Times New Roman" w:cs="Times New Roman"/>
          <w:sz w:val="24"/>
          <w:szCs w:val="24"/>
          <w:lang w:val="en-US"/>
        </w:rPr>
        <w:t xml:space="preserve"> (2010</w:t>
      </w:r>
      <w:r w:rsidR="00904D82" w:rsidRPr="003875F5">
        <w:rPr>
          <w:rFonts w:ascii="Times New Roman" w:hAnsi="Times New Roman" w:cs="Times New Roman"/>
          <w:sz w:val="24"/>
          <w:szCs w:val="24"/>
          <w:lang w:val="en-US"/>
        </w:rPr>
        <w:t>-2012</w:t>
      </w:r>
      <w:r w:rsidR="00881DD5"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Private sector entities may engage in hedging operations with financial institutions or stock exchanges abroad to protect themselves against the risk of fluctuations in interest rates, exchange rates, and commodity prices. Derivative transactions without an underlying operation are not allowed</w:t>
      </w:r>
      <w:r w:rsidRPr="003875F5">
        <w:rPr>
          <w:rFonts w:ascii="Times New Roman" w:hAnsi="Times New Roman" w:cs="Times New Roman"/>
          <w:sz w:val="24"/>
          <w:szCs w:val="24"/>
          <w:lang w:val="en-US"/>
        </w:rPr>
        <w:t>.”</w:t>
      </w:r>
      <w:r w:rsidR="0016311B" w:rsidRPr="003875F5">
        <w:rPr>
          <w:rFonts w:ascii="Times New Roman" w:hAnsi="Times New Roman" w:cs="Times New Roman"/>
          <w:sz w:val="24"/>
          <w:szCs w:val="24"/>
          <w:lang w:val="en-US"/>
        </w:rPr>
        <w:t xml:space="preserve"> We</w:t>
      </w:r>
      <w:r w:rsidRPr="003875F5">
        <w:rPr>
          <w:rFonts w:ascii="Times New Roman" w:hAnsi="Times New Roman" w:cs="Times New Roman"/>
          <w:sz w:val="24"/>
          <w:szCs w:val="24"/>
          <w:lang w:val="en-US"/>
        </w:rPr>
        <w:t xml:space="preserve"> </w:t>
      </w:r>
      <w:r w:rsidR="0016311B" w:rsidRPr="003875F5">
        <w:rPr>
          <w:rFonts w:ascii="Times New Roman" w:hAnsi="Times New Roman" w:cs="Times New Roman"/>
          <w:sz w:val="24"/>
          <w:szCs w:val="24"/>
          <w:lang w:val="en-US"/>
        </w:rPr>
        <w:t>set this as a</w:t>
      </w:r>
      <w:r w:rsidRPr="003875F5">
        <w:rPr>
          <w:rFonts w:ascii="Times New Roman" w:hAnsi="Times New Roman" w:cs="Times New Roman"/>
          <w:sz w:val="24"/>
          <w:szCs w:val="24"/>
          <w:lang w:val="en-US"/>
        </w:rPr>
        <w:t xml:space="preserve"> control in consideration of the last sentence.</w:t>
      </w:r>
    </w:p>
    <w:p w:rsidR="0038158D" w:rsidRPr="003875F5" w:rsidRDefault="00E33A34" w:rsidP="0038158D">
      <w:pPr>
        <w:pStyle w:val="Prrafodelista"/>
        <w:numPr>
          <w:ilvl w:val="2"/>
          <w:numId w:val="2"/>
        </w:numPr>
        <w:spacing w:line="240" w:lineRule="auto"/>
        <w:jc w:val="both"/>
        <w:rPr>
          <w:rFonts w:ascii="Times New Roman" w:hAnsi="Times New Roman" w:cs="Times New Roman"/>
          <w:i/>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gsi</w:t>
      </w:r>
      <w:proofErr w:type="spellEnd"/>
      <w:r w:rsidRPr="003875F5">
        <w:rPr>
          <w:rFonts w:ascii="Times New Roman" w:hAnsi="Times New Roman" w:cs="Times New Roman"/>
          <w:sz w:val="24"/>
          <w:szCs w:val="24"/>
          <w:lang w:val="en-US"/>
        </w:rPr>
        <w:t xml:space="preserve"> 1995-</w:t>
      </w:r>
      <w:r w:rsidR="00EE45A5" w:rsidRPr="003875F5">
        <w:rPr>
          <w:rFonts w:ascii="Times New Roman" w:hAnsi="Times New Roman" w:cs="Times New Roman"/>
          <w:sz w:val="24"/>
          <w:szCs w:val="24"/>
          <w:lang w:val="en-US"/>
        </w:rPr>
        <w:t>2001</w:t>
      </w:r>
      <w:r w:rsidR="0038158D" w:rsidRPr="003875F5">
        <w:rPr>
          <w:rFonts w:ascii="Times New Roman" w:hAnsi="Times New Roman" w:cs="Times New Roman"/>
          <w:sz w:val="24"/>
          <w:szCs w:val="24"/>
          <w:lang w:val="en-US"/>
        </w:rPr>
        <w:t xml:space="preserve"> “</w:t>
      </w:r>
      <w:r w:rsidR="0038158D" w:rsidRPr="003875F5">
        <w:rPr>
          <w:rFonts w:ascii="Times New Roman" w:hAnsi="Times New Roman" w:cs="Times New Roman"/>
          <w:i/>
          <w:sz w:val="24"/>
          <w:szCs w:val="24"/>
          <w:lang w:val="en-US"/>
        </w:rPr>
        <w:t>There are no controls on guarantees provided by nonresidents to residents in connection with foreign capital registered with the CBB, subject to the presentation of a formal statement by the foreign entity furnishing the guarantee. Data concerning the guarantee and the costs incurred in obtaining it are included in the Certificate of Authorization or Registration of the guaranteed operation. If costs are incurred in obtaining the guarantee, the credit operation must be authorized in advance by the CBB.</w:t>
      </w:r>
    </w:p>
    <w:p w:rsidR="00E447CD" w:rsidRPr="003875F5" w:rsidRDefault="0038158D" w:rsidP="0038158D">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i/>
          <w:sz w:val="24"/>
          <w:szCs w:val="24"/>
          <w:lang w:val="en-US"/>
        </w:rPr>
        <w:t>There are no specific regulations governing other operations. In the event of execution of a guarantee, the beneficiary must arrange for the entry of the corresponding foreign exchange directly through the banking system.</w:t>
      </w:r>
      <w:r w:rsidRPr="003875F5">
        <w:rPr>
          <w:rFonts w:ascii="Times New Roman" w:hAnsi="Times New Roman" w:cs="Times New Roman"/>
          <w:sz w:val="24"/>
          <w:szCs w:val="24"/>
          <w:lang w:val="en-US"/>
        </w:rPr>
        <w:t xml:space="preserve">” </w:t>
      </w:r>
      <w:r w:rsidR="00E607F2" w:rsidRPr="003875F5">
        <w:rPr>
          <w:rFonts w:ascii="Times New Roman" w:hAnsi="Times New Roman" w:cs="Times New Roman"/>
          <w:sz w:val="24"/>
          <w:szCs w:val="24"/>
          <w:lang w:val="en-US"/>
        </w:rPr>
        <w:t>We</w:t>
      </w:r>
      <w:r w:rsidR="00752BB1" w:rsidRPr="003875F5">
        <w:rPr>
          <w:rFonts w:ascii="Times New Roman" w:hAnsi="Times New Roman" w:cs="Times New Roman"/>
          <w:sz w:val="24"/>
          <w:szCs w:val="24"/>
          <w:lang w:val="en-US"/>
        </w:rPr>
        <w:t xml:space="preserve"> coded with ones.</w:t>
      </w:r>
    </w:p>
    <w:p w:rsidR="00FA3409" w:rsidRPr="003875F5" w:rsidRDefault="00A30014" w:rsidP="00B252C6">
      <w:pPr>
        <w:pStyle w:val="Estilo2"/>
      </w:pPr>
      <w:bookmarkStart w:id="15" w:name="_Toc402472314"/>
      <w:r w:rsidRPr="003875F5">
        <w:t>Brunei Darussala</w:t>
      </w:r>
      <w:r w:rsidR="00FA3409" w:rsidRPr="003875F5">
        <w:t>m</w:t>
      </w:r>
      <w:bookmarkEnd w:id="15"/>
    </w:p>
    <w:p w:rsidR="00FA3409" w:rsidRPr="003875F5" w:rsidRDefault="00FA3409"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lastRenderedPageBreak/>
        <w:t>From 1995 to 2011 this narrative is identical in dii: “</w:t>
      </w:r>
      <w:r w:rsidRPr="003875F5">
        <w:rPr>
          <w:rFonts w:ascii="Times New Roman" w:hAnsi="Times New Roman" w:cs="Times New Roman"/>
          <w:i/>
          <w:sz w:val="24"/>
          <w:szCs w:val="24"/>
          <w:lang w:val="en-US"/>
        </w:rPr>
        <w:t xml:space="preserve">There are no </w:t>
      </w:r>
      <w:proofErr w:type="spellStart"/>
      <w:r w:rsidRPr="003875F5">
        <w:rPr>
          <w:rFonts w:ascii="Times New Roman" w:hAnsi="Times New Roman" w:cs="Times New Roman"/>
          <w:i/>
          <w:sz w:val="24"/>
          <w:szCs w:val="24"/>
          <w:lang w:val="en-US"/>
        </w:rPr>
        <w:t>sectoral</w:t>
      </w:r>
      <w:proofErr w:type="spellEnd"/>
      <w:r w:rsidRPr="003875F5">
        <w:rPr>
          <w:rFonts w:ascii="Times New Roman" w:hAnsi="Times New Roman" w:cs="Times New Roman"/>
          <w:i/>
          <w:sz w:val="24"/>
          <w:szCs w:val="24"/>
          <w:lang w:val="en-US"/>
        </w:rPr>
        <w:t xml:space="preserve"> controls, but activities relating to national food security and those involving local resources require some degree of local participation. Industries producing for the local market products that are not related to national food security and industries producing only for export may be fully foreign owned. Joint ventures with local companies are particularly encouraged in export-import industries and activities supporting such industries. At least one-half of a company’s directors must be either Brunei citizens or residents of Brunei Darussalam</w:t>
      </w:r>
      <w:r w:rsidR="00532736" w:rsidRPr="003875F5">
        <w:rPr>
          <w:rFonts w:ascii="Times New Roman" w:hAnsi="Times New Roman" w:cs="Times New Roman"/>
          <w:sz w:val="24"/>
          <w:szCs w:val="24"/>
          <w:lang w:val="en-US"/>
        </w:rPr>
        <w:t>.” Pursuant rule 2, this is not considered a control.</w:t>
      </w:r>
    </w:p>
    <w:p w:rsidR="008F2C24" w:rsidRPr="003875F5" w:rsidRDefault="008F2C24" w:rsidP="00B252C6">
      <w:pPr>
        <w:pStyle w:val="Estilo2"/>
      </w:pPr>
      <w:bookmarkStart w:id="16" w:name="_Toc402472315"/>
      <w:r w:rsidRPr="003875F5">
        <w:t>Burkina Faso</w:t>
      </w:r>
      <w:bookmarkEnd w:id="16"/>
    </w:p>
    <w:p w:rsidR="008F2C24" w:rsidRPr="003875F5" w:rsidRDefault="008F2C24"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Starting in 1999, the following appears</w:t>
      </w:r>
      <w:r w:rsidR="00532736" w:rsidRPr="003875F5">
        <w:rPr>
          <w:rFonts w:ascii="Times New Roman" w:hAnsi="Times New Roman" w:cs="Times New Roman"/>
          <w:sz w:val="24"/>
          <w:szCs w:val="24"/>
          <w:lang w:val="en-US"/>
        </w:rPr>
        <w:t xml:space="preserve"> in </w:t>
      </w:r>
      <w:proofErr w:type="spellStart"/>
      <w:r w:rsidR="00532736"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 liquidation of investments abroad must be reported to the MEF for statistical purposes. Reinvestment of the liquidation proceeds is subject to MEF authorization. If reinvestment is not authorized, the liquidation proceeds must be repatriated within one month through an authorized intermediary. The sale of foreign investments by nonresidents is unrestricted but must be reported to the MEF for statistical purposes</w:t>
      </w:r>
      <w:r w:rsidRPr="003875F5">
        <w:rPr>
          <w:rFonts w:ascii="Times New Roman" w:hAnsi="Times New Roman" w:cs="Times New Roman"/>
          <w:sz w:val="24"/>
          <w:szCs w:val="24"/>
          <w:lang w:val="en-US"/>
        </w:rPr>
        <w:t xml:space="preserve">.” </w:t>
      </w:r>
      <w:r w:rsidR="00532736" w:rsidRPr="003875F5">
        <w:rPr>
          <w:rFonts w:ascii="Times New Roman" w:hAnsi="Times New Roman" w:cs="Times New Roman"/>
          <w:sz w:val="24"/>
          <w:szCs w:val="24"/>
          <w:lang w:val="en-US"/>
        </w:rPr>
        <w:t>Pursuant rule 2, this is considered as a control.</w:t>
      </w:r>
    </w:p>
    <w:p w:rsidR="00AC653C" w:rsidRPr="003875F5" w:rsidRDefault="00AC653C" w:rsidP="00AC653C">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eq_siar</w:t>
      </w:r>
      <w:proofErr w:type="spellEnd"/>
      <w:r w:rsidRPr="003875F5">
        <w:rPr>
          <w:rFonts w:ascii="Times New Roman" w:hAnsi="Times New Roman" w:cs="Times New Roman"/>
          <w:sz w:val="24"/>
          <w:szCs w:val="24"/>
          <w:lang w:val="en-US"/>
        </w:rPr>
        <w:t xml:space="preserve"> 2005-2012, the following narrative remains essentially unchanged: “</w:t>
      </w:r>
      <w:r w:rsidRPr="003875F5">
        <w:rPr>
          <w:rFonts w:ascii="Times New Roman" w:hAnsi="Times New Roman" w:cs="Times New Roman"/>
          <w:i/>
          <w:sz w:val="24"/>
          <w:szCs w:val="24"/>
          <w:lang w:val="en-US"/>
        </w:rPr>
        <w:t>Residents may sell local corporate securities abroad. If these operations result in foreign control of domestic establishments, foreign investors are required to make a prior declaration to the MOF. The sale of securities to liquidate an investment abroad is subject to declaration to the MOF for statistical purposes. The proceeds in foreign exchange from sale or liquidation must be surrendered to an authorized intermediary bank within one month. Residents may also issue securities abroad, except for those constituting a loan. Issuance of the latter to nonresidents must be made through an authorized bank and must be reported to the MOF for statistical purposes</w:t>
      </w:r>
      <w:r w:rsidRPr="003875F5">
        <w:rPr>
          <w:rFonts w:ascii="Times New Roman" w:hAnsi="Times New Roman" w:cs="Times New Roman"/>
          <w:sz w:val="24"/>
          <w:szCs w:val="24"/>
          <w:lang w:val="en-US"/>
        </w:rPr>
        <w:t xml:space="preserve">.” </w:t>
      </w:r>
      <w:r w:rsidR="000F2CF4" w:rsidRPr="003875F5">
        <w:rPr>
          <w:rFonts w:ascii="Times New Roman" w:hAnsi="Times New Roman" w:cs="Times New Roman"/>
          <w:sz w:val="24"/>
          <w:szCs w:val="24"/>
          <w:lang w:val="en-US"/>
        </w:rPr>
        <w:t xml:space="preserve">We considered that the authorization requirement for banks and the need to surrender within one month are restrictions to the capital </w:t>
      </w:r>
      <w:r w:rsidR="00974DEC" w:rsidRPr="003875F5">
        <w:rPr>
          <w:rFonts w:ascii="Times New Roman" w:hAnsi="Times New Roman" w:cs="Times New Roman"/>
          <w:sz w:val="24"/>
          <w:szCs w:val="24"/>
          <w:lang w:val="en-US"/>
        </w:rPr>
        <w:t>flows;</w:t>
      </w:r>
      <w:r w:rsidR="000F2CF4" w:rsidRPr="003875F5">
        <w:rPr>
          <w:rFonts w:ascii="Times New Roman" w:hAnsi="Times New Roman" w:cs="Times New Roman"/>
          <w:sz w:val="24"/>
          <w:szCs w:val="24"/>
          <w:lang w:val="en-US"/>
        </w:rPr>
        <w:t xml:space="preserve"> hence, this was coded with ones.</w:t>
      </w:r>
    </w:p>
    <w:p w:rsidR="00752BB1" w:rsidRPr="003875F5" w:rsidRDefault="00353D06" w:rsidP="00353D0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1997</w:t>
      </w:r>
      <w:r w:rsidR="00E47CA7" w:rsidRPr="003875F5">
        <w:rPr>
          <w:rFonts w:ascii="Times New Roman" w:hAnsi="Times New Roman" w:cs="Times New Roman"/>
          <w:sz w:val="24"/>
          <w:szCs w:val="24"/>
          <w:lang w:val="en-US"/>
        </w:rPr>
        <w:t>-2005</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These instruments, which are virtually nonexistent in Burkina Faso, are governed by the regulations generally applicable to securities and investments</w:t>
      </w:r>
      <w:r w:rsidRPr="003875F5">
        <w:rPr>
          <w:rFonts w:ascii="Times New Roman" w:hAnsi="Times New Roman" w:cs="Times New Roman"/>
          <w:sz w:val="24"/>
          <w:szCs w:val="24"/>
          <w:lang w:val="en-US"/>
        </w:rPr>
        <w:t xml:space="preserve">.” </w:t>
      </w:r>
      <w:r w:rsidR="000478B9" w:rsidRPr="003875F5">
        <w:rPr>
          <w:rFonts w:ascii="Times New Roman" w:hAnsi="Times New Roman" w:cs="Times New Roman"/>
          <w:sz w:val="24"/>
          <w:szCs w:val="24"/>
          <w:lang w:val="en-US"/>
        </w:rPr>
        <w:t>Subcategories were coded in accordance with rule 3(i).</w:t>
      </w:r>
    </w:p>
    <w:p w:rsidR="00353D06" w:rsidRPr="003875F5" w:rsidRDefault="00EC0C2E" w:rsidP="00EC0C2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cci 1995</w:t>
      </w:r>
      <w:r w:rsidR="00E33A34" w:rsidRPr="003875F5">
        <w:rPr>
          <w:rFonts w:ascii="Times New Roman" w:hAnsi="Times New Roman" w:cs="Times New Roman"/>
          <w:sz w:val="24"/>
          <w:szCs w:val="24"/>
          <w:lang w:val="en-US"/>
        </w:rPr>
        <w:t>-199</w:t>
      </w:r>
      <w:r w:rsidR="00061F99" w:rsidRPr="003875F5">
        <w:rPr>
          <w:rFonts w:ascii="Times New Roman" w:hAnsi="Times New Roman" w:cs="Times New Roman"/>
          <w:sz w:val="24"/>
          <w:szCs w:val="24"/>
          <w:lang w:val="en-US"/>
        </w:rPr>
        <w:t>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are no restrictions, but repayments of commercial credits are generally approved, subject to the documentation requirement</w:t>
      </w:r>
      <w:r w:rsidRPr="003875F5">
        <w:rPr>
          <w:rFonts w:ascii="Times New Roman" w:hAnsi="Times New Roman" w:cs="Times New Roman"/>
          <w:sz w:val="24"/>
          <w:szCs w:val="24"/>
          <w:lang w:val="en-US"/>
        </w:rPr>
        <w:t>.” Please note t</w:t>
      </w:r>
      <w:r w:rsidR="000E6678" w:rsidRPr="003875F5">
        <w:rPr>
          <w:rFonts w:ascii="Times New Roman" w:hAnsi="Times New Roman" w:cs="Times New Roman"/>
          <w:sz w:val="24"/>
          <w:szCs w:val="24"/>
          <w:lang w:val="en-US"/>
        </w:rPr>
        <w:t>hat approval is only subject to the presentation of documents.</w:t>
      </w:r>
      <w:r w:rsidR="00E607F2" w:rsidRPr="003875F5">
        <w:rPr>
          <w:rFonts w:ascii="Times New Roman" w:hAnsi="Times New Roman" w:cs="Times New Roman"/>
          <w:sz w:val="24"/>
          <w:szCs w:val="24"/>
          <w:lang w:val="en-US"/>
        </w:rPr>
        <w:t xml:space="preserve"> Therefore, we</w:t>
      </w:r>
      <w:r w:rsidRPr="003875F5">
        <w:rPr>
          <w:rFonts w:ascii="Times New Roman" w:hAnsi="Times New Roman" w:cs="Times New Roman"/>
          <w:sz w:val="24"/>
          <w:szCs w:val="24"/>
          <w:lang w:val="en-US"/>
        </w:rPr>
        <w:t xml:space="preserve"> coded with </w:t>
      </w:r>
      <w:r w:rsidR="000E6678" w:rsidRPr="003875F5">
        <w:rPr>
          <w:rFonts w:ascii="Times New Roman" w:hAnsi="Times New Roman" w:cs="Times New Roman"/>
          <w:sz w:val="24"/>
          <w:szCs w:val="24"/>
          <w:lang w:val="en-US"/>
        </w:rPr>
        <w:t>zeros</w:t>
      </w:r>
      <w:r w:rsidRPr="003875F5">
        <w:rPr>
          <w:rFonts w:ascii="Times New Roman" w:hAnsi="Times New Roman" w:cs="Times New Roman"/>
          <w:sz w:val="24"/>
          <w:szCs w:val="24"/>
          <w:lang w:val="en-US"/>
        </w:rPr>
        <w:t>.</w:t>
      </w:r>
    </w:p>
    <w:p w:rsidR="008925A7" w:rsidRDefault="00F7357D" w:rsidP="008925A7">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1999-2012 narrative changes: “</w:t>
      </w:r>
      <w:r w:rsidRPr="003875F5">
        <w:rPr>
          <w:rFonts w:ascii="Times New Roman" w:hAnsi="Times New Roman" w:cs="Times New Roman"/>
          <w:i/>
          <w:sz w:val="24"/>
          <w:szCs w:val="24"/>
          <w:lang w:val="en-US"/>
        </w:rPr>
        <w:t xml:space="preserve">There are no controls, and repayments of commercial credits are generally approved, subject to </w:t>
      </w:r>
      <w:r w:rsidRPr="003875F5">
        <w:rPr>
          <w:rFonts w:ascii="Times New Roman" w:hAnsi="Times New Roman" w:cs="Times New Roman"/>
          <w:i/>
          <w:sz w:val="24"/>
          <w:szCs w:val="24"/>
          <w:lang w:val="en-US"/>
        </w:rPr>
        <w:lastRenderedPageBreak/>
        <w:t>the presentation of documents attesting to the validity of the commercial operation or of the services rendered, as well as the payment due date</w:t>
      </w:r>
      <w:r w:rsidRPr="003875F5">
        <w:rPr>
          <w:rFonts w:ascii="Times New Roman" w:hAnsi="Times New Roman" w:cs="Times New Roman"/>
          <w:sz w:val="24"/>
          <w:szCs w:val="24"/>
          <w:lang w:val="en-US"/>
        </w:rPr>
        <w:t>.” No</w:t>
      </w:r>
      <w:r w:rsidR="00E607F2" w:rsidRPr="003875F5">
        <w:rPr>
          <w:rFonts w:ascii="Times New Roman" w:hAnsi="Times New Roman" w:cs="Times New Roman"/>
          <w:sz w:val="24"/>
          <w:szCs w:val="24"/>
          <w:lang w:val="en-US"/>
        </w:rPr>
        <w:t>netheless, we</w:t>
      </w:r>
      <w:r w:rsidRPr="003875F5">
        <w:rPr>
          <w:rFonts w:ascii="Times New Roman" w:hAnsi="Times New Roman" w:cs="Times New Roman"/>
          <w:sz w:val="24"/>
          <w:szCs w:val="24"/>
          <w:lang w:val="en-US"/>
        </w:rPr>
        <w:t xml:space="preserve"> still believe that it must be coded with zeros.</w:t>
      </w:r>
    </w:p>
    <w:p w:rsidR="008925A7" w:rsidRPr="00A26CEC" w:rsidRDefault="008925A7" w:rsidP="008925A7">
      <w:pPr>
        <w:pStyle w:val="Prrafodelista"/>
        <w:numPr>
          <w:ilvl w:val="2"/>
          <w:numId w:val="2"/>
        </w:numPr>
        <w:spacing w:line="240" w:lineRule="auto"/>
        <w:jc w:val="both"/>
        <w:rPr>
          <w:rFonts w:ascii="Times New Roman" w:hAnsi="Times New Roman" w:cs="Times New Roman"/>
          <w:color w:val="00B050"/>
          <w:sz w:val="24"/>
          <w:szCs w:val="24"/>
          <w:lang w:val="en-US"/>
        </w:rPr>
      </w:pPr>
      <w:r w:rsidRPr="00A26CEC">
        <w:rPr>
          <w:rFonts w:ascii="Times New Roman" w:hAnsi="Times New Roman" w:cs="Times New Roman"/>
          <w:color w:val="00B050"/>
          <w:sz w:val="24"/>
          <w:szCs w:val="24"/>
          <w:lang w:val="en-US"/>
        </w:rPr>
        <w:t xml:space="preserve">In </w:t>
      </w:r>
      <w:proofErr w:type="spellStart"/>
      <w:r w:rsidRPr="00A26CEC">
        <w:rPr>
          <w:rFonts w:ascii="Times New Roman" w:hAnsi="Times New Roman" w:cs="Times New Roman"/>
          <w:color w:val="00B050"/>
          <w:sz w:val="24"/>
          <w:szCs w:val="24"/>
          <w:lang w:val="en-US"/>
        </w:rPr>
        <w:t>eq_siar</w:t>
      </w:r>
      <w:proofErr w:type="spellEnd"/>
      <w:r w:rsidRPr="00A26CEC">
        <w:rPr>
          <w:rFonts w:ascii="Times New Roman" w:hAnsi="Times New Roman" w:cs="Times New Roman"/>
          <w:color w:val="00B050"/>
          <w:sz w:val="24"/>
          <w:szCs w:val="24"/>
          <w:lang w:val="en-US"/>
        </w:rPr>
        <w:t xml:space="preserve"> 2013 (see note ii above): “</w:t>
      </w:r>
      <w:r w:rsidRPr="00A26CEC">
        <w:rPr>
          <w:rFonts w:ascii="Times New Roman" w:hAnsi="Times New Roman" w:cs="Times New Roman"/>
          <w:i/>
          <w:color w:val="00B050"/>
          <w:sz w:val="24"/>
          <w:szCs w:val="24"/>
          <w:lang w:val="en-US"/>
        </w:rPr>
        <w:t>Residents may sell local corporate securities abroad. If these operations result in foreign control of domestic establishments, foreign investors are required to make a prior declaration to the MEF. The sale of securities to liquidate an investment abroad is subject to declaration to the MEF for statistical purposes. Residents may also issue securities abroad, unless the securities constitute a loan</w:t>
      </w:r>
      <w:r w:rsidRPr="00A26CEC">
        <w:rPr>
          <w:rFonts w:ascii="Times New Roman" w:hAnsi="Times New Roman" w:cs="Times New Roman"/>
          <w:color w:val="00B050"/>
          <w:sz w:val="24"/>
          <w:szCs w:val="24"/>
          <w:lang w:val="en-US"/>
        </w:rPr>
        <w:t>.” Please note that there is not an allusion to surrendering requirements or to</w:t>
      </w:r>
      <w:r w:rsidR="00A26CEC" w:rsidRPr="00A26CEC">
        <w:rPr>
          <w:rFonts w:ascii="Times New Roman" w:hAnsi="Times New Roman" w:cs="Times New Roman"/>
          <w:color w:val="00B050"/>
          <w:sz w:val="24"/>
          <w:szCs w:val="24"/>
          <w:lang w:val="en-US"/>
        </w:rPr>
        <w:t xml:space="preserve"> the requirement of an authorized bank.</w:t>
      </w:r>
      <w:r w:rsidRPr="00A26CEC">
        <w:rPr>
          <w:rFonts w:ascii="Times New Roman" w:hAnsi="Times New Roman" w:cs="Times New Roman"/>
          <w:color w:val="00B050"/>
          <w:sz w:val="24"/>
          <w:szCs w:val="24"/>
          <w:lang w:val="en-US"/>
        </w:rPr>
        <w:t xml:space="preserve"> </w:t>
      </w:r>
      <w:r w:rsidR="00D34307">
        <w:rPr>
          <w:rFonts w:ascii="Times New Roman" w:hAnsi="Times New Roman" w:cs="Times New Roman"/>
          <w:color w:val="00B050"/>
          <w:sz w:val="24"/>
          <w:szCs w:val="24"/>
          <w:lang w:val="en-US"/>
        </w:rPr>
        <w:t>I coded with zero.</w:t>
      </w:r>
    </w:p>
    <w:p w:rsidR="003833BA" w:rsidRPr="003875F5" w:rsidRDefault="003833BA" w:rsidP="00B252C6">
      <w:pPr>
        <w:pStyle w:val="Estilo2"/>
      </w:pPr>
      <w:bookmarkStart w:id="17" w:name="_Toc402472316"/>
      <w:r w:rsidRPr="003875F5">
        <w:t>Canada</w:t>
      </w:r>
      <w:bookmarkEnd w:id="17"/>
    </w:p>
    <w:p w:rsidR="003833BA" w:rsidRPr="003875F5" w:rsidRDefault="003833BA"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in 2009, 2010 and 2011, it looks like restrictions on Myanmar and Iran </w:t>
      </w:r>
      <w:proofErr w:type="gramStart"/>
      <w:r w:rsidRPr="003875F5">
        <w:rPr>
          <w:rFonts w:ascii="Times New Roman" w:hAnsi="Times New Roman" w:cs="Times New Roman"/>
          <w:sz w:val="24"/>
          <w:szCs w:val="24"/>
          <w:lang w:val="en-US"/>
        </w:rPr>
        <w:t>were</w:t>
      </w:r>
      <w:proofErr w:type="gramEnd"/>
      <w:r w:rsidRPr="003875F5">
        <w:rPr>
          <w:rFonts w:ascii="Times New Roman" w:hAnsi="Times New Roman" w:cs="Times New Roman"/>
          <w:sz w:val="24"/>
          <w:szCs w:val="24"/>
          <w:lang w:val="en-US"/>
        </w:rPr>
        <w:t xml:space="preserve"> motivated due to political and or national defense reasons. So we code that as a zero.</w:t>
      </w:r>
    </w:p>
    <w:p w:rsidR="00E47CA7" w:rsidRPr="003875F5" w:rsidRDefault="00E47CA7" w:rsidP="00E47CA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2005: “</w:t>
      </w:r>
      <w:r w:rsidRPr="003875F5">
        <w:rPr>
          <w:rFonts w:ascii="Times New Roman" w:hAnsi="Times New Roman" w:cs="Times New Roman"/>
          <w:i/>
          <w:sz w:val="24"/>
          <w:szCs w:val="24"/>
          <w:lang w:val="en-US"/>
        </w:rPr>
        <w:t>Prior to February 23, 2005, controls applied to purchase of or swap operations by a private pension fund in instruments and claims on a foreign financial market that would cause the sum of its assets localized outside Canada to exceed 30% of its total assets</w:t>
      </w:r>
      <w:r w:rsidRPr="003875F5">
        <w:rPr>
          <w:rFonts w:ascii="Times New Roman" w:hAnsi="Times New Roman" w:cs="Times New Roman"/>
          <w:sz w:val="24"/>
          <w:szCs w:val="24"/>
          <w:lang w:val="en-US"/>
        </w:rPr>
        <w:t>” This narrative was not present in previous years.</w:t>
      </w:r>
      <w:r w:rsidR="00C40CD9" w:rsidRPr="003875F5">
        <w:rPr>
          <w:rFonts w:ascii="Times New Roman" w:hAnsi="Times New Roman" w:cs="Times New Roman"/>
          <w:sz w:val="24"/>
          <w:szCs w:val="24"/>
          <w:lang w:val="en-US"/>
        </w:rPr>
        <w:t xml:space="preserve"> We</w:t>
      </w:r>
      <w:r w:rsidRPr="003875F5">
        <w:rPr>
          <w:rFonts w:ascii="Times New Roman" w:hAnsi="Times New Roman" w:cs="Times New Roman"/>
          <w:sz w:val="24"/>
          <w:szCs w:val="24"/>
          <w:lang w:val="en-US"/>
        </w:rPr>
        <w:t xml:space="preserve"> coded 2005 with a 0, since the control was eliminated.</w:t>
      </w:r>
      <w:r w:rsidR="00C40CD9" w:rsidRPr="003875F5">
        <w:rPr>
          <w:rFonts w:ascii="Times New Roman" w:hAnsi="Times New Roman" w:cs="Times New Roman"/>
          <w:sz w:val="24"/>
          <w:szCs w:val="24"/>
          <w:lang w:val="en-US"/>
        </w:rPr>
        <w:t xml:space="preserve"> Since there is no information on when was the measure in force, we disregard the possibility of coding with </w:t>
      </w:r>
      <w:proofErr w:type="spellStart"/>
      <w:r w:rsidR="00C40CD9" w:rsidRPr="003875F5">
        <w:rPr>
          <w:rFonts w:ascii="Times New Roman" w:hAnsi="Times New Roman" w:cs="Times New Roman"/>
          <w:sz w:val="24"/>
          <w:szCs w:val="24"/>
          <w:lang w:val="en-US"/>
        </w:rPr>
        <w:t>ones</w:t>
      </w:r>
      <w:proofErr w:type="spellEnd"/>
      <w:r w:rsidR="00C40CD9" w:rsidRPr="003875F5">
        <w:rPr>
          <w:rFonts w:ascii="Times New Roman" w:hAnsi="Times New Roman" w:cs="Times New Roman"/>
          <w:sz w:val="24"/>
          <w:szCs w:val="24"/>
          <w:lang w:val="en-US"/>
        </w:rPr>
        <w:t xml:space="preserve"> previous years.</w:t>
      </w:r>
    </w:p>
    <w:p w:rsidR="00523E81" w:rsidRPr="003875F5" w:rsidRDefault="00523E81" w:rsidP="00523E8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re_pabr</w:t>
      </w:r>
      <w:proofErr w:type="spellEnd"/>
      <w:r w:rsidRPr="003875F5">
        <w:rPr>
          <w:rFonts w:ascii="Times New Roman" w:hAnsi="Times New Roman" w:cs="Times New Roman"/>
          <w:sz w:val="24"/>
          <w:szCs w:val="24"/>
          <w:lang w:val="en-US"/>
        </w:rPr>
        <w:t xml:space="preserve"> 2005: “</w:t>
      </w:r>
      <w:r w:rsidRPr="003875F5">
        <w:rPr>
          <w:rFonts w:ascii="Times New Roman" w:hAnsi="Times New Roman" w:cs="Times New Roman"/>
          <w:i/>
          <w:sz w:val="24"/>
          <w:szCs w:val="24"/>
          <w:lang w:val="en-US"/>
        </w:rPr>
        <w:t>Prior to February 23, 2005, controls applied to the acquisition by a private pension fund of real estate abroad that would cause the sum of its assets localized outside Canada to exceed 30% of its total assets.</w:t>
      </w:r>
      <w:r w:rsidRPr="003875F5">
        <w:rPr>
          <w:rFonts w:ascii="Times New Roman" w:hAnsi="Times New Roman" w:cs="Times New Roman"/>
          <w:sz w:val="24"/>
          <w:szCs w:val="24"/>
          <w:lang w:val="en-US"/>
        </w:rPr>
        <w:t xml:space="preserve">” Idem as (ii) above. </w:t>
      </w:r>
    </w:p>
    <w:p w:rsidR="00AB4637" w:rsidRPr="003875F5" w:rsidRDefault="00912258" w:rsidP="00B252C6">
      <w:pPr>
        <w:pStyle w:val="Estilo2"/>
      </w:pPr>
      <w:bookmarkStart w:id="18" w:name="_Toc402472317"/>
      <w:r w:rsidRPr="003875F5">
        <w:t>Chile</w:t>
      </w:r>
      <w:bookmarkEnd w:id="18"/>
    </w:p>
    <w:p w:rsidR="00912258" w:rsidRPr="003875F5" w:rsidRDefault="00912258"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2008-</w:t>
      </w:r>
      <w:r w:rsidR="00C36F27" w:rsidRPr="003875F5">
        <w:rPr>
          <w:rFonts w:ascii="Times New Roman" w:hAnsi="Times New Roman" w:cs="Times New Roman"/>
          <w:sz w:val="24"/>
          <w:szCs w:val="24"/>
          <w:lang w:val="en-US"/>
        </w:rPr>
        <w:t>20</w:t>
      </w:r>
      <w:r w:rsidRPr="003875F5">
        <w:rPr>
          <w:rFonts w:ascii="Times New Roman" w:hAnsi="Times New Roman" w:cs="Times New Roman"/>
          <w:sz w:val="24"/>
          <w:szCs w:val="24"/>
          <w:lang w:val="en-US"/>
        </w:rPr>
        <w:t xml:space="preserve">11 we set it equal to 0 as the text </w:t>
      </w:r>
      <w:proofErr w:type="gramStart"/>
      <w:r w:rsidRPr="003875F5">
        <w:rPr>
          <w:rFonts w:ascii="Times New Roman" w:hAnsi="Times New Roman" w:cs="Times New Roman"/>
          <w:sz w:val="24"/>
          <w:szCs w:val="24"/>
          <w:lang w:val="en-US"/>
        </w:rPr>
        <w:t>alluded</w:t>
      </w:r>
      <w:proofErr w:type="gramEnd"/>
      <w:r w:rsidRPr="003875F5">
        <w:rPr>
          <w:rFonts w:ascii="Times New Roman" w:hAnsi="Times New Roman" w:cs="Times New Roman"/>
          <w:sz w:val="24"/>
          <w:szCs w:val="24"/>
          <w:lang w:val="en-US"/>
        </w:rPr>
        <w:t xml:space="preserve"> to the fact that purchase of shares “may be affected by laws on </w:t>
      </w:r>
      <w:r w:rsidRPr="003875F5">
        <w:rPr>
          <w:rFonts w:ascii="Times New Roman" w:hAnsi="Times New Roman" w:cs="Times New Roman"/>
          <w:sz w:val="24"/>
          <w:szCs w:val="24"/>
          <w:u w:val="single"/>
          <w:lang w:val="en-US"/>
        </w:rPr>
        <w:t>inward direct investment</w:t>
      </w:r>
      <w:r w:rsidRPr="003875F5">
        <w:rPr>
          <w:rFonts w:ascii="Times New Roman" w:hAnsi="Times New Roman" w:cs="Times New Roman"/>
          <w:sz w:val="24"/>
          <w:szCs w:val="24"/>
          <w:lang w:val="en-US"/>
        </w:rPr>
        <w:t>”, following the set of criteria that when it alludes to rules on direct investment they should be coded in the category of direct investment.</w:t>
      </w:r>
    </w:p>
    <w:p w:rsidR="003963CD" w:rsidRPr="003875F5" w:rsidRDefault="003833BA"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Starting in 2008 there is a narrative in dii that alludes to “incorporation requirements that apply to the registration of shipping vessels, establishment of financial institutions except banks and insurance companies, and auditing of financial institutions. …”. It also talks later about restrictions in “granting and use of concessions for radio broadcasting”. Arguably the macro dim</w:t>
      </w:r>
      <w:r w:rsidR="00DC1713" w:rsidRPr="003875F5">
        <w:rPr>
          <w:rFonts w:ascii="Times New Roman" w:hAnsi="Times New Roman" w:cs="Times New Roman"/>
          <w:sz w:val="24"/>
          <w:szCs w:val="24"/>
          <w:lang w:val="en-US"/>
        </w:rPr>
        <w:t>ensions of these restrictions are</w:t>
      </w:r>
      <w:r w:rsidRPr="003875F5">
        <w:rPr>
          <w:rFonts w:ascii="Times New Roman" w:hAnsi="Times New Roman" w:cs="Times New Roman"/>
          <w:sz w:val="24"/>
          <w:szCs w:val="24"/>
          <w:lang w:val="en-US"/>
        </w:rPr>
        <w:t xml:space="preserve"> not too large so we decided to set it as a 0. In 2011 essentially the same narrative remains but an addition is given at the end related to an “authorization for investments in mining of </w:t>
      </w:r>
      <w:r w:rsidRPr="003875F5">
        <w:rPr>
          <w:rFonts w:ascii="Times New Roman" w:hAnsi="Times New Roman" w:cs="Times New Roman"/>
          <w:sz w:val="24"/>
          <w:szCs w:val="24"/>
          <w:lang w:val="en-US"/>
        </w:rPr>
        <w:lastRenderedPageBreak/>
        <w:t>hydrocarbons, liquid or gaseous, of uranium and lithium”. Given that the largest part of the mining industry in Chile is not uranium nor lithium but copper, we decided to set it as 0 as well.</w:t>
      </w:r>
    </w:p>
    <w:p w:rsidR="00CC71E6" w:rsidRPr="003875F5" w:rsidRDefault="00CC71E6"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The following narrative starts appearing in </w:t>
      </w:r>
      <w:r w:rsidR="004538B0" w:rsidRPr="003875F5">
        <w:rPr>
          <w:rFonts w:ascii="Times New Roman" w:hAnsi="Times New Roman" w:cs="Times New Roman"/>
          <w:sz w:val="24"/>
          <w:szCs w:val="24"/>
          <w:lang w:val="en-US"/>
        </w:rPr>
        <w:t>equity, bonds, money market instruments and collective investments</w:t>
      </w:r>
      <w:r w:rsidRPr="003875F5">
        <w:rPr>
          <w:rFonts w:ascii="Times New Roman" w:hAnsi="Times New Roman" w:cs="Times New Roman"/>
          <w:sz w:val="24"/>
          <w:szCs w:val="24"/>
          <w:lang w:val="en-US"/>
        </w:rPr>
        <w:t xml:space="preserve"> (from 2008 onwards): “</w:t>
      </w:r>
      <w:r w:rsidRPr="003875F5">
        <w:rPr>
          <w:rFonts w:ascii="Times New Roman" w:hAnsi="Times New Roman" w:cs="Times New Roman"/>
          <w:i/>
          <w:sz w:val="24"/>
          <w:szCs w:val="24"/>
          <w:lang w:val="en-US"/>
        </w:rPr>
        <w:t>Limits apply to purchases of foreign securities by</w:t>
      </w:r>
      <w:r w:rsidR="004538B0" w:rsidRPr="003875F5">
        <w:rPr>
          <w:rFonts w:ascii="Times New Roman" w:hAnsi="Times New Roman" w:cs="Times New Roman"/>
          <w:i/>
          <w:sz w:val="24"/>
          <w:szCs w:val="24"/>
          <w:lang w:val="en-US"/>
        </w:rPr>
        <w:t xml:space="preserve"> (1)</w:t>
      </w:r>
      <w:r w:rsidRPr="003875F5">
        <w:rPr>
          <w:rFonts w:ascii="Times New Roman" w:hAnsi="Times New Roman" w:cs="Times New Roman"/>
          <w:i/>
          <w:sz w:val="24"/>
          <w:szCs w:val="24"/>
          <w:lang w:val="en-US"/>
        </w:rPr>
        <w:t xml:space="preserve"> insurance companies that would cause foreign assets to have a share greater than 10% in technical </w:t>
      </w:r>
      <w:r w:rsidR="004538B0" w:rsidRPr="003875F5">
        <w:rPr>
          <w:rFonts w:ascii="Times New Roman" w:hAnsi="Times New Roman" w:cs="Times New Roman"/>
          <w:i/>
          <w:sz w:val="24"/>
          <w:szCs w:val="24"/>
          <w:lang w:val="en-US"/>
        </w:rPr>
        <w:t>reserves or own funds; (2)</w:t>
      </w:r>
      <w:r w:rsidRPr="003875F5">
        <w:rPr>
          <w:rFonts w:ascii="Times New Roman" w:hAnsi="Times New Roman" w:cs="Times New Roman"/>
          <w:i/>
          <w:sz w:val="24"/>
          <w:szCs w:val="24"/>
          <w:lang w:val="en-US"/>
        </w:rPr>
        <w:t xml:space="preserve"> managers of DL3500 pension funds, Retirement Bonus Fund of Law 19882 funds, and Unemployment Fund of Law 19728 funds that would cause foreign assets to represent an amount greater than the limits established for them in DL3500, as</w:t>
      </w:r>
      <w:r w:rsidR="004538B0" w:rsidRPr="003875F5">
        <w:rPr>
          <w:rFonts w:ascii="Times New Roman" w:hAnsi="Times New Roman" w:cs="Times New Roman"/>
          <w:i/>
          <w:sz w:val="24"/>
          <w:szCs w:val="24"/>
          <w:lang w:val="en-US"/>
        </w:rPr>
        <w:t xml:space="preserve"> amended in 2008; and (3)</w:t>
      </w:r>
      <w:r w:rsidRPr="003875F5">
        <w:rPr>
          <w:rFonts w:ascii="Times New Roman" w:hAnsi="Times New Roman" w:cs="Times New Roman"/>
          <w:i/>
          <w:sz w:val="24"/>
          <w:szCs w:val="24"/>
          <w:lang w:val="en-US"/>
        </w:rPr>
        <w:t xml:space="preserve"> managers of housing funds that would cause foreign assets to have a share of more than 30% in total assets under administration.</w:t>
      </w:r>
      <w:r w:rsidRPr="003875F5">
        <w:rPr>
          <w:rFonts w:ascii="Times New Roman" w:hAnsi="Times New Roman" w:cs="Times New Roman"/>
          <w:sz w:val="24"/>
          <w:szCs w:val="24"/>
          <w:lang w:val="en-US"/>
        </w:rPr>
        <w:t xml:space="preserve">” </w:t>
      </w:r>
      <w:r w:rsidR="003963CD" w:rsidRPr="003875F5">
        <w:rPr>
          <w:rFonts w:ascii="Times New Roman" w:hAnsi="Times New Roman" w:cs="Times New Roman"/>
          <w:sz w:val="24"/>
          <w:szCs w:val="24"/>
          <w:lang w:val="en-US"/>
        </w:rPr>
        <w:t>This is considered to be a control, since there are in place restrictions involving pension funds and other sectors that may have an important impact on the economy.</w:t>
      </w:r>
    </w:p>
    <w:p w:rsidR="0063763E" w:rsidRPr="003875F5" w:rsidRDefault="0063763E" w:rsidP="0063763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1995</w:t>
      </w:r>
      <w:r w:rsidR="00353D06" w:rsidRPr="003875F5">
        <w:rPr>
          <w:rFonts w:ascii="Times New Roman" w:hAnsi="Times New Roman" w:cs="Times New Roman"/>
          <w:sz w:val="24"/>
          <w:szCs w:val="24"/>
          <w:lang w:val="en-US"/>
        </w:rPr>
        <w:t>-199</w:t>
      </w:r>
      <w:r w:rsidR="00766FE4" w:rsidRPr="003875F5">
        <w:rPr>
          <w:rFonts w:ascii="Times New Roman" w:hAnsi="Times New Roman" w:cs="Times New Roman"/>
          <w:sz w:val="24"/>
          <w:szCs w:val="24"/>
          <w:lang w:val="en-US"/>
        </w:rPr>
        <w:t>9</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 market is not well developed. Nonresidents cannot participate in the local market for currency derivatives</w:t>
      </w:r>
      <w:r w:rsidRPr="003875F5">
        <w:rPr>
          <w:rFonts w:ascii="Times New Roman" w:hAnsi="Times New Roman" w:cs="Times New Roman"/>
          <w:sz w:val="24"/>
          <w:szCs w:val="24"/>
          <w:lang w:val="en-US"/>
        </w:rPr>
        <w:t>”</w:t>
      </w:r>
      <w:r w:rsidR="009145A2" w:rsidRPr="003875F5">
        <w:rPr>
          <w:rFonts w:ascii="Times New Roman" w:hAnsi="Times New Roman" w:cs="Times New Roman"/>
          <w:sz w:val="24"/>
          <w:szCs w:val="24"/>
          <w:lang w:val="en-US"/>
        </w:rPr>
        <w:t xml:space="preserve"> </w:t>
      </w:r>
    </w:p>
    <w:p w:rsidR="00B90C90" w:rsidRPr="003875F5" w:rsidRDefault="00B90C90" w:rsidP="00B90C90">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2000</w:t>
      </w:r>
      <w:r w:rsidR="00D808E6" w:rsidRPr="003875F5">
        <w:rPr>
          <w:rFonts w:ascii="Times New Roman" w:hAnsi="Times New Roman" w:cs="Times New Roman"/>
          <w:sz w:val="24"/>
          <w:szCs w:val="24"/>
          <w:lang w:val="en-US"/>
        </w:rPr>
        <w:t>-2001</w:t>
      </w:r>
      <w:r w:rsidRPr="003875F5">
        <w:rPr>
          <w:rFonts w:ascii="Times New Roman" w:hAnsi="Times New Roman" w:cs="Times New Roman"/>
          <w:sz w:val="24"/>
          <w:szCs w:val="24"/>
          <w:lang w:val="en-US"/>
        </w:rPr>
        <w:t>, the narrative changes: “</w:t>
      </w:r>
      <w:r w:rsidRPr="003875F5">
        <w:rPr>
          <w:rFonts w:ascii="Times New Roman" w:hAnsi="Times New Roman" w:cs="Times New Roman"/>
          <w:i/>
          <w:sz w:val="24"/>
          <w:szCs w:val="24"/>
          <w:lang w:val="en-US"/>
        </w:rPr>
        <w:t>The market is not well developed. All these operations must be performed through the formal exchange market</w:t>
      </w:r>
      <w:r w:rsidRPr="003875F5">
        <w:rPr>
          <w:rFonts w:ascii="Times New Roman" w:hAnsi="Times New Roman" w:cs="Times New Roman"/>
          <w:sz w:val="24"/>
          <w:szCs w:val="24"/>
          <w:lang w:val="en-US"/>
        </w:rPr>
        <w:t>.”</w:t>
      </w:r>
      <w:r w:rsidR="00C40CD9" w:rsidRPr="003875F5">
        <w:rPr>
          <w:rFonts w:ascii="Times New Roman" w:hAnsi="Times New Roman" w:cs="Times New Roman"/>
          <w:sz w:val="24"/>
          <w:szCs w:val="24"/>
          <w:lang w:val="en-US"/>
        </w:rPr>
        <w:t xml:space="preserve"> All was coded in accordance with rule 3(i).</w:t>
      </w:r>
    </w:p>
    <w:p w:rsidR="00A055BB" w:rsidRPr="003875F5" w:rsidRDefault="003A73F5" w:rsidP="0056662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2002: “</w:t>
      </w:r>
      <w:r w:rsidRPr="003875F5">
        <w:rPr>
          <w:rFonts w:ascii="Times New Roman" w:hAnsi="Times New Roman" w:cs="Times New Roman"/>
          <w:i/>
          <w:sz w:val="24"/>
          <w:szCs w:val="24"/>
          <w:lang w:val="en-US"/>
        </w:rPr>
        <w:t>These operations are permitted only through the banking system</w:t>
      </w:r>
      <w:r w:rsidRPr="003875F5">
        <w:rPr>
          <w:rFonts w:ascii="Times New Roman" w:hAnsi="Times New Roman" w:cs="Times New Roman"/>
          <w:sz w:val="24"/>
          <w:szCs w:val="24"/>
          <w:lang w:val="en-US"/>
        </w:rPr>
        <w:t xml:space="preserve">.” </w:t>
      </w:r>
      <w:r w:rsidR="00C40CD9" w:rsidRPr="003875F5">
        <w:rPr>
          <w:rFonts w:ascii="Times New Roman" w:hAnsi="Times New Roman" w:cs="Times New Roman"/>
          <w:sz w:val="24"/>
          <w:szCs w:val="24"/>
          <w:lang w:val="en-US"/>
        </w:rPr>
        <w:t>This is set to be a control, as OTC operations are not allowed.</w:t>
      </w:r>
    </w:p>
    <w:p w:rsidR="00A055BB" w:rsidRPr="003875F5" w:rsidRDefault="00D808E6" w:rsidP="0056662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de_siar</w:t>
      </w:r>
      <w:proofErr w:type="spellEnd"/>
      <w:r w:rsidRPr="003875F5">
        <w:rPr>
          <w:rFonts w:ascii="Times New Roman" w:hAnsi="Times New Roman" w:cs="Times New Roman"/>
          <w:sz w:val="24"/>
          <w:szCs w:val="24"/>
          <w:lang w:val="en-US"/>
        </w:rPr>
        <w:t xml:space="preserve"> 2000: “</w:t>
      </w:r>
      <w:r w:rsidRPr="003875F5">
        <w:rPr>
          <w:rFonts w:ascii="Times New Roman" w:hAnsi="Times New Roman" w:cs="Times New Roman"/>
          <w:i/>
          <w:sz w:val="24"/>
          <w:szCs w:val="24"/>
          <w:lang w:val="en-US"/>
        </w:rPr>
        <w:t>Derivatives for currency and interest rates exist for operations with foreign agents in over-the-counter operations or with foreign banks. There is access to formal spot exchange markets for hedging purposes. Currency and interest rate options are allowed, except for banks. Foreign exchange needed for these operations may be bought at either the formal or the informal exchange market, but must be channeled through the formal market</w:t>
      </w:r>
      <w:r w:rsidRPr="003875F5">
        <w:rPr>
          <w:rFonts w:ascii="Times New Roman" w:hAnsi="Times New Roman" w:cs="Times New Roman"/>
          <w:sz w:val="24"/>
          <w:szCs w:val="24"/>
          <w:lang w:val="en-US"/>
        </w:rPr>
        <w:t xml:space="preserve">.” </w:t>
      </w:r>
      <w:r w:rsidR="00A055BB" w:rsidRPr="003875F5">
        <w:rPr>
          <w:rFonts w:ascii="Times New Roman" w:hAnsi="Times New Roman" w:cs="Times New Roman"/>
          <w:sz w:val="24"/>
          <w:szCs w:val="24"/>
          <w:lang w:val="en-US"/>
        </w:rPr>
        <w:t>We believe that limitations to the banking sector might affect the economy as a whole; therefore, we code this as a control.</w:t>
      </w:r>
    </w:p>
    <w:p w:rsidR="00EC0C2E" w:rsidRPr="003875F5" w:rsidRDefault="0098685F" w:rsidP="0056662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00DE137D" w:rsidRPr="003875F5">
        <w:rPr>
          <w:rFonts w:ascii="Times New Roman" w:hAnsi="Times New Roman" w:cs="Times New Roman"/>
          <w:sz w:val="24"/>
          <w:szCs w:val="24"/>
          <w:lang w:val="en-US"/>
        </w:rPr>
        <w:t xml:space="preserve"> 2008</w:t>
      </w:r>
      <w:r w:rsidRPr="003875F5">
        <w:rPr>
          <w:rFonts w:ascii="Times New Roman" w:hAnsi="Times New Roman" w:cs="Times New Roman"/>
          <w:sz w:val="24"/>
          <w:szCs w:val="24"/>
          <w:lang w:val="en-US"/>
        </w:rPr>
        <w:t>-2012</w:t>
      </w:r>
      <w:r w:rsidR="00DE137D" w:rsidRPr="003875F5">
        <w:rPr>
          <w:rFonts w:ascii="Times New Roman" w:hAnsi="Times New Roman" w:cs="Times New Roman"/>
          <w:sz w:val="24"/>
          <w:szCs w:val="24"/>
          <w:lang w:val="en-US"/>
        </w:rPr>
        <w:t>: “</w:t>
      </w:r>
      <w:r w:rsidR="00DE137D" w:rsidRPr="003875F5">
        <w:rPr>
          <w:rFonts w:ascii="Times New Roman" w:hAnsi="Times New Roman" w:cs="Times New Roman"/>
          <w:i/>
          <w:sz w:val="24"/>
          <w:szCs w:val="24"/>
          <w:lang w:val="en-US"/>
        </w:rPr>
        <w:t xml:space="preserve">Limits apply to the purchase of foreign securities abroad by insurance companies that would cause foreign assets to have a share greater than 10% in technical reserves or own funds; by managers of DL3500 pension funds, Retirement Bonus Fund of Law 19882 funds, and Unemployment Fund of Law 19728 funds that would cause foreign assets to represent an amount greater than the limits established for them in DL3500, as amended in 2008; and by managers of housing funds that would cause foreign assets to have a share of more than 30% in total assets under administration. The acquisition, through purchase or exchange for other assets, of foreign financial derivatives products may not exceed 3% of </w:t>
      </w:r>
      <w:r w:rsidR="00DE137D" w:rsidRPr="003875F5">
        <w:rPr>
          <w:rFonts w:ascii="Times New Roman" w:hAnsi="Times New Roman" w:cs="Times New Roman"/>
          <w:i/>
          <w:sz w:val="24"/>
          <w:szCs w:val="24"/>
          <w:lang w:val="en-US"/>
        </w:rPr>
        <w:lastRenderedPageBreak/>
        <w:t>technical reserves or risk patrimony of insurance companies</w:t>
      </w:r>
      <w:r w:rsidR="00DE137D" w:rsidRPr="003875F5">
        <w:rPr>
          <w:rFonts w:ascii="Times New Roman" w:hAnsi="Times New Roman" w:cs="Times New Roman"/>
          <w:sz w:val="24"/>
          <w:szCs w:val="24"/>
          <w:lang w:val="en-US"/>
        </w:rPr>
        <w:t xml:space="preserve">.” </w:t>
      </w:r>
      <w:r w:rsidR="00A055BB" w:rsidRPr="003875F5">
        <w:rPr>
          <w:rFonts w:ascii="Times New Roman" w:hAnsi="Times New Roman" w:cs="Times New Roman"/>
          <w:sz w:val="24"/>
          <w:szCs w:val="24"/>
          <w:lang w:val="en-US"/>
        </w:rPr>
        <w:t xml:space="preserve">There are restrictions on pension funds and in other sector with macro implications. We code this with a one. </w:t>
      </w:r>
    </w:p>
    <w:p w:rsidR="00DE137D" w:rsidRPr="003875F5" w:rsidRDefault="00EC0C2E" w:rsidP="00EC0C2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re_slbn</w:t>
      </w:r>
      <w:proofErr w:type="spellEnd"/>
      <w:r w:rsidRPr="003875F5">
        <w:rPr>
          <w:rFonts w:ascii="Times New Roman" w:hAnsi="Times New Roman" w:cs="Times New Roman"/>
          <w:sz w:val="24"/>
          <w:szCs w:val="24"/>
          <w:lang w:val="en-US"/>
        </w:rPr>
        <w:t>) 1995</w:t>
      </w:r>
      <w:r w:rsidR="00FE2E44" w:rsidRPr="003875F5">
        <w:rPr>
          <w:rFonts w:ascii="Times New Roman" w:hAnsi="Times New Roman" w:cs="Times New Roman"/>
          <w:sz w:val="24"/>
          <w:szCs w:val="24"/>
          <w:lang w:val="en-US"/>
        </w:rPr>
        <w:t>-</w:t>
      </w:r>
      <w:r w:rsidR="00A10414" w:rsidRPr="003875F5">
        <w:rPr>
          <w:rFonts w:ascii="Times New Roman" w:hAnsi="Times New Roman" w:cs="Times New Roman"/>
          <w:sz w:val="24"/>
          <w:szCs w:val="24"/>
          <w:lang w:val="en-US"/>
        </w:rPr>
        <w:t>1999</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 investment must have been held for one year in Chile, and it must be demonstrated that the asset was sold and applicable taxes paid</w:t>
      </w:r>
      <w:r w:rsidRPr="003875F5">
        <w:rPr>
          <w:rFonts w:ascii="Times New Roman" w:hAnsi="Times New Roman" w:cs="Times New Roman"/>
          <w:sz w:val="24"/>
          <w:szCs w:val="24"/>
          <w:lang w:val="en-US"/>
        </w:rPr>
        <w:t xml:space="preserve">.” </w:t>
      </w:r>
      <w:r w:rsidR="004F2D32" w:rsidRPr="003875F5">
        <w:rPr>
          <w:rFonts w:ascii="Times New Roman" w:hAnsi="Times New Roman" w:cs="Times New Roman"/>
          <w:sz w:val="24"/>
          <w:szCs w:val="24"/>
          <w:lang w:val="en-US"/>
        </w:rPr>
        <w:t>We coded with ones.</w:t>
      </w:r>
    </w:p>
    <w:p w:rsidR="008871B2" w:rsidRPr="003875F5" w:rsidRDefault="008871B2" w:rsidP="008871B2">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2008-2012: “</w:t>
      </w:r>
      <w:r w:rsidRPr="003875F5">
        <w:rPr>
          <w:rFonts w:ascii="Times New Roman" w:hAnsi="Times New Roman" w:cs="Times New Roman"/>
          <w:i/>
          <w:sz w:val="24"/>
          <w:szCs w:val="24"/>
          <w:lang w:val="en-US"/>
        </w:rPr>
        <w:t>Businesses may not acquire land in the border zone if they are (1) are headquartered in the territory of a neighboring country, (2) have a participation of 40% or more from nationals of these countries, or (3) are under the effective control of such persons.</w:t>
      </w:r>
      <w:r w:rsidRPr="003875F5">
        <w:rPr>
          <w:rFonts w:ascii="Times New Roman" w:hAnsi="Times New Roman" w:cs="Times New Roman"/>
          <w:sz w:val="24"/>
          <w:szCs w:val="24"/>
          <w:lang w:val="en-US"/>
        </w:rPr>
        <w:t>”</w:t>
      </w:r>
      <w:r w:rsidR="004F2D32" w:rsidRPr="003875F5">
        <w:rPr>
          <w:rFonts w:ascii="Times New Roman" w:hAnsi="Times New Roman" w:cs="Times New Roman"/>
          <w:sz w:val="24"/>
          <w:szCs w:val="24"/>
          <w:lang w:val="en-US"/>
        </w:rPr>
        <w:t xml:space="preserve"> We</w:t>
      </w:r>
      <w:r w:rsidRPr="003875F5">
        <w:rPr>
          <w:rFonts w:ascii="Times New Roman" w:hAnsi="Times New Roman" w:cs="Times New Roman"/>
          <w:sz w:val="24"/>
          <w:szCs w:val="24"/>
          <w:lang w:val="en-US"/>
        </w:rPr>
        <w:t xml:space="preserve"> believe that this might be important, since Chile has important relationshi</w:t>
      </w:r>
      <w:r w:rsidR="004F2D32" w:rsidRPr="003875F5">
        <w:rPr>
          <w:rFonts w:ascii="Times New Roman" w:hAnsi="Times New Roman" w:cs="Times New Roman"/>
          <w:sz w:val="24"/>
          <w:szCs w:val="24"/>
          <w:lang w:val="en-US"/>
        </w:rPr>
        <w:t>ps with neighboring countries. Thus, we</w:t>
      </w:r>
      <w:r w:rsidRPr="003875F5">
        <w:rPr>
          <w:rFonts w:ascii="Times New Roman" w:hAnsi="Times New Roman" w:cs="Times New Roman"/>
          <w:sz w:val="24"/>
          <w:szCs w:val="24"/>
          <w:lang w:val="en-US"/>
        </w:rPr>
        <w:t xml:space="preserve"> coded with ones.</w:t>
      </w:r>
    </w:p>
    <w:p w:rsidR="00A055BB" w:rsidRPr="003875F5" w:rsidRDefault="00490AF1" w:rsidP="00B252C6">
      <w:pPr>
        <w:pStyle w:val="Estilo2"/>
      </w:pPr>
      <w:bookmarkStart w:id="19" w:name="_Toc402472318"/>
      <w:r w:rsidRPr="003875F5">
        <w:t>China</w:t>
      </w:r>
      <w:bookmarkEnd w:id="19"/>
    </w:p>
    <w:p w:rsidR="00A055BB" w:rsidRPr="003875F5" w:rsidRDefault="00A055BB" w:rsidP="00A055B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2007-2012, we decided to set as a control even though it said there were no restrictions, because it explicitly stated that no nonresident had issued any shares in China. Hence the rule here is to code as a control if no transactions had been in place even though there were no restrictions. Note the wording of the report: “</w:t>
      </w:r>
      <w:r w:rsidRPr="003875F5">
        <w:rPr>
          <w:rFonts w:ascii="Times New Roman" w:hAnsi="Times New Roman" w:cs="Times New Roman"/>
          <w:i/>
          <w:sz w:val="24"/>
          <w:szCs w:val="24"/>
          <w:lang w:val="en-US"/>
        </w:rPr>
        <w:t>Nonresidents may sell A and B shares. There are no restrictions on the issuance of A or B shares by a nonresident under current regulations, but no nonresident has yet issued any A or B shares in China.</w:t>
      </w:r>
      <w:r w:rsidRPr="003875F5">
        <w:rPr>
          <w:rFonts w:ascii="Times New Roman" w:hAnsi="Times New Roman" w:cs="Times New Roman"/>
          <w:sz w:val="24"/>
          <w:szCs w:val="24"/>
          <w:lang w:val="en-US"/>
        </w:rPr>
        <w:t>”</w:t>
      </w:r>
    </w:p>
    <w:p w:rsidR="00864B33" w:rsidRPr="003875F5" w:rsidRDefault="00864B33" w:rsidP="00B252C6">
      <w:pPr>
        <w:pStyle w:val="Estilo2"/>
      </w:pPr>
      <w:bookmarkStart w:id="20" w:name="_Toc402472319"/>
      <w:r w:rsidRPr="003875F5">
        <w:t>Colombia</w:t>
      </w:r>
      <w:bookmarkEnd w:id="20"/>
    </w:p>
    <w:p w:rsidR="00764A4C" w:rsidRPr="003875F5" w:rsidRDefault="00764A4C" w:rsidP="009A139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1999-2003: “</w:t>
      </w:r>
      <w:r w:rsidR="009A1391" w:rsidRPr="003875F5">
        <w:rPr>
          <w:rFonts w:ascii="Times New Roman" w:hAnsi="Times New Roman" w:cs="Times New Roman"/>
          <w:i/>
          <w:sz w:val="24"/>
          <w:szCs w:val="24"/>
          <w:lang w:val="en-US"/>
        </w:rPr>
        <w:t>The purchase of 10% or more of the shares of a domestic financial institution requires the prior approval of the SB. Foreign investments in the form of placement of shares in a fund established to invest in the stock exchange and in debt papers issued by the financial sector are permitted.</w:t>
      </w:r>
      <w:r w:rsidRPr="003875F5">
        <w:rPr>
          <w:rFonts w:ascii="Times New Roman" w:hAnsi="Times New Roman" w:cs="Times New Roman"/>
          <w:sz w:val="24"/>
          <w:szCs w:val="24"/>
          <w:lang w:val="en-US"/>
        </w:rPr>
        <w:t>”</w:t>
      </w:r>
      <w:r w:rsidR="009A1391" w:rsidRPr="003875F5">
        <w:rPr>
          <w:rFonts w:ascii="Times New Roman" w:hAnsi="Times New Roman" w:cs="Times New Roman"/>
          <w:sz w:val="24"/>
          <w:szCs w:val="24"/>
          <w:lang w:val="en-US"/>
        </w:rPr>
        <w:t xml:space="preserve"> Despite the fact that the restriction is made on the financial sector, in this case, we consider that this must be coded with zeros.</w:t>
      </w:r>
      <w:r w:rsidR="003338CB" w:rsidRPr="003875F5">
        <w:rPr>
          <w:rFonts w:ascii="Times New Roman" w:hAnsi="Times New Roman" w:cs="Times New Roman"/>
          <w:sz w:val="24"/>
          <w:szCs w:val="24"/>
          <w:lang w:val="en-US"/>
        </w:rPr>
        <w:t xml:space="preserve"> (See dii below)</w:t>
      </w:r>
    </w:p>
    <w:p w:rsidR="003338CB" w:rsidRPr="003875F5" w:rsidRDefault="00864B33" w:rsidP="003338C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w:t>
      </w:r>
      <w:r w:rsidR="009A1391" w:rsidRPr="003875F5">
        <w:rPr>
          <w:rFonts w:ascii="Times New Roman" w:hAnsi="Times New Roman" w:cs="Times New Roman"/>
          <w:sz w:val="24"/>
          <w:szCs w:val="24"/>
          <w:lang w:val="en-US"/>
        </w:rPr>
        <w:t>2004-2005: “</w:t>
      </w:r>
      <w:r w:rsidR="003338CB" w:rsidRPr="003875F5">
        <w:rPr>
          <w:rFonts w:ascii="Times New Roman" w:hAnsi="Times New Roman" w:cs="Times New Roman"/>
          <w:i/>
          <w:sz w:val="24"/>
          <w:szCs w:val="24"/>
          <w:lang w:val="en-US"/>
        </w:rPr>
        <w:t>The purchase of 10% or more of the stock of a Colombian financial institution requires the prior approval of the SB. The purchase of more than 20% of the entire issue of fixed-income securities maturing in less than two years is not allowed when involving portfolio investment funds managed by brokerage firms or trust companies authorized by the Securities Exchange Commissioner (SEC).</w:t>
      </w:r>
      <w:r w:rsidR="009A1391" w:rsidRPr="003875F5">
        <w:rPr>
          <w:rFonts w:ascii="Times New Roman" w:hAnsi="Times New Roman" w:cs="Times New Roman"/>
          <w:sz w:val="24"/>
          <w:szCs w:val="24"/>
          <w:lang w:val="en-US"/>
        </w:rPr>
        <w:t>”</w:t>
      </w:r>
      <w:r w:rsidR="003338CB" w:rsidRPr="003875F5">
        <w:rPr>
          <w:rFonts w:ascii="Times New Roman" w:hAnsi="Times New Roman" w:cs="Times New Roman"/>
          <w:sz w:val="24"/>
          <w:szCs w:val="24"/>
          <w:lang w:val="en-US"/>
        </w:rPr>
        <w:t xml:space="preserve"> This narrative is coded with ones because of the restriction on investment funds.</w:t>
      </w:r>
    </w:p>
    <w:p w:rsidR="00A17E1A" w:rsidRPr="003875F5" w:rsidRDefault="003338CB" w:rsidP="003338C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dii 2003-2012: “</w:t>
      </w:r>
      <w:r w:rsidRPr="003875F5">
        <w:rPr>
          <w:rFonts w:ascii="Times New Roman" w:hAnsi="Times New Roman" w:cs="Times New Roman"/>
          <w:i/>
          <w:sz w:val="24"/>
          <w:szCs w:val="24"/>
          <w:lang w:val="en-US"/>
        </w:rPr>
        <w:t>The purchase of 10% or more of the shares in a domestic financial institution requires the approval of the SB. Investments in the defense sector and in the handling of toxic and radioactive substances are not permitted.</w:t>
      </w:r>
      <w:r w:rsidRPr="003875F5">
        <w:rPr>
          <w:rFonts w:ascii="Times New Roman" w:hAnsi="Times New Roman" w:cs="Times New Roman"/>
          <w:sz w:val="24"/>
          <w:szCs w:val="24"/>
          <w:lang w:val="en-US"/>
        </w:rPr>
        <w:t xml:space="preserve">” In this case, we do </w:t>
      </w:r>
      <w:r w:rsidRPr="003875F5">
        <w:rPr>
          <w:rFonts w:ascii="Times New Roman" w:hAnsi="Times New Roman" w:cs="Times New Roman"/>
          <w:sz w:val="24"/>
          <w:szCs w:val="24"/>
          <w:lang w:val="en-US"/>
        </w:rPr>
        <w:lastRenderedPageBreak/>
        <w:t xml:space="preserve">consider this to be a control in consideration that the restriction is on the financial sector. </w:t>
      </w:r>
    </w:p>
    <w:p w:rsidR="00357E65" w:rsidRPr="003875F5" w:rsidRDefault="003338CB" w:rsidP="003338C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xml:space="preserve"> 2001</w:t>
      </w:r>
      <w:r w:rsidR="00357E65" w:rsidRPr="003875F5">
        <w:rPr>
          <w:rFonts w:ascii="Times New Roman" w:hAnsi="Times New Roman" w:cs="Times New Roman"/>
          <w:sz w:val="24"/>
          <w:szCs w:val="24"/>
          <w:lang w:val="en-US"/>
        </w:rPr>
        <w:t>-201</w:t>
      </w:r>
      <w:r w:rsidR="009235BD" w:rsidRPr="003875F5">
        <w:rPr>
          <w:rFonts w:ascii="Times New Roman" w:hAnsi="Times New Roman" w:cs="Times New Roman"/>
          <w:sz w:val="24"/>
          <w:szCs w:val="24"/>
          <w:lang w:val="en-US"/>
        </w:rPr>
        <w:t>2</w:t>
      </w:r>
      <w:r w:rsidR="00357E65" w:rsidRPr="003875F5">
        <w:rPr>
          <w:rFonts w:ascii="Times New Roman" w:hAnsi="Times New Roman" w:cs="Times New Roman"/>
          <w:sz w:val="24"/>
          <w:szCs w:val="24"/>
          <w:lang w:val="en-US"/>
        </w:rPr>
        <w:t>: “</w:t>
      </w:r>
      <w:r w:rsidR="00357E65" w:rsidRPr="003875F5">
        <w:rPr>
          <w:rFonts w:ascii="Times New Roman" w:hAnsi="Times New Roman" w:cs="Times New Roman"/>
          <w:i/>
          <w:sz w:val="24"/>
          <w:szCs w:val="24"/>
          <w:lang w:val="en-US"/>
        </w:rPr>
        <w:t>The terms of reimbursement for investments and the legal remittance of profits in effect on the date of registration of the investment abroad may not be changed in such a way that it adversely affects the investor, except temporarily when international reserves fall below the equivalent of three months’ worth of imports (Article 11 of Decree No. 2080/00).</w:t>
      </w:r>
      <w:r w:rsidR="00357E65"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 xml:space="preserve">We consider this to be a control as profits repatriation might be restricted should the conditions surrounding the international reserves fall be met. Please note that we applied this restriction for the period 2001-2012, in accordance with Article 55 of Decree </w:t>
      </w:r>
      <w:r w:rsidR="00371B1B" w:rsidRPr="003875F5">
        <w:rPr>
          <w:rFonts w:ascii="Times New Roman" w:hAnsi="Times New Roman" w:cs="Times New Roman"/>
          <w:sz w:val="24"/>
          <w:szCs w:val="24"/>
          <w:lang w:val="en-US"/>
        </w:rPr>
        <w:t>2080/00 which sets out that this control became in force in December 2000.</w:t>
      </w:r>
    </w:p>
    <w:p w:rsidR="006418D2" w:rsidRPr="003875F5" w:rsidRDefault="006418D2" w:rsidP="006418D2">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de_siln</w:t>
      </w:r>
      <w:proofErr w:type="spellEnd"/>
      <w:r w:rsidRPr="003875F5">
        <w:rPr>
          <w:rFonts w:ascii="Times New Roman" w:hAnsi="Times New Roman" w:cs="Times New Roman"/>
          <w:sz w:val="24"/>
          <w:szCs w:val="24"/>
          <w:lang w:val="en-US"/>
        </w:rPr>
        <w:t xml:space="preserve"> 2000</w:t>
      </w:r>
      <w:r w:rsidR="0087662D" w:rsidRPr="003875F5">
        <w:rPr>
          <w:rFonts w:ascii="Times New Roman" w:hAnsi="Times New Roman" w:cs="Times New Roman"/>
          <w:sz w:val="24"/>
          <w:szCs w:val="24"/>
          <w:lang w:val="en-US"/>
        </w:rPr>
        <w:t>-2001</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Only foreign financial institutions classified as professional brokers and registered with the international bodies charged with the regulation and control of the forward and futures operations in the OECD countries are authorized to engage in these transactions</w:t>
      </w:r>
      <w:r w:rsidRPr="003875F5">
        <w:rPr>
          <w:rFonts w:ascii="Times New Roman" w:hAnsi="Times New Roman" w:cs="Times New Roman"/>
          <w:sz w:val="24"/>
          <w:szCs w:val="24"/>
          <w:lang w:val="en-US"/>
        </w:rPr>
        <w:t xml:space="preserve">.” </w:t>
      </w:r>
      <w:r w:rsidR="00C1592B" w:rsidRPr="003875F5">
        <w:rPr>
          <w:rFonts w:ascii="Times New Roman" w:hAnsi="Times New Roman" w:cs="Times New Roman"/>
          <w:sz w:val="24"/>
          <w:szCs w:val="24"/>
          <w:lang w:val="en-US"/>
        </w:rPr>
        <w:t xml:space="preserve">This is considered to be a control, because there are restrictions on the persons allowed to </w:t>
      </w:r>
      <w:r w:rsidR="00895602" w:rsidRPr="003875F5">
        <w:rPr>
          <w:rFonts w:ascii="Times New Roman" w:hAnsi="Times New Roman" w:cs="Times New Roman"/>
          <w:sz w:val="24"/>
          <w:szCs w:val="24"/>
          <w:lang w:val="en-US"/>
        </w:rPr>
        <w:t>participate in the Colombian derivatives market.</w:t>
      </w:r>
    </w:p>
    <w:p w:rsidR="006418D2" w:rsidRPr="003875F5" w:rsidRDefault="006418D2" w:rsidP="006418D2">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2000</w:t>
      </w:r>
      <w:r w:rsidR="0087662D" w:rsidRPr="003875F5">
        <w:rPr>
          <w:rFonts w:ascii="Times New Roman" w:hAnsi="Times New Roman" w:cs="Times New Roman"/>
          <w:sz w:val="24"/>
          <w:szCs w:val="24"/>
          <w:lang w:val="en-US"/>
        </w:rPr>
        <w:t>-2001</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Residents are allowed to make these transactions with professional brokers, as described above</w:t>
      </w:r>
      <w:r w:rsidRPr="003875F5">
        <w:rPr>
          <w:rFonts w:ascii="Times New Roman" w:hAnsi="Times New Roman" w:cs="Times New Roman"/>
          <w:sz w:val="24"/>
          <w:szCs w:val="24"/>
          <w:lang w:val="en-US"/>
        </w:rPr>
        <w:t>.”</w:t>
      </w:r>
      <w:r w:rsidR="00491F46" w:rsidRPr="003875F5">
        <w:rPr>
          <w:rFonts w:ascii="Times New Roman" w:hAnsi="Times New Roman" w:cs="Times New Roman"/>
          <w:sz w:val="24"/>
          <w:szCs w:val="24"/>
          <w:lang w:val="en-US"/>
        </w:rPr>
        <w:t xml:space="preserve"> </w:t>
      </w:r>
      <w:r w:rsidR="00895602" w:rsidRPr="003875F5">
        <w:rPr>
          <w:rFonts w:ascii="Times New Roman" w:hAnsi="Times New Roman" w:cs="Times New Roman"/>
          <w:sz w:val="24"/>
          <w:szCs w:val="24"/>
          <w:lang w:val="en-US"/>
        </w:rPr>
        <w:t>Idem as above.</w:t>
      </w:r>
    </w:p>
    <w:p w:rsidR="0087662D" w:rsidRPr="003875F5" w:rsidRDefault="0087662D" w:rsidP="0087662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de_siar</w:t>
      </w:r>
      <w:proofErr w:type="spellEnd"/>
      <w:r w:rsidRPr="003875F5">
        <w:rPr>
          <w:rFonts w:ascii="Times New Roman" w:hAnsi="Times New Roman" w:cs="Times New Roman"/>
          <w:sz w:val="24"/>
          <w:szCs w:val="24"/>
          <w:lang w:val="en-US"/>
        </w:rPr>
        <w:t xml:space="preserve"> 2004</w:t>
      </w:r>
      <w:r w:rsidR="00D60A94" w:rsidRPr="003875F5">
        <w:rPr>
          <w:rFonts w:ascii="Times New Roman" w:hAnsi="Times New Roman" w:cs="Times New Roman"/>
          <w:sz w:val="24"/>
          <w:szCs w:val="24"/>
          <w:lang w:val="en-US"/>
        </w:rPr>
        <w:t>-2010</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Only exchange market intermediaries and stock exchanges may offer derivatives on the exchange rate (futures or forward cover).</w:t>
      </w:r>
      <w:r w:rsidRPr="003875F5">
        <w:rPr>
          <w:rFonts w:ascii="Times New Roman" w:hAnsi="Times New Roman" w:cs="Times New Roman"/>
          <w:sz w:val="24"/>
          <w:szCs w:val="24"/>
          <w:lang w:val="en-US"/>
        </w:rPr>
        <w:t xml:space="preserve">” </w:t>
      </w:r>
      <w:r w:rsidR="00895602" w:rsidRPr="003875F5">
        <w:rPr>
          <w:rFonts w:ascii="Times New Roman" w:hAnsi="Times New Roman" w:cs="Times New Roman"/>
          <w:sz w:val="24"/>
          <w:szCs w:val="24"/>
          <w:lang w:val="en-US"/>
        </w:rPr>
        <w:t>This is considered to be a control.</w:t>
      </w:r>
    </w:p>
    <w:p w:rsidR="009D3FA2" w:rsidRPr="003875F5" w:rsidRDefault="009D3FA2" w:rsidP="009D3FA2">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200</w:t>
      </w:r>
      <w:r w:rsidR="00DA6A4B" w:rsidRPr="003875F5">
        <w:rPr>
          <w:rFonts w:ascii="Times New Roman" w:hAnsi="Times New Roman" w:cs="Times New Roman"/>
          <w:sz w:val="24"/>
          <w:szCs w:val="24"/>
          <w:lang w:val="en-US"/>
        </w:rPr>
        <w:t>5</w:t>
      </w:r>
      <w:r w:rsidR="00D60A94" w:rsidRPr="003875F5">
        <w:rPr>
          <w:rFonts w:ascii="Times New Roman" w:hAnsi="Times New Roman" w:cs="Times New Roman"/>
          <w:sz w:val="24"/>
          <w:szCs w:val="24"/>
          <w:lang w:val="en-US"/>
        </w:rPr>
        <w:t>-2010</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Only foreign investors registered with the BR and foreign companies that have offered issues on Colombia’s public securities market are allowed to purchase cover from EMIs, who are the only authorized providers.</w:t>
      </w:r>
      <w:r w:rsidRPr="003875F5">
        <w:rPr>
          <w:rFonts w:ascii="Times New Roman" w:hAnsi="Times New Roman" w:cs="Times New Roman"/>
          <w:sz w:val="24"/>
          <w:szCs w:val="24"/>
          <w:lang w:val="en-US"/>
        </w:rPr>
        <w:t xml:space="preserve">” Although there is apparently only a registration obligation, it seems that </w:t>
      </w:r>
      <w:r w:rsidR="00895602" w:rsidRPr="003875F5">
        <w:rPr>
          <w:rFonts w:ascii="Times New Roman" w:hAnsi="Times New Roman" w:cs="Times New Roman"/>
          <w:sz w:val="24"/>
          <w:szCs w:val="24"/>
          <w:lang w:val="en-US"/>
        </w:rPr>
        <w:t>OTC transactions are not allowed</w:t>
      </w:r>
      <w:r w:rsidRPr="003875F5">
        <w:rPr>
          <w:rFonts w:ascii="Times New Roman" w:hAnsi="Times New Roman" w:cs="Times New Roman"/>
          <w:sz w:val="24"/>
          <w:szCs w:val="24"/>
          <w:lang w:val="en-US"/>
        </w:rPr>
        <w:t xml:space="preserve">. Please note that EMIs are Exchange Market Intermediaries. </w:t>
      </w:r>
    </w:p>
    <w:p w:rsidR="00494A3D" w:rsidRPr="003875F5" w:rsidRDefault="00494A3D" w:rsidP="00494A3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proofErr w:type="gramStart"/>
      <w:r w:rsidRPr="003875F5">
        <w:rPr>
          <w:rFonts w:ascii="Times New Roman" w:hAnsi="Times New Roman" w:cs="Times New Roman"/>
          <w:sz w:val="24"/>
          <w:szCs w:val="24"/>
          <w:lang w:val="en-US"/>
        </w:rPr>
        <w:t>gso</w:t>
      </w:r>
      <w:proofErr w:type="spellEnd"/>
      <w:proofErr w:type="gramEnd"/>
      <w:r w:rsidRPr="003875F5">
        <w:rPr>
          <w:rFonts w:ascii="Times New Roman" w:hAnsi="Times New Roman" w:cs="Times New Roman"/>
          <w:sz w:val="24"/>
          <w:szCs w:val="24"/>
          <w:lang w:val="en-US"/>
        </w:rPr>
        <w:t xml:space="preserve"> 2000</w:t>
      </w:r>
      <w:r w:rsidR="008227E9" w:rsidRPr="003875F5">
        <w:rPr>
          <w:rFonts w:ascii="Times New Roman" w:hAnsi="Times New Roman" w:cs="Times New Roman"/>
          <w:sz w:val="24"/>
          <w:szCs w:val="24"/>
          <w:lang w:val="en-US"/>
        </w:rPr>
        <w:t>-2001</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These transactions must be made through the formal exchange market.</w:t>
      </w:r>
      <w:r w:rsidRPr="003875F5">
        <w:rPr>
          <w:rFonts w:ascii="Times New Roman" w:hAnsi="Times New Roman" w:cs="Times New Roman"/>
          <w:sz w:val="24"/>
          <w:szCs w:val="24"/>
          <w:lang w:val="en-US"/>
        </w:rPr>
        <w:t xml:space="preserve">” </w:t>
      </w:r>
      <w:r w:rsidR="004F2D32" w:rsidRPr="003875F5">
        <w:rPr>
          <w:rFonts w:ascii="Times New Roman" w:hAnsi="Times New Roman" w:cs="Times New Roman"/>
          <w:sz w:val="24"/>
          <w:szCs w:val="24"/>
          <w:lang w:val="en-US"/>
        </w:rPr>
        <w:t>We take the stand that the narrative present in 2002, which further explains that these transactions must be conducted through an authorized intermediary, is also applicable for these two years.</w:t>
      </w:r>
    </w:p>
    <w:p w:rsidR="00494A3D" w:rsidRPr="003875F5" w:rsidRDefault="00494A3D" w:rsidP="00494A3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re_pabr</w:t>
      </w:r>
      <w:proofErr w:type="spellEnd"/>
      <w:r w:rsidRPr="003875F5">
        <w:rPr>
          <w:rFonts w:ascii="Times New Roman" w:hAnsi="Times New Roman" w:cs="Times New Roman"/>
          <w:sz w:val="24"/>
          <w:szCs w:val="24"/>
          <w:lang w:val="en-US"/>
        </w:rPr>
        <w:t xml:space="preserve"> 2001: “</w:t>
      </w:r>
      <w:r w:rsidRPr="003875F5">
        <w:rPr>
          <w:rFonts w:ascii="Times New Roman" w:hAnsi="Times New Roman" w:cs="Times New Roman"/>
          <w:i/>
          <w:sz w:val="24"/>
          <w:szCs w:val="24"/>
          <w:lang w:val="en-US"/>
        </w:rPr>
        <w:t>These transactions must be effected through the authorized exchange market. Foreign exchange may be bought in the free market to invest abroad, but if the amount is greater than US $500,000, the transaction must be registered with the BR</w:t>
      </w:r>
      <w:r w:rsidRPr="003875F5">
        <w:rPr>
          <w:rFonts w:ascii="Times New Roman" w:hAnsi="Times New Roman" w:cs="Times New Roman"/>
          <w:sz w:val="24"/>
          <w:szCs w:val="24"/>
          <w:lang w:val="en-US"/>
        </w:rPr>
        <w:t xml:space="preserve">.”  </w:t>
      </w:r>
      <w:r w:rsidR="004F2D32" w:rsidRPr="003875F5">
        <w:rPr>
          <w:rFonts w:ascii="Times New Roman" w:hAnsi="Times New Roman" w:cs="Times New Roman"/>
          <w:sz w:val="24"/>
          <w:szCs w:val="24"/>
          <w:lang w:val="en-US"/>
        </w:rPr>
        <w:t>Idem as (</w:t>
      </w:r>
      <w:r w:rsidR="004F2D32" w:rsidRPr="003875F5">
        <w:rPr>
          <w:rFonts w:ascii="Times New Roman" w:hAnsi="Times New Roman" w:cs="Times New Roman"/>
          <w:i/>
          <w:sz w:val="24"/>
          <w:szCs w:val="24"/>
          <w:lang w:val="en-US"/>
        </w:rPr>
        <w:t>ix</w:t>
      </w:r>
      <w:r w:rsidR="004F2D32" w:rsidRPr="003875F5">
        <w:rPr>
          <w:rFonts w:ascii="Times New Roman" w:hAnsi="Times New Roman" w:cs="Times New Roman"/>
          <w:sz w:val="24"/>
          <w:szCs w:val="24"/>
          <w:lang w:val="en-US"/>
        </w:rPr>
        <w:t>) above.</w:t>
      </w:r>
    </w:p>
    <w:p w:rsidR="00B40D06" w:rsidRPr="003875F5" w:rsidRDefault="00B40D06" w:rsidP="00B252C6">
      <w:pPr>
        <w:pStyle w:val="Estilo2"/>
      </w:pPr>
      <w:bookmarkStart w:id="21" w:name="_Toc402472320"/>
      <w:r w:rsidRPr="003875F5">
        <w:t>Costa Rica</w:t>
      </w:r>
      <w:bookmarkEnd w:id="21"/>
    </w:p>
    <w:p w:rsidR="00A055BB" w:rsidRPr="003875F5" w:rsidRDefault="00532736" w:rsidP="00974DEC">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2011-2012 </w:t>
      </w:r>
      <w:proofErr w:type="spellStart"/>
      <w:r w:rsidRPr="003875F5">
        <w:rPr>
          <w:rFonts w:ascii="Times New Roman" w:hAnsi="Times New Roman" w:cs="Times New Roman"/>
          <w:sz w:val="24"/>
          <w:szCs w:val="24"/>
          <w:lang w:val="en-US"/>
        </w:rPr>
        <w:t>fci</w:t>
      </w:r>
      <w:proofErr w:type="spellEnd"/>
      <w:r w:rsidRPr="003875F5">
        <w:rPr>
          <w:rFonts w:ascii="Times New Roman" w:hAnsi="Times New Roman" w:cs="Times New Roman"/>
          <w:sz w:val="24"/>
          <w:szCs w:val="24"/>
          <w:lang w:val="en-US"/>
        </w:rPr>
        <w:t>, in consideration</w:t>
      </w:r>
      <w:r w:rsidR="00845B49" w:rsidRPr="003875F5">
        <w:rPr>
          <w:rFonts w:ascii="Times New Roman" w:hAnsi="Times New Roman" w:cs="Times New Roman"/>
          <w:sz w:val="24"/>
          <w:szCs w:val="24"/>
          <w:lang w:val="en-US"/>
        </w:rPr>
        <w:t xml:space="preserve"> that there are reserve minima for financial entities</w:t>
      </w:r>
      <w:r w:rsidRPr="003875F5">
        <w:rPr>
          <w:rFonts w:ascii="Times New Roman" w:hAnsi="Times New Roman" w:cs="Times New Roman"/>
          <w:sz w:val="24"/>
          <w:szCs w:val="24"/>
          <w:lang w:val="en-US"/>
        </w:rPr>
        <w:t>, following rule 6, the coding must reflect a control.</w:t>
      </w:r>
    </w:p>
    <w:p w:rsidR="00C40D47" w:rsidRPr="003875F5" w:rsidRDefault="00DD5634" w:rsidP="00974DEC">
      <w:pPr>
        <w:pStyle w:val="Prrafodelista"/>
        <w:numPr>
          <w:ilvl w:val="2"/>
          <w:numId w:val="2"/>
        </w:numPr>
        <w:spacing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In 2006-2013</w:t>
      </w:r>
      <w:r w:rsidR="00C40D47" w:rsidRPr="003875F5">
        <w:rPr>
          <w:rFonts w:ascii="Times New Roman" w:hAnsi="Times New Roman" w:cs="Times New Roman"/>
          <w:sz w:val="24"/>
          <w:szCs w:val="24"/>
          <w:lang w:val="en-US"/>
        </w:rPr>
        <w:t xml:space="preserve"> </w:t>
      </w:r>
      <w:proofErr w:type="spellStart"/>
      <w:r w:rsidR="00C40D47" w:rsidRPr="003875F5">
        <w:rPr>
          <w:rFonts w:ascii="Times New Roman" w:hAnsi="Times New Roman" w:cs="Times New Roman"/>
          <w:sz w:val="24"/>
          <w:szCs w:val="24"/>
          <w:lang w:val="en-US"/>
        </w:rPr>
        <w:t>bo_siar</w:t>
      </w:r>
      <w:proofErr w:type="spellEnd"/>
      <w:r w:rsidR="00C40D47" w:rsidRPr="003875F5">
        <w:rPr>
          <w:rFonts w:ascii="Times New Roman" w:hAnsi="Times New Roman" w:cs="Times New Roman"/>
          <w:sz w:val="24"/>
          <w:szCs w:val="24"/>
          <w:lang w:val="en-US"/>
        </w:rPr>
        <w:t xml:space="preserve"> there is an explicit allusion to an authorization requirement to the issuance of bonds by the MOF</w:t>
      </w:r>
      <w:r w:rsidR="000B3498" w:rsidRPr="003875F5">
        <w:rPr>
          <w:rFonts w:ascii="Times New Roman" w:hAnsi="Times New Roman" w:cs="Times New Roman"/>
          <w:sz w:val="24"/>
          <w:szCs w:val="24"/>
          <w:lang w:val="en-US"/>
        </w:rPr>
        <w:t xml:space="preserve"> (rule 5)</w:t>
      </w:r>
      <w:r w:rsidR="00C40D47" w:rsidRPr="003875F5">
        <w:rPr>
          <w:rFonts w:ascii="Times New Roman" w:hAnsi="Times New Roman" w:cs="Times New Roman"/>
          <w:sz w:val="24"/>
          <w:szCs w:val="24"/>
          <w:lang w:val="en-US"/>
        </w:rPr>
        <w:t>.</w:t>
      </w:r>
    </w:p>
    <w:p w:rsidR="00DC1713" w:rsidRPr="003875F5" w:rsidRDefault="00DC1713" w:rsidP="00B252C6">
      <w:pPr>
        <w:pStyle w:val="Estilo2"/>
      </w:pPr>
      <w:bookmarkStart w:id="22" w:name="_Toc402472321"/>
      <w:r w:rsidRPr="003875F5">
        <w:t>Côte d’Ivoire</w:t>
      </w:r>
      <w:bookmarkEnd w:id="22"/>
    </w:p>
    <w:p w:rsidR="00DC1713" w:rsidRPr="003875F5" w:rsidRDefault="00DC1713"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For dii, the narrative changes in 2009 but the substance remains the same as in 2008 where there is only a requirement for reporting activities for statistical purposes. So we agreed in continuing to put 0 in that year and 2010 and 2011, despite the fact that the second column changes.</w:t>
      </w:r>
    </w:p>
    <w:p w:rsidR="008F2C24" w:rsidRPr="003875F5" w:rsidRDefault="00307284"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(Note that the narrative is identical to the one found in Burkina Faso) </w:t>
      </w:r>
      <w:r w:rsidR="008F2C24" w:rsidRPr="003875F5">
        <w:rPr>
          <w:rFonts w:ascii="Times New Roman" w:hAnsi="Times New Roman" w:cs="Times New Roman"/>
          <w:sz w:val="24"/>
          <w:szCs w:val="24"/>
          <w:lang w:val="en-US"/>
        </w:rPr>
        <w:t>In</w:t>
      </w:r>
      <w:r w:rsidR="006C065A" w:rsidRPr="003875F5">
        <w:rPr>
          <w:rFonts w:ascii="Times New Roman" w:hAnsi="Times New Roman" w:cs="Times New Roman"/>
          <w:sz w:val="24"/>
          <w:szCs w:val="24"/>
          <w:lang w:val="en-US"/>
        </w:rPr>
        <w:t xml:space="preserve"> </w:t>
      </w:r>
      <w:proofErr w:type="spellStart"/>
      <w:r w:rsidR="006C065A" w:rsidRPr="003875F5">
        <w:rPr>
          <w:rFonts w:ascii="Times New Roman" w:hAnsi="Times New Roman" w:cs="Times New Roman"/>
          <w:sz w:val="24"/>
          <w:szCs w:val="24"/>
          <w:lang w:val="en-US"/>
        </w:rPr>
        <w:t>ldi</w:t>
      </w:r>
      <w:proofErr w:type="spellEnd"/>
      <w:r w:rsidR="008F2C24" w:rsidRPr="003875F5">
        <w:rPr>
          <w:rFonts w:ascii="Times New Roman" w:hAnsi="Times New Roman" w:cs="Times New Roman"/>
          <w:sz w:val="24"/>
          <w:szCs w:val="24"/>
          <w:lang w:val="en-US"/>
        </w:rPr>
        <w:t xml:space="preserve"> 2005, the following narrative appears: “</w:t>
      </w:r>
      <w:r w:rsidR="008F2C24" w:rsidRPr="003875F5">
        <w:rPr>
          <w:rFonts w:ascii="Times New Roman" w:hAnsi="Times New Roman" w:cs="Times New Roman"/>
          <w:i/>
          <w:sz w:val="24"/>
          <w:szCs w:val="24"/>
          <w:lang w:val="en-US"/>
        </w:rPr>
        <w:t>The liquidation of investments abroad must be reported to the MEF for statistical purposes. Reinvestment of the proceeds from the liquidation is subject to prior MEF authorization. If reinvestment is not authorized, the proceeds from the liquidation must be repatriated within one month through an authorized intermediary. The sale of foreign investments by nonresidents is unrestricted but must be reported to the MEF for statistical purposes</w:t>
      </w:r>
      <w:r w:rsidR="008F2C24"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w:t>
      </w:r>
      <w:r w:rsidR="00532736" w:rsidRPr="003875F5">
        <w:rPr>
          <w:rFonts w:ascii="Times New Roman" w:hAnsi="Times New Roman" w:cs="Times New Roman"/>
          <w:sz w:val="24"/>
          <w:szCs w:val="24"/>
          <w:lang w:val="en-US"/>
        </w:rPr>
        <w:t>Pursuant rule 2, this is coded with a 1.</w:t>
      </w:r>
    </w:p>
    <w:p w:rsidR="00AC653C" w:rsidRPr="003875F5" w:rsidRDefault="00AC653C"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Idem as Burkin</w:t>
      </w:r>
      <w:r w:rsidR="00DE63C7" w:rsidRPr="003875F5">
        <w:rPr>
          <w:rFonts w:ascii="Times New Roman" w:hAnsi="Times New Roman" w:cs="Times New Roman"/>
          <w:sz w:val="24"/>
          <w:szCs w:val="24"/>
          <w:lang w:val="en-US"/>
        </w:rPr>
        <w:t xml:space="preserve">a Faso: </w:t>
      </w:r>
      <w:proofErr w:type="spellStart"/>
      <w:r w:rsidR="00DE63C7" w:rsidRPr="003875F5">
        <w:rPr>
          <w:rFonts w:ascii="Times New Roman" w:hAnsi="Times New Roman" w:cs="Times New Roman"/>
          <w:sz w:val="24"/>
          <w:szCs w:val="24"/>
          <w:lang w:val="en-US"/>
        </w:rPr>
        <w:t>eq_siar</w:t>
      </w:r>
      <w:proofErr w:type="spellEnd"/>
      <w:r w:rsidR="00DE63C7" w:rsidRPr="003875F5">
        <w:rPr>
          <w:rFonts w:ascii="Times New Roman" w:hAnsi="Times New Roman" w:cs="Times New Roman"/>
          <w:sz w:val="24"/>
          <w:szCs w:val="24"/>
          <w:lang w:val="en-US"/>
        </w:rPr>
        <w:t xml:space="preserve"> in 2000</w:t>
      </w:r>
      <w:r w:rsidRPr="003875F5">
        <w:rPr>
          <w:rFonts w:ascii="Times New Roman" w:hAnsi="Times New Roman" w:cs="Times New Roman"/>
          <w:sz w:val="24"/>
          <w:szCs w:val="24"/>
          <w:lang w:val="en-US"/>
        </w:rPr>
        <w:t>-2012.</w:t>
      </w:r>
    </w:p>
    <w:p w:rsidR="006C065A" w:rsidRPr="003875F5" w:rsidRDefault="006C065A" w:rsidP="00EA2BF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fci</w:t>
      </w:r>
      <w:proofErr w:type="spellEnd"/>
      <w:r w:rsidRPr="003875F5">
        <w:rPr>
          <w:rFonts w:ascii="Times New Roman" w:hAnsi="Times New Roman" w:cs="Times New Roman"/>
          <w:sz w:val="24"/>
          <w:szCs w:val="24"/>
          <w:lang w:val="en-US"/>
        </w:rPr>
        <w:t xml:space="preserve"> 2005</w:t>
      </w:r>
      <w:r w:rsidR="00DE0AAC" w:rsidRPr="003875F5">
        <w:rPr>
          <w:rFonts w:ascii="Times New Roman" w:hAnsi="Times New Roman" w:cs="Times New Roman"/>
          <w:sz w:val="24"/>
          <w:szCs w:val="24"/>
          <w:lang w:val="en-US"/>
        </w:rPr>
        <w:t>-2012 (2000-2004 has a similar narrative)</w:t>
      </w:r>
      <w:r w:rsidR="00EA2BF1" w:rsidRPr="003875F5">
        <w:rPr>
          <w:rFonts w:ascii="Times New Roman" w:hAnsi="Times New Roman" w:cs="Times New Roman"/>
          <w:sz w:val="24"/>
          <w:szCs w:val="24"/>
          <w:lang w:val="en-US"/>
        </w:rPr>
        <w:t>: “</w:t>
      </w:r>
      <w:r w:rsidR="00EA2BF1" w:rsidRPr="003875F5">
        <w:rPr>
          <w:rFonts w:ascii="Times New Roman" w:hAnsi="Times New Roman" w:cs="Times New Roman"/>
          <w:i/>
          <w:sz w:val="24"/>
          <w:szCs w:val="24"/>
          <w:lang w:val="en-US"/>
        </w:rPr>
        <w:t>There are no controls on these credits, but they must be declared to the directorate responsible for external finance for statistical purposes. The necessary funds must be transferred from abroad through an authorized agent. There are no controls on repayments of loans, provided the authorized agent handling the settlement is furnished with documentation attesting to the validity of the transaction</w:t>
      </w:r>
      <w:r w:rsidR="00EA2BF1" w:rsidRPr="003875F5">
        <w:rPr>
          <w:rFonts w:ascii="Times New Roman" w:hAnsi="Times New Roman" w:cs="Times New Roman"/>
          <w:sz w:val="24"/>
          <w:szCs w:val="24"/>
          <w:lang w:val="en-US"/>
        </w:rPr>
        <w:t xml:space="preserve">” Following rule </w:t>
      </w:r>
      <w:r w:rsidR="0050193B" w:rsidRPr="003875F5">
        <w:rPr>
          <w:rFonts w:ascii="Times New Roman" w:hAnsi="Times New Roman" w:cs="Times New Roman"/>
          <w:sz w:val="24"/>
          <w:szCs w:val="24"/>
          <w:lang w:val="en-US"/>
        </w:rPr>
        <w:t xml:space="preserve">5, this must be coded with ones, as </w:t>
      </w:r>
      <w:r w:rsidR="00CC09F6" w:rsidRPr="003875F5">
        <w:rPr>
          <w:rFonts w:ascii="Times New Roman" w:hAnsi="Times New Roman" w:cs="Times New Roman"/>
          <w:sz w:val="24"/>
          <w:szCs w:val="24"/>
          <w:lang w:val="en-US"/>
        </w:rPr>
        <w:t>we deemed the “authorized agent” requirement</w:t>
      </w:r>
      <w:r w:rsidR="0050193B" w:rsidRPr="003875F5">
        <w:rPr>
          <w:rFonts w:ascii="Times New Roman" w:hAnsi="Times New Roman" w:cs="Times New Roman"/>
          <w:sz w:val="24"/>
          <w:szCs w:val="24"/>
          <w:lang w:val="en-US"/>
        </w:rPr>
        <w:t xml:space="preserve"> a control</w:t>
      </w:r>
      <w:r w:rsidR="00CC09F6" w:rsidRPr="003875F5">
        <w:rPr>
          <w:rFonts w:ascii="Times New Roman" w:hAnsi="Times New Roman" w:cs="Times New Roman"/>
          <w:sz w:val="24"/>
          <w:szCs w:val="24"/>
          <w:lang w:val="en-US"/>
        </w:rPr>
        <w:t>.</w:t>
      </w:r>
    </w:p>
    <w:p w:rsidR="00A14DFA" w:rsidRPr="003875F5" w:rsidRDefault="00A14DFA" w:rsidP="00A14DF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1995</w:t>
      </w:r>
      <w:r w:rsidR="005434D0" w:rsidRPr="003875F5">
        <w:rPr>
          <w:rFonts w:ascii="Times New Roman" w:hAnsi="Times New Roman" w:cs="Times New Roman"/>
          <w:sz w:val="24"/>
          <w:szCs w:val="24"/>
          <w:lang w:val="en-US"/>
        </w:rPr>
        <w:t>-199</w:t>
      </w:r>
      <w:r w:rsidR="00CA7BAE" w:rsidRPr="003875F5">
        <w:rPr>
          <w:rFonts w:ascii="Times New Roman" w:hAnsi="Times New Roman" w:cs="Times New Roman"/>
          <w:sz w:val="24"/>
          <w:szCs w:val="24"/>
          <w:lang w:val="en-US"/>
        </w:rPr>
        <w:t>7</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These instruments, which are almost nonexistent in Côte d'Ivoire, fall within the scope of the regulatory framework generally applicable to securities and investments</w:t>
      </w:r>
      <w:r w:rsidRPr="003875F5">
        <w:rPr>
          <w:rFonts w:ascii="Times New Roman" w:hAnsi="Times New Roman" w:cs="Times New Roman"/>
          <w:sz w:val="24"/>
          <w:szCs w:val="24"/>
          <w:lang w:val="en-US"/>
        </w:rPr>
        <w:t>”</w:t>
      </w:r>
      <w:r w:rsidR="00895602" w:rsidRPr="003875F5">
        <w:rPr>
          <w:rFonts w:ascii="Times New Roman" w:hAnsi="Times New Roman" w:cs="Times New Roman"/>
          <w:sz w:val="24"/>
          <w:szCs w:val="24"/>
          <w:lang w:val="en-US"/>
        </w:rPr>
        <w:t xml:space="preserve"> Subcategories were coded in accordance with rule 3(i).</w:t>
      </w:r>
    </w:p>
    <w:p w:rsidR="00490AF1" w:rsidRPr="003875F5" w:rsidRDefault="00490AF1" w:rsidP="00B252C6">
      <w:pPr>
        <w:pStyle w:val="Estilo2"/>
      </w:pPr>
      <w:bookmarkStart w:id="23" w:name="_Toc402472322"/>
      <w:r w:rsidRPr="003875F5">
        <w:t>Cyprus</w:t>
      </w:r>
      <w:bookmarkEnd w:id="23"/>
    </w:p>
    <w:p w:rsidR="00490AF1" w:rsidRPr="003875F5" w:rsidRDefault="00490AF1"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An important change is recorded in the 2013 report. All relevant categories became restricted. Nevertheless, following rule 1, this regime change does not affect coding for 2012, since the measure was effective in April 2013.</w:t>
      </w:r>
    </w:p>
    <w:p w:rsidR="009734CE" w:rsidRPr="003875F5" w:rsidRDefault="009734CE"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w:t>
      </w:r>
      <w:r w:rsidR="00DE0AAC" w:rsidRPr="003875F5">
        <w:rPr>
          <w:rFonts w:ascii="Times New Roman" w:hAnsi="Times New Roman" w:cs="Times New Roman"/>
          <w:sz w:val="24"/>
          <w:szCs w:val="24"/>
          <w:lang w:val="en-US"/>
        </w:rPr>
        <w:t xml:space="preserve"> </w:t>
      </w:r>
      <w:proofErr w:type="spellStart"/>
      <w:r w:rsidR="00DE0AAC" w:rsidRPr="003875F5">
        <w:rPr>
          <w:rFonts w:ascii="Times New Roman" w:hAnsi="Times New Roman" w:cs="Times New Roman"/>
          <w:sz w:val="24"/>
          <w:szCs w:val="24"/>
          <w:lang w:val="en-US"/>
        </w:rPr>
        <w:t>fco</w:t>
      </w:r>
      <w:proofErr w:type="spellEnd"/>
      <w:r w:rsidR="00DE0AAC" w:rsidRPr="003875F5">
        <w:rPr>
          <w:rFonts w:ascii="Times New Roman" w:hAnsi="Times New Roman" w:cs="Times New Roman"/>
          <w:sz w:val="24"/>
          <w:szCs w:val="24"/>
          <w:lang w:val="en-US"/>
        </w:rPr>
        <w:t xml:space="preserve"> 2007</w:t>
      </w:r>
      <w:r w:rsidRPr="003875F5">
        <w:rPr>
          <w:rFonts w:ascii="Times New Roman" w:hAnsi="Times New Roman" w:cs="Times New Roman"/>
          <w:sz w:val="24"/>
          <w:szCs w:val="24"/>
          <w:lang w:val="en-US"/>
        </w:rPr>
        <w:t>-2011, the following narrative appears: “</w:t>
      </w:r>
      <w:r w:rsidRPr="003875F5">
        <w:rPr>
          <w:rFonts w:ascii="Times New Roman" w:hAnsi="Times New Roman" w:cs="Times New Roman"/>
          <w:i/>
          <w:sz w:val="24"/>
          <w:szCs w:val="24"/>
          <w:lang w:val="en-US"/>
        </w:rPr>
        <w:t>Bank loans in foreign currency are subject to the liquid asset requirements prescribed by the CBC for prudential reasons. No other controls apply.</w:t>
      </w:r>
      <w:r w:rsidRPr="003875F5">
        <w:rPr>
          <w:rFonts w:ascii="Times New Roman" w:hAnsi="Times New Roman" w:cs="Times New Roman"/>
          <w:sz w:val="24"/>
          <w:szCs w:val="24"/>
          <w:lang w:val="en-US"/>
        </w:rPr>
        <w:t>”</w:t>
      </w:r>
      <w:r w:rsidR="00023D76" w:rsidRPr="003875F5">
        <w:rPr>
          <w:rFonts w:ascii="Times New Roman" w:hAnsi="Times New Roman" w:cs="Times New Roman"/>
          <w:sz w:val="24"/>
          <w:szCs w:val="24"/>
          <w:lang w:val="en-US"/>
        </w:rPr>
        <w:t xml:space="preserve"> In the dataset this was coded with zeros. Also note that a very similar narrative </w:t>
      </w:r>
      <w:r w:rsidR="00DE0AAC" w:rsidRPr="003875F5">
        <w:rPr>
          <w:rFonts w:ascii="Times New Roman" w:hAnsi="Times New Roman" w:cs="Times New Roman"/>
          <w:sz w:val="24"/>
          <w:szCs w:val="24"/>
          <w:lang w:val="en-US"/>
        </w:rPr>
        <w:t>was present in 2006</w:t>
      </w:r>
      <w:r w:rsidR="00657D24" w:rsidRPr="003875F5">
        <w:rPr>
          <w:rFonts w:ascii="Times New Roman" w:hAnsi="Times New Roman" w:cs="Times New Roman"/>
          <w:sz w:val="24"/>
          <w:szCs w:val="24"/>
          <w:lang w:val="en-US"/>
        </w:rPr>
        <w:t xml:space="preserve"> under the header for “</w:t>
      </w:r>
      <w:r w:rsidR="00DE0AAC" w:rsidRPr="003875F5">
        <w:rPr>
          <w:rFonts w:ascii="Times New Roman" w:hAnsi="Times New Roman" w:cs="Times New Roman"/>
          <w:sz w:val="24"/>
          <w:szCs w:val="24"/>
          <w:lang w:val="en-US"/>
        </w:rPr>
        <w:t>credit operations</w:t>
      </w:r>
      <w:r w:rsidR="00657D24" w:rsidRPr="003875F5">
        <w:rPr>
          <w:rFonts w:ascii="Times New Roman" w:hAnsi="Times New Roman" w:cs="Times New Roman"/>
          <w:sz w:val="24"/>
          <w:szCs w:val="24"/>
          <w:lang w:val="en-US"/>
        </w:rPr>
        <w:t xml:space="preserve">”.  </w:t>
      </w:r>
      <w:r w:rsidR="0035382D" w:rsidRPr="003875F5">
        <w:rPr>
          <w:rFonts w:ascii="Times New Roman" w:hAnsi="Times New Roman" w:cs="Times New Roman"/>
          <w:sz w:val="24"/>
          <w:szCs w:val="24"/>
          <w:lang w:val="en-US"/>
        </w:rPr>
        <w:t>This is considered as a control, in virtue of rule 17.</w:t>
      </w:r>
      <w:r w:rsidR="00023D76" w:rsidRPr="003875F5">
        <w:rPr>
          <w:rFonts w:ascii="Times New Roman" w:hAnsi="Times New Roman" w:cs="Times New Roman"/>
          <w:sz w:val="24"/>
          <w:szCs w:val="24"/>
          <w:lang w:val="en-US"/>
        </w:rPr>
        <w:t xml:space="preserve"> </w:t>
      </w:r>
    </w:p>
    <w:p w:rsidR="004673CF" w:rsidRPr="003875F5" w:rsidRDefault="00974DEC"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There was a t</w:t>
      </w:r>
      <w:r w:rsidR="004673CF" w:rsidRPr="003875F5">
        <w:rPr>
          <w:rFonts w:ascii="Times New Roman" w:hAnsi="Times New Roman" w:cs="Times New Roman"/>
          <w:sz w:val="24"/>
          <w:szCs w:val="24"/>
          <w:lang w:val="en-US"/>
        </w:rPr>
        <w:t xml:space="preserve">ypo in </w:t>
      </w:r>
      <w:proofErr w:type="spellStart"/>
      <w:r w:rsidR="004673CF" w:rsidRPr="003875F5">
        <w:rPr>
          <w:rFonts w:ascii="Times New Roman" w:hAnsi="Times New Roman" w:cs="Times New Roman"/>
          <w:sz w:val="24"/>
          <w:szCs w:val="24"/>
          <w:lang w:val="en-US"/>
        </w:rPr>
        <w:t>fco</w:t>
      </w:r>
      <w:proofErr w:type="spellEnd"/>
      <w:r w:rsidR="004673CF" w:rsidRPr="003875F5">
        <w:rPr>
          <w:rFonts w:ascii="Times New Roman" w:hAnsi="Times New Roman" w:cs="Times New Roman"/>
          <w:sz w:val="24"/>
          <w:szCs w:val="24"/>
          <w:lang w:val="en-US"/>
        </w:rPr>
        <w:t xml:space="preserve"> 2005 (has a “</w:t>
      </w:r>
      <w:r w:rsidR="004673CF" w:rsidRPr="003875F5">
        <w:rPr>
          <w:rFonts w:ascii="Times New Roman" w:hAnsi="Times New Roman" w:cs="Times New Roman"/>
          <w:i/>
          <w:sz w:val="24"/>
          <w:szCs w:val="24"/>
          <w:lang w:val="en-US"/>
        </w:rPr>
        <w:t>no</w:t>
      </w:r>
      <w:r w:rsidR="004673CF" w:rsidRPr="003875F5">
        <w:rPr>
          <w:rFonts w:ascii="Times New Roman" w:hAnsi="Times New Roman" w:cs="Times New Roman"/>
          <w:sz w:val="24"/>
          <w:szCs w:val="24"/>
          <w:lang w:val="en-US"/>
        </w:rPr>
        <w:t>” in second column with no further information).</w:t>
      </w:r>
    </w:p>
    <w:p w:rsidR="00FE2E44" w:rsidRPr="003875F5" w:rsidRDefault="00FE2E44" w:rsidP="00FE2E44">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re_slbn</w:t>
      </w:r>
      <w:proofErr w:type="spellEnd"/>
      <w:r w:rsidRPr="003875F5">
        <w:rPr>
          <w:rFonts w:ascii="Times New Roman" w:hAnsi="Times New Roman" w:cs="Times New Roman"/>
          <w:sz w:val="24"/>
          <w:szCs w:val="24"/>
          <w:lang w:val="en-US"/>
        </w:rPr>
        <w:t xml:space="preserve"> 1996</w:t>
      </w:r>
      <w:r w:rsidR="00527262" w:rsidRPr="003875F5">
        <w:rPr>
          <w:rFonts w:ascii="Times New Roman" w:hAnsi="Times New Roman" w:cs="Times New Roman"/>
          <w:sz w:val="24"/>
          <w:szCs w:val="24"/>
          <w:lang w:val="en-US"/>
        </w:rPr>
        <w:t>-1998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Proceeds are transferable abroad after payment of taxes, provided the seller acquired the property by paying with foreign exchange; otherwise, proceeds are transferable abroad at the rate of £C 50,000 a year through a blocked account</w:t>
      </w:r>
      <w:r w:rsidRPr="003875F5">
        <w:rPr>
          <w:rFonts w:ascii="Times New Roman" w:hAnsi="Times New Roman" w:cs="Times New Roman"/>
          <w:sz w:val="24"/>
          <w:szCs w:val="24"/>
          <w:lang w:val="en-US"/>
        </w:rPr>
        <w:t xml:space="preserve">.” </w:t>
      </w:r>
    </w:p>
    <w:p w:rsidR="00712683" w:rsidRPr="003875F5" w:rsidRDefault="002006F5" w:rsidP="00712683">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1999 the narrative changes: “</w:t>
      </w:r>
      <w:r w:rsidRPr="003875F5">
        <w:rPr>
          <w:rFonts w:ascii="Times New Roman" w:hAnsi="Times New Roman" w:cs="Times New Roman"/>
          <w:i/>
          <w:sz w:val="24"/>
          <w:szCs w:val="24"/>
          <w:lang w:val="en-US"/>
        </w:rPr>
        <w:t>Proceeds are transferable abroad after payment of taxes, provided the seller acquired the property by paying with foreign exchange; otherwise, proceeds are transferable abroad through a blocked account</w:t>
      </w:r>
      <w:r w:rsidRPr="003875F5">
        <w:rPr>
          <w:rFonts w:ascii="Times New Roman" w:hAnsi="Times New Roman" w:cs="Times New Roman"/>
          <w:sz w:val="24"/>
          <w:szCs w:val="24"/>
          <w:lang w:val="en-US"/>
        </w:rPr>
        <w:t>.”</w:t>
      </w:r>
      <w:r w:rsidR="004F2D32" w:rsidRPr="003875F5">
        <w:rPr>
          <w:rFonts w:ascii="Times New Roman" w:hAnsi="Times New Roman" w:cs="Times New Roman"/>
          <w:sz w:val="24"/>
          <w:szCs w:val="24"/>
          <w:lang w:val="en-US"/>
        </w:rPr>
        <w:t xml:space="preserve"> We coded with ones.</w:t>
      </w:r>
    </w:p>
    <w:p w:rsidR="00712683" w:rsidRPr="003875F5" w:rsidRDefault="00712683" w:rsidP="00712683">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re_slbn</w:t>
      </w:r>
      <w:proofErr w:type="spellEnd"/>
      <w:r w:rsidRPr="003875F5">
        <w:rPr>
          <w:rFonts w:ascii="Times New Roman" w:hAnsi="Times New Roman" w:cs="Times New Roman"/>
          <w:sz w:val="24"/>
          <w:szCs w:val="24"/>
          <w:lang w:val="en-US"/>
        </w:rPr>
        <w:t xml:space="preserve"> 2000-2002: “</w:t>
      </w:r>
      <w:r w:rsidRPr="003875F5">
        <w:rPr>
          <w:rFonts w:ascii="Times New Roman" w:hAnsi="Times New Roman" w:cs="Times New Roman"/>
          <w:i/>
          <w:sz w:val="24"/>
          <w:szCs w:val="24"/>
          <w:lang w:val="en-US"/>
        </w:rPr>
        <w:t>Proceeds are transferable abroad after payment of taxes. If the real estate was not acquired with foreign exchange, the proceeds of the sale are transferable at the rate of £C 1 million or one-third of the total amount, whichever is higher, a calendar year</w:t>
      </w:r>
      <w:r w:rsidRPr="003875F5">
        <w:rPr>
          <w:rFonts w:ascii="Times New Roman" w:hAnsi="Times New Roman" w:cs="Times New Roman"/>
          <w:sz w:val="24"/>
          <w:szCs w:val="24"/>
          <w:lang w:val="en-US"/>
        </w:rPr>
        <w:t>.”</w:t>
      </w:r>
      <w:r w:rsidR="004F2D32" w:rsidRPr="003875F5">
        <w:rPr>
          <w:rFonts w:ascii="Times New Roman" w:hAnsi="Times New Roman" w:cs="Times New Roman"/>
          <w:sz w:val="24"/>
          <w:szCs w:val="24"/>
          <w:lang w:val="en-US"/>
        </w:rPr>
        <w:t xml:space="preserve"> We</w:t>
      </w:r>
      <w:r w:rsidRPr="003875F5">
        <w:rPr>
          <w:rFonts w:ascii="Times New Roman" w:hAnsi="Times New Roman" w:cs="Times New Roman"/>
          <w:sz w:val="24"/>
          <w:szCs w:val="24"/>
          <w:lang w:val="en-US"/>
        </w:rPr>
        <w:t xml:space="preserve"> coded with ones.</w:t>
      </w:r>
    </w:p>
    <w:p w:rsidR="00DC1713" w:rsidRPr="003875F5" w:rsidRDefault="00DC1713" w:rsidP="00B252C6">
      <w:pPr>
        <w:pStyle w:val="Estilo2"/>
      </w:pPr>
      <w:bookmarkStart w:id="24" w:name="_Toc402472323"/>
      <w:r w:rsidRPr="003875F5">
        <w:t>Czech Republic</w:t>
      </w:r>
      <w:bookmarkEnd w:id="24"/>
    </w:p>
    <w:p w:rsidR="00DC1713" w:rsidRPr="003875F5" w:rsidRDefault="00DC1713"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For dii in 2011, the narrative does not change virtually at all between 2010 and 2011. Overall this narrative speaks about controls that apply only to some areas (real estate in agricultural lands, airlines, lotteries, depository of UCITS) without macro consequences. M. Schindler coded as 0 the same narrative in 2005.</w:t>
      </w:r>
    </w:p>
    <w:p w:rsidR="0087630F" w:rsidRPr="003875F5" w:rsidRDefault="0087630F"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Restrictions on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disappear in 2012. However, controls on </w:t>
      </w:r>
      <w:proofErr w:type="spellStart"/>
      <w:r w:rsidRPr="003875F5">
        <w:rPr>
          <w:rFonts w:ascii="Times New Roman" w:hAnsi="Times New Roman" w:cs="Times New Roman"/>
          <w:sz w:val="24"/>
          <w:szCs w:val="24"/>
          <w:lang w:val="en-US"/>
        </w:rPr>
        <w:t>bo_siln</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ci_siln</w:t>
      </w:r>
      <w:proofErr w:type="spellEnd"/>
      <w:r w:rsidRPr="003875F5">
        <w:rPr>
          <w:rFonts w:ascii="Times New Roman" w:hAnsi="Times New Roman" w:cs="Times New Roman"/>
          <w:sz w:val="24"/>
          <w:szCs w:val="24"/>
          <w:lang w:val="en-US"/>
        </w:rPr>
        <w:t xml:space="preserve"> are introduced.</w:t>
      </w:r>
    </w:p>
    <w:p w:rsidR="000B3498" w:rsidRPr="003875F5" w:rsidRDefault="00974DEC" w:rsidP="005019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(2005-2010), </w:t>
      </w:r>
      <w:proofErr w:type="spellStart"/>
      <w:r w:rsidRPr="003875F5">
        <w:rPr>
          <w:rFonts w:ascii="Times New Roman" w:hAnsi="Times New Roman" w:cs="Times New Roman"/>
          <w:sz w:val="24"/>
          <w:szCs w:val="24"/>
          <w:lang w:val="en-US"/>
        </w:rPr>
        <w:t>bo_siln</w:t>
      </w:r>
      <w:proofErr w:type="spellEnd"/>
      <w:r w:rsidRPr="003875F5">
        <w:rPr>
          <w:rFonts w:ascii="Times New Roman" w:hAnsi="Times New Roman" w:cs="Times New Roman"/>
          <w:sz w:val="24"/>
          <w:szCs w:val="24"/>
          <w:lang w:val="en-US"/>
        </w:rPr>
        <w:t xml:space="preserve"> (2005-2012) and </w:t>
      </w:r>
      <w:proofErr w:type="spellStart"/>
      <w:r w:rsidRPr="003875F5">
        <w:rPr>
          <w:rFonts w:ascii="Times New Roman" w:hAnsi="Times New Roman" w:cs="Times New Roman"/>
          <w:sz w:val="24"/>
          <w:szCs w:val="24"/>
          <w:lang w:val="en-US"/>
        </w:rPr>
        <w:t>mm_siln</w:t>
      </w:r>
      <w:proofErr w:type="spellEnd"/>
      <w:r w:rsidRPr="003875F5">
        <w:rPr>
          <w:rFonts w:ascii="Times New Roman" w:hAnsi="Times New Roman" w:cs="Times New Roman"/>
          <w:sz w:val="24"/>
          <w:szCs w:val="24"/>
          <w:lang w:val="en-US"/>
        </w:rPr>
        <w:t xml:space="preserve"> (2005-2010); the narrative: “</w:t>
      </w:r>
      <w:r w:rsidRPr="003875F5">
        <w:rPr>
          <w:rFonts w:ascii="Times New Roman" w:hAnsi="Times New Roman" w:cs="Times New Roman"/>
          <w:i/>
          <w:sz w:val="24"/>
          <w:szCs w:val="24"/>
          <w:lang w:val="en-US"/>
        </w:rPr>
        <w:t>Controls apply to mortgage securities</w:t>
      </w:r>
      <w:r w:rsidRPr="003875F5">
        <w:rPr>
          <w:rFonts w:ascii="Times New Roman" w:hAnsi="Times New Roman" w:cs="Times New Roman"/>
          <w:sz w:val="24"/>
          <w:szCs w:val="24"/>
          <w:lang w:val="en-US"/>
        </w:rPr>
        <w:t>” is considered as a control, as it may have a significant impact.</w:t>
      </w:r>
    </w:p>
    <w:p w:rsidR="000B3498" w:rsidRPr="003875F5" w:rsidRDefault="00E10787" w:rsidP="005019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all subcategories of </w:t>
      </w:r>
      <w:proofErr w:type="spellStart"/>
      <w:r w:rsidRPr="003875F5">
        <w:rPr>
          <w:rFonts w:ascii="Times New Roman" w:hAnsi="Times New Roman" w:cs="Times New Roman"/>
          <w:sz w:val="24"/>
          <w:szCs w:val="24"/>
          <w:lang w:val="en-US"/>
        </w:rPr>
        <w:t>pabr</w:t>
      </w:r>
      <w:proofErr w:type="spellEnd"/>
      <w:r w:rsidRPr="003875F5">
        <w:rPr>
          <w:rFonts w:ascii="Times New Roman" w:hAnsi="Times New Roman" w:cs="Times New Roman"/>
          <w:sz w:val="24"/>
          <w:szCs w:val="24"/>
          <w:lang w:val="en-US"/>
        </w:rPr>
        <w:t xml:space="preserve"> 2005</w:t>
      </w:r>
      <w:r w:rsidR="00B95E3B" w:rsidRPr="003875F5">
        <w:rPr>
          <w:rFonts w:ascii="Times New Roman" w:hAnsi="Times New Roman" w:cs="Times New Roman"/>
          <w:sz w:val="24"/>
          <w:szCs w:val="24"/>
          <w:lang w:val="en-US"/>
        </w:rPr>
        <w:t>-2011 (not 2012 nor 2004) (starting in 2009, new restrictions are added in the same sectors –pension funds and insurance companies–)</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Controls apply to the purchase by (1) a private pension fund of securities other than those issued by governments and central banks of OECD member countries on a foreign market; (2) an insurance company of securities other than those issued by governments and central banks of OECD countries if these assets are to form 75% or less of the cover of its technical reserves and by the EIB, EBRD, and IBRD if these assets are to form 50% or less of the cover of its technical reserves; and (3) an insurance company of securities not traded on a regulated OECD market if these assets are to form 10% or less of the cover of its technical reserves.</w:t>
      </w:r>
      <w:r w:rsidRPr="003875F5">
        <w:rPr>
          <w:rFonts w:ascii="Times New Roman" w:hAnsi="Times New Roman" w:cs="Times New Roman"/>
          <w:sz w:val="24"/>
          <w:szCs w:val="24"/>
          <w:lang w:val="en-US"/>
        </w:rPr>
        <w:t xml:space="preserve">” </w:t>
      </w:r>
      <w:r w:rsidR="000B3498" w:rsidRPr="003875F5">
        <w:rPr>
          <w:rFonts w:ascii="Times New Roman" w:hAnsi="Times New Roman" w:cs="Times New Roman"/>
          <w:sz w:val="24"/>
          <w:szCs w:val="24"/>
          <w:lang w:val="en-US"/>
        </w:rPr>
        <w:t>Note that there are restrictions on pension funds. In consequence, we take this to be a control.</w:t>
      </w:r>
    </w:p>
    <w:p w:rsidR="000B3498" w:rsidRPr="003875F5" w:rsidRDefault="00E10787" w:rsidP="00210708">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2005</w:t>
      </w:r>
      <w:r w:rsidR="00B95E3B" w:rsidRPr="003875F5">
        <w:rPr>
          <w:rFonts w:ascii="Times New Roman" w:hAnsi="Times New Roman" w:cs="Times New Roman"/>
          <w:sz w:val="24"/>
          <w:szCs w:val="24"/>
          <w:lang w:val="en-US"/>
        </w:rPr>
        <w:t>-2011 (not 2012 nor 2004) (starting in 2009, new restrictions are added in the same sectors –pension funds and insurance companies–)</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Controls apply to credits and loans granted to nonresident borrowers (1) other than governments and central banks of OECD member countries by a private pension fund; and (2) </w:t>
      </w:r>
      <w:r w:rsidRPr="003875F5">
        <w:rPr>
          <w:rFonts w:ascii="Times New Roman" w:hAnsi="Times New Roman" w:cs="Times New Roman"/>
          <w:i/>
          <w:sz w:val="24"/>
          <w:szCs w:val="24"/>
          <w:lang w:val="en-US"/>
        </w:rPr>
        <w:lastRenderedPageBreak/>
        <w:t>by an insurance company if these assets are to form part of the cover of its technical reserves.</w:t>
      </w:r>
      <w:r w:rsidRPr="003875F5">
        <w:rPr>
          <w:rFonts w:ascii="Times New Roman" w:hAnsi="Times New Roman" w:cs="Times New Roman"/>
          <w:sz w:val="24"/>
          <w:szCs w:val="24"/>
          <w:lang w:val="en-US"/>
        </w:rPr>
        <w:t xml:space="preserve">” </w:t>
      </w:r>
      <w:r w:rsidR="000B3498" w:rsidRPr="003875F5">
        <w:rPr>
          <w:rFonts w:ascii="Times New Roman" w:hAnsi="Times New Roman" w:cs="Times New Roman"/>
          <w:sz w:val="24"/>
          <w:szCs w:val="24"/>
          <w:lang w:val="en-US"/>
        </w:rPr>
        <w:t>Idem as above.</w:t>
      </w:r>
    </w:p>
    <w:p w:rsidR="002D1727" w:rsidRPr="003875F5" w:rsidRDefault="002D1727" w:rsidP="00210708">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2005</w:t>
      </w:r>
      <w:r w:rsidR="00E65169" w:rsidRPr="003875F5">
        <w:rPr>
          <w:rFonts w:ascii="Times New Roman" w:hAnsi="Times New Roman" w:cs="Times New Roman"/>
          <w:sz w:val="24"/>
          <w:szCs w:val="24"/>
          <w:lang w:val="en-US"/>
        </w:rPr>
        <w:t>-2010</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Controls apply to the purchase of or swap operations by a private pension fund in instruments and claims on a foreign financial market other than those issued by or contracted with governments and central banks of OECD member countries, and the purchase of or swap operations by an insurance company in instruments and claims on a foreign financial market other than derivatives publicly traded on an OECD market if these assets are to form 5% or less of the cover of its technical reserves</w:t>
      </w:r>
      <w:r w:rsidRPr="003875F5">
        <w:rPr>
          <w:rFonts w:ascii="Times New Roman" w:hAnsi="Times New Roman" w:cs="Times New Roman"/>
          <w:sz w:val="24"/>
          <w:szCs w:val="24"/>
          <w:lang w:val="en-US"/>
        </w:rPr>
        <w:t xml:space="preserve">.” </w:t>
      </w:r>
      <w:r w:rsidR="000B3498" w:rsidRPr="003875F5">
        <w:rPr>
          <w:rFonts w:ascii="Times New Roman" w:hAnsi="Times New Roman" w:cs="Times New Roman"/>
          <w:sz w:val="24"/>
          <w:szCs w:val="24"/>
          <w:lang w:val="en-US"/>
        </w:rPr>
        <w:t>Idem as above.</w:t>
      </w:r>
    </w:p>
    <w:p w:rsidR="00E65169" w:rsidRPr="003875F5" w:rsidRDefault="00E65169" w:rsidP="00E65169">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de_siln</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de_siar</w:t>
      </w:r>
      <w:proofErr w:type="spellEnd"/>
      <w:r w:rsidRPr="003875F5">
        <w:rPr>
          <w:rFonts w:ascii="Times New Roman" w:hAnsi="Times New Roman" w:cs="Times New Roman"/>
          <w:sz w:val="24"/>
          <w:szCs w:val="24"/>
          <w:lang w:val="en-US"/>
        </w:rPr>
        <w:t xml:space="preserve"> 2012: “</w:t>
      </w:r>
      <w:r w:rsidRPr="003875F5">
        <w:rPr>
          <w:rFonts w:ascii="Times New Roman" w:hAnsi="Times New Roman" w:cs="Times New Roman"/>
          <w:i/>
          <w:sz w:val="24"/>
          <w:szCs w:val="24"/>
          <w:lang w:val="en-US"/>
        </w:rPr>
        <w:t>Commercial trading in derivatives and other instruments is reserved for regulated financial institutions (brokers, banks)</w:t>
      </w:r>
      <w:r w:rsidRPr="003875F5">
        <w:rPr>
          <w:rFonts w:ascii="Times New Roman" w:hAnsi="Times New Roman" w:cs="Times New Roman"/>
          <w:sz w:val="24"/>
          <w:szCs w:val="24"/>
          <w:lang w:val="en-US"/>
        </w:rPr>
        <w:t xml:space="preserve">.” </w:t>
      </w:r>
      <w:r w:rsidR="00B86A33" w:rsidRPr="003875F5">
        <w:rPr>
          <w:rFonts w:ascii="Times New Roman" w:hAnsi="Times New Roman" w:cs="Times New Roman"/>
          <w:sz w:val="24"/>
          <w:szCs w:val="24"/>
          <w:lang w:val="en-US"/>
        </w:rPr>
        <w:t>This is not considered to be a control, for the reason that this is not very restrictive.</w:t>
      </w:r>
    </w:p>
    <w:p w:rsidR="005E0E87" w:rsidRPr="003875F5" w:rsidRDefault="003833BA" w:rsidP="00B252C6">
      <w:pPr>
        <w:pStyle w:val="Estilo2"/>
      </w:pPr>
      <w:bookmarkStart w:id="25" w:name="_Toc402472324"/>
      <w:r w:rsidRPr="003875F5">
        <w:t>Dominican Republic</w:t>
      </w:r>
      <w:bookmarkEnd w:id="25"/>
    </w:p>
    <w:p w:rsidR="005E0E87" w:rsidRPr="003875F5" w:rsidRDefault="005E0E87" w:rsidP="005E0E8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2005-2012: “</w:t>
      </w:r>
      <w:r w:rsidRPr="003875F5">
        <w:rPr>
          <w:rFonts w:ascii="Times New Roman" w:hAnsi="Times New Roman" w:cs="Times New Roman"/>
          <w:i/>
          <w:sz w:val="24"/>
          <w:szCs w:val="24"/>
          <w:lang w:val="en-US"/>
        </w:rPr>
        <w:t xml:space="preserve">Commercial banks and other credit institutions may invest up to 20% of their paid-up capital in branches, agencies, or representative offices abroad, as well as make equity investments in foreign financial institutions. Full-service banks wishing to invest abroad or to open cross-border entities must fulfill certain minimum requirements including: (1) prior authorization of the Monetary Board, which requires host-country authorization and the opinion of the </w:t>
      </w:r>
      <w:proofErr w:type="spellStart"/>
      <w:r w:rsidRPr="003875F5">
        <w:rPr>
          <w:rFonts w:ascii="Times New Roman" w:hAnsi="Times New Roman" w:cs="Times New Roman"/>
          <w:i/>
          <w:sz w:val="24"/>
          <w:szCs w:val="24"/>
          <w:lang w:val="en-US"/>
        </w:rPr>
        <w:t>Superintendency</w:t>
      </w:r>
      <w:proofErr w:type="spellEnd"/>
      <w:r w:rsidRPr="003875F5">
        <w:rPr>
          <w:rFonts w:ascii="Times New Roman" w:hAnsi="Times New Roman" w:cs="Times New Roman"/>
          <w:i/>
          <w:sz w:val="24"/>
          <w:szCs w:val="24"/>
          <w:lang w:val="en-US"/>
        </w:rPr>
        <w:t xml:space="preserve"> of Banks; (2) in the case of full-service banks, a solvency ratio equal to or greater than 10% and fulfillment of prudential requirements in the Monetary and Financial Law or in Monetary Board resolutions; (3) in the case of full-service banks, sufficient management capacity to perform offshore functions; (4) maintenance of a cooperation agreement between the </w:t>
      </w:r>
      <w:proofErr w:type="spellStart"/>
      <w:r w:rsidRPr="003875F5">
        <w:rPr>
          <w:rFonts w:ascii="Times New Roman" w:hAnsi="Times New Roman" w:cs="Times New Roman"/>
          <w:i/>
          <w:sz w:val="24"/>
          <w:szCs w:val="24"/>
          <w:lang w:val="en-US"/>
        </w:rPr>
        <w:t>Superintendency</w:t>
      </w:r>
      <w:proofErr w:type="spellEnd"/>
      <w:r w:rsidRPr="003875F5">
        <w:rPr>
          <w:rFonts w:ascii="Times New Roman" w:hAnsi="Times New Roman" w:cs="Times New Roman"/>
          <w:i/>
          <w:sz w:val="24"/>
          <w:szCs w:val="24"/>
          <w:lang w:val="en-US"/>
        </w:rPr>
        <w:t xml:space="preserve"> of Banks and the host -country supervisory authority; (5) approval by the host country authorities of the investment; (6) a favorable report from the host-country supervisory authority regarding the rating and soundness of the financial intermediary in which investment is to be made; and (7) submission of necessary documentation to the </w:t>
      </w:r>
      <w:proofErr w:type="spellStart"/>
      <w:r w:rsidRPr="003875F5">
        <w:rPr>
          <w:rFonts w:ascii="Times New Roman" w:hAnsi="Times New Roman" w:cs="Times New Roman"/>
          <w:i/>
          <w:sz w:val="24"/>
          <w:szCs w:val="24"/>
          <w:lang w:val="en-US"/>
        </w:rPr>
        <w:t>Superintendency</w:t>
      </w:r>
      <w:proofErr w:type="spellEnd"/>
      <w:r w:rsidRPr="003875F5">
        <w:rPr>
          <w:rFonts w:ascii="Times New Roman" w:hAnsi="Times New Roman" w:cs="Times New Roman"/>
          <w:i/>
          <w:sz w:val="24"/>
          <w:szCs w:val="24"/>
          <w:lang w:val="en-US"/>
        </w:rPr>
        <w:t xml:space="preserve"> of Banks</w:t>
      </w:r>
      <w:r w:rsidRPr="003875F5">
        <w:rPr>
          <w:rFonts w:ascii="Times New Roman" w:hAnsi="Times New Roman" w:cs="Times New Roman"/>
          <w:sz w:val="24"/>
          <w:szCs w:val="24"/>
          <w:lang w:val="en-US"/>
        </w:rPr>
        <w:t>” This is clear control to the financial sector. Hence, pursuant rules 5, 6, 7(i) and 17</w:t>
      </w:r>
      <w:r w:rsidR="000E6787" w:rsidRPr="003875F5">
        <w:rPr>
          <w:rFonts w:ascii="Times New Roman" w:hAnsi="Times New Roman" w:cs="Times New Roman"/>
          <w:sz w:val="24"/>
          <w:szCs w:val="24"/>
          <w:lang w:val="en-US"/>
        </w:rPr>
        <w:t>, we code it with ones.</w:t>
      </w:r>
    </w:p>
    <w:p w:rsidR="00E215E8" w:rsidRPr="003875F5" w:rsidRDefault="00E215E8" w:rsidP="00B252C6">
      <w:pPr>
        <w:pStyle w:val="Estilo2"/>
      </w:pPr>
      <w:bookmarkStart w:id="26" w:name="_Toc402472325"/>
      <w:r w:rsidRPr="003875F5">
        <w:t>Ecuador</w:t>
      </w:r>
      <w:bookmarkEnd w:id="26"/>
    </w:p>
    <w:p w:rsidR="00E215E8" w:rsidRPr="003875F5" w:rsidRDefault="00AD1FD5" w:rsidP="00AD1FD5">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2008-2012, the following narrative is present: “</w:t>
      </w:r>
      <w:r w:rsidRPr="003875F5">
        <w:rPr>
          <w:rFonts w:ascii="Times New Roman" w:hAnsi="Times New Roman" w:cs="Times New Roman"/>
          <w:i/>
          <w:sz w:val="24"/>
          <w:szCs w:val="24"/>
          <w:lang w:val="en-US"/>
        </w:rPr>
        <w:t xml:space="preserve">Controls apply on Ecuadorian </w:t>
      </w:r>
      <w:proofErr w:type="gramStart"/>
      <w:r w:rsidRPr="003875F5">
        <w:rPr>
          <w:rFonts w:ascii="Times New Roman" w:hAnsi="Times New Roman" w:cs="Times New Roman"/>
          <w:i/>
          <w:sz w:val="24"/>
          <w:szCs w:val="24"/>
          <w:lang w:val="en-US"/>
        </w:rPr>
        <w:t>emigrants</w:t>
      </w:r>
      <w:proofErr w:type="gramEnd"/>
      <w:r w:rsidRPr="003875F5">
        <w:rPr>
          <w:rFonts w:ascii="Times New Roman" w:hAnsi="Times New Roman" w:cs="Times New Roman"/>
          <w:i/>
          <w:sz w:val="24"/>
          <w:szCs w:val="24"/>
          <w:lang w:val="en-US"/>
        </w:rPr>
        <w:t xml:space="preserve"> resident abroad who apply for loans from Ecuadorian banks to be reimbursed from abroad. Supervision of such loans falls within the purview of the </w:t>
      </w:r>
      <w:proofErr w:type="spellStart"/>
      <w:r w:rsidRPr="003875F5">
        <w:rPr>
          <w:rFonts w:ascii="Times New Roman" w:hAnsi="Times New Roman" w:cs="Times New Roman"/>
          <w:i/>
          <w:sz w:val="24"/>
          <w:szCs w:val="24"/>
          <w:lang w:val="en-US"/>
        </w:rPr>
        <w:t>Superintendency</w:t>
      </w:r>
      <w:proofErr w:type="spellEnd"/>
      <w:r w:rsidRPr="003875F5">
        <w:rPr>
          <w:rFonts w:ascii="Times New Roman" w:hAnsi="Times New Roman" w:cs="Times New Roman"/>
          <w:i/>
          <w:sz w:val="24"/>
          <w:szCs w:val="24"/>
          <w:lang w:val="en-US"/>
        </w:rPr>
        <w:t xml:space="preserve"> of Banks and Insurance</w:t>
      </w:r>
      <w:r w:rsidR="006A5426" w:rsidRPr="003875F5">
        <w:rPr>
          <w:rFonts w:ascii="Times New Roman" w:hAnsi="Times New Roman" w:cs="Times New Roman"/>
          <w:sz w:val="24"/>
          <w:szCs w:val="24"/>
          <w:lang w:val="en-US"/>
        </w:rPr>
        <w:t>.” We believe that</w:t>
      </w:r>
      <w:r w:rsidRPr="003875F5">
        <w:rPr>
          <w:rFonts w:ascii="Times New Roman" w:hAnsi="Times New Roman" w:cs="Times New Roman"/>
          <w:sz w:val="24"/>
          <w:szCs w:val="24"/>
          <w:lang w:val="en-US"/>
        </w:rPr>
        <w:t xml:space="preserve"> this</w:t>
      </w:r>
      <w:r w:rsidR="006A5426" w:rsidRPr="003875F5">
        <w:rPr>
          <w:rFonts w:ascii="Times New Roman" w:hAnsi="Times New Roman" w:cs="Times New Roman"/>
          <w:sz w:val="24"/>
          <w:szCs w:val="24"/>
          <w:lang w:val="en-US"/>
        </w:rPr>
        <w:t xml:space="preserve"> is</w:t>
      </w:r>
      <w:r w:rsidRPr="003875F5">
        <w:rPr>
          <w:rFonts w:ascii="Times New Roman" w:hAnsi="Times New Roman" w:cs="Times New Roman"/>
          <w:sz w:val="24"/>
          <w:szCs w:val="24"/>
          <w:lang w:val="en-US"/>
        </w:rPr>
        <w:t xml:space="preserve"> significant eno</w:t>
      </w:r>
      <w:r w:rsidR="006A5426" w:rsidRPr="003875F5">
        <w:rPr>
          <w:rFonts w:ascii="Times New Roman" w:hAnsi="Times New Roman" w:cs="Times New Roman"/>
          <w:sz w:val="24"/>
          <w:szCs w:val="24"/>
          <w:lang w:val="en-US"/>
        </w:rPr>
        <w:t>ugh to consider it as a control.</w:t>
      </w:r>
    </w:p>
    <w:p w:rsidR="00F25004" w:rsidRPr="003875F5" w:rsidRDefault="00F25004" w:rsidP="00F25004">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cco</w:t>
      </w:r>
      <w:proofErr w:type="spellEnd"/>
      <w:r w:rsidRPr="003875F5">
        <w:rPr>
          <w:rFonts w:ascii="Times New Roman" w:hAnsi="Times New Roman" w:cs="Times New Roman"/>
          <w:sz w:val="24"/>
          <w:szCs w:val="24"/>
          <w:lang w:val="en-US"/>
        </w:rPr>
        <w:t xml:space="preserve"> 2004-2012: “</w:t>
      </w:r>
      <w:r w:rsidRPr="003875F5">
        <w:rPr>
          <w:rFonts w:ascii="Times New Roman" w:hAnsi="Times New Roman" w:cs="Times New Roman"/>
          <w:i/>
          <w:sz w:val="24"/>
          <w:szCs w:val="24"/>
          <w:lang w:val="en-US"/>
        </w:rPr>
        <w:t xml:space="preserve">Commercial credits to private enterprises are supervised by the </w:t>
      </w:r>
      <w:proofErr w:type="spellStart"/>
      <w:r w:rsidRPr="003875F5">
        <w:rPr>
          <w:rFonts w:ascii="Times New Roman" w:hAnsi="Times New Roman" w:cs="Times New Roman"/>
          <w:i/>
          <w:sz w:val="24"/>
          <w:szCs w:val="24"/>
          <w:lang w:val="en-US"/>
        </w:rPr>
        <w:t>Superintendency</w:t>
      </w:r>
      <w:proofErr w:type="spellEnd"/>
      <w:r w:rsidRPr="003875F5">
        <w:rPr>
          <w:rFonts w:ascii="Times New Roman" w:hAnsi="Times New Roman" w:cs="Times New Roman"/>
          <w:i/>
          <w:sz w:val="24"/>
          <w:szCs w:val="24"/>
          <w:lang w:val="en-US"/>
        </w:rPr>
        <w:t xml:space="preserve"> of Banks</w:t>
      </w:r>
      <w:r w:rsidR="004F2D32" w:rsidRPr="003875F5">
        <w:rPr>
          <w:rFonts w:ascii="Times New Roman" w:hAnsi="Times New Roman" w:cs="Times New Roman"/>
          <w:sz w:val="24"/>
          <w:szCs w:val="24"/>
          <w:lang w:val="en-US"/>
        </w:rPr>
        <w:t>” We believe that this might entail a control. Consequently, we coded with ones.</w:t>
      </w:r>
    </w:p>
    <w:p w:rsidR="00DC1713" w:rsidRPr="003875F5" w:rsidRDefault="00DC1713" w:rsidP="00B252C6">
      <w:pPr>
        <w:pStyle w:val="Estilo2"/>
      </w:pPr>
      <w:bookmarkStart w:id="27" w:name="_Toc402472326"/>
      <w:r w:rsidRPr="003875F5">
        <w:t>Egypt</w:t>
      </w:r>
      <w:bookmarkEnd w:id="27"/>
    </w:p>
    <w:p w:rsidR="00DC1713" w:rsidRPr="003875F5" w:rsidRDefault="00DC1713"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dii in all </w:t>
      </w:r>
      <w:proofErr w:type="gramStart"/>
      <w:r w:rsidRPr="003875F5">
        <w:rPr>
          <w:rFonts w:ascii="Times New Roman" w:hAnsi="Times New Roman" w:cs="Times New Roman"/>
          <w:sz w:val="24"/>
          <w:szCs w:val="24"/>
          <w:lang w:val="en-US"/>
        </w:rPr>
        <w:t>years</w:t>
      </w:r>
      <w:proofErr w:type="gramEnd"/>
      <w:r w:rsidRPr="003875F5">
        <w:rPr>
          <w:rFonts w:ascii="Times New Roman" w:hAnsi="Times New Roman" w:cs="Times New Roman"/>
          <w:sz w:val="24"/>
          <w:szCs w:val="24"/>
          <w:lang w:val="en-US"/>
        </w:rPr>
        <w:t xml:space="preserve"> post 2005 the narrative does not change at all relative to 2005. It does not look like a control given that it alludes only to nonbank companies of foreign exchange dealers. Also M. Schindler coded as 0 the same narrative in 2005.</w:t>
      </w:r>
    </w:p>
    <w:p w:rsidR="00BC503B" w:rsidRPr="003875F5" w:rsidRDefault="0035382D" w:rsidP="005019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2009-2012</w:t>
      </w:r>
      <w:r w:rsidR="00A81FDD" w:rsidRPr="003875F5">
        <w:rPr>
          <w:rFonts w:ascii="Times New Roman" w:hAnsi="Times New Roman" w:cs="Times New Roman"/>
          <w:sz w:val="24"/>
          <w:szCs w:val="24"/>
          <w:lang w:val="en-US"/>
        </w:rPr>
        <w:t xml:space="preserve"> </w:t>
      </w:r>
      <w:proofErr w:type="spellStart"/>
      <w:r w:rsidR="00A81FDD" w:rsidRPr="003875F5">
        <w:rPr>
          <w:rFonts w:ascii="Times New Roman" w:hAnsi="Times New Roman" w:cs="Times New Roman"/>
          <w:sz w:val="24"/>
          <w:szCs w:val="24"/>
          <w:lang w:val="en-US"/>
        </w:rPr>
        <w:t>bo_siln</w:t>
      </w:r>
      <w:proofErr w:type="spellEnd"/>
      <w:r w:rsidR="00A81FDD"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was coded with zeros.</w:t>
      </w:r>
      <w:r w:rsidR="00A81FDD" w:rsidRPr="003875F5">
        <w:rPr>
          <w:rFonts w:ascii="Times New Roman" w:hAnsi="Times New Roman" w:cs="Times New Roman"/>
          <w:sz w:val="24"/>
          <w:szCs w:val="24"/>
          <w:lang w:val="en-US"/>
        </w:rPr>
        <w:t xml:space="preserve"> There is an explicit allusion to an approval requirement, which first appears in 1999 and it is not interrupted.</w:t>
      </w:r>
    </w:p>
    <w:p w:rsidR="00B95E3B" w:rsidRPr="003875F5" w:rsidRDefault="00B95E3B" w:rsidP="005019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all subcategories of </w:t>
      </w:r>
      <w:proofErr w:type="spellStart"/>
      <w:r w:rsidRPr="003875F5">
        <w:rPr>
          <w:rFonts w:ascii="Times New Roman" w:hAnsi="Times New Roman" w:cs="Times New Roman"/>
          <w:sz w:val="24"/>
          <w:szCs w:val="24"/>
          <w:lang w:val="en-US"/>
        </w:rPr>
        <w:t>pabr</w:t>
      </w:r>
      <w:proofErr w:type="spellEnd"/>
      <w:r w:rsidRPr="003875F5">
        <w:rPr>
          <w:rFonts w:ascii="Times New Roman" w:hAnsi="Times New Roman" w:cs="Times New Roman"/>
          <w:sz w:val="24"/>
          <w:szCs w:val="24"/>
          <w:lang w:val="en-US"/>
        </w:rPr>
        <w:t xml:space="preserve"> 2009-2012: “</w:t>
      </w:r>
      <w:r w:rsidRPr="003875F5">
        <w:rPr>
          <w:rFonts w:ascii="Times New Roman" w:hAnsi="Times New Roman" w:cs="Times New Roman"/>
          <w:i/>
          <w:sz w:val="24"/>
          <w:szCs w:val="24"/>
          <w:lang w:val="en-US"/>
        </w:rPr>
        <w:t>Private pension funds are not allowed to invest in foreign securities or assets abroad</w:t>
      </w:r>
      <w:r w:rsidRPr="003875F5">
        <w:rPr>
          <w:rFonts w:ascii="Times New Roman" w:hAnsi="Times New Roman" w:cs="Times New Roman"/>
          <w:sz w:val="24"/>
          <w:szCs w:val="24"/>
          <w:lang w:val="en-US"/>
        </w:rPr>
        <w:t xml:space="preserve">” </w:t>
      </w:r>
      <w:r w:rsidR="00BC503B" w:rsidRPr="003875F5">
        <w:rPr>
          <w:rFonts w:ascii="Times New Roman" w:hAnsi="Times New Roman" w:cs="Times New Roman"/>
          <w:sz w:val="24"/>
          <w:szCs w:val="24"/>
          <w:lang w:val="en-US"/>
        </w:rPr>
        <w:t>Since we think that this might have macro implication, we code it as a control.</w:t>
      </w:r>
    </w:p>
    <w:p w:rsidR="00EA6780" w:rsidRPr="003875F5" w:rsidRDefault="00EA6780" w:rsidP="00EA678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1995</w:t>
      </w:r>
      <w:r w:rsidR="0007790C" w:rsidRPr="003875F5">
        <w:rPr>
          <w:rFonts w:ascii="Times New Roman" w:hAnsi="Times New Roman" w:cs="Times New Roman"/>
          <w:sz w:val="24"/>
          <w:szCs w:val="24"/>
          <w:lang w:val="en-US"/>
        </w:rPr>
        <w:t>-1996</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Derivatives have not yet been introduced into the Egyptian market</w:t>
      </w:r>
      <w:r w:rsidRPr="003875F5">
        <w:rPr>
          <w:rFonts w:ascii="Times New Roman" w:hAnsi="Times New Roman" w:cs="Times New Roman"/>
          <w:sz w:val="24"/>
          <w:szCs w:val="24"/>
          <w:lang w:val="en-US"/>
        </w:rPr>
        <w:t xml:space="preserve">” </w:t>
      </w:r>
      <w:r w:rsidR="00B86A33" w:rsidRPr="003875F5">
        <w:rPr>
          <w:rFonts w:ascii="Times New Roman" w:hAnsi="Times New Roman" w:cs="Times New Roman"/>
          <w:sz w:val="24"/>
          <w:szCs w:val="24"/>
          <w:lang w:val="en-US"/>
        </w:rPr>
        <w:t>It was coded in accordance with rule 3(i).</w:t>
      </w:r>
    </w:p>
    <w:p w:rsidR="00353D06" w:rsidRPr="003875F5" w:rsidRDefault="00353D06" w:rsidP="00353D0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199</w:t>
      </w:r>
      <w:r w:rsidR="00203BBA" w:rsidRPr="003875F5">
        <w:rPr>
          <w:rFonts w:ascii="Times New Roman" w:hAnsi="Times New Roman" w:cs="Times New Roman"/>
          <w:sz w:val="24"/>
          <w:szCs w:val="24"/>
          <w:lang w:val="en-US"/>
        </w:rPr>
        <w:t>6</w:t>
      </w:r>
      <w:r w:rsidR="00222DC6" w:rsidRPr="003875F5">
        <w:rPr>
          <w:rFonts w:ascii="Times New Roman" w:hAnsi="Times New Roman" w:cs="Times New Roman"/>
          <w:sz w:val="24"/>
          <w:szCs w:val="24"/>
          <w:lang w:val="en-US"/>
        </w:rPr>
        <w:t>-2005</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Derivatives do not exist in the Egyptian market</w:t>
      </w:r>
      <w:r w:rsidRPr="003875F5">
        <w:rPr>
          <w:rFonts w:ascii="Times New Roman" w:hAnsi="Times New Roman" w:cs="Times New Roman"/>
          <w:sz w:val="24"/>
          <w:szCs w:val="24"/>
          <w:lang w:val="en-US"/>
        </w:rPr>
        <w:t xml:space="preserve">” </w:t>
      </w:r>
      <w:r w:rsidR="00B86A33" w:rsidRPr="003875F5">
        <w:rPr>
          <w:rFonts w:ascii="Times New Roman" w:hAnsi="Times New Roman" w:cs="Times New Roman"/>
          <w:sz w:val="24"/>
          <w:szCs w:val="24"/>
          <w:lang w:val="en-US"/>
        </w:rPr>
        <w:t>Subcategories were coded</w:t>
      </w:r>
      <w:r w:rsidRPr="003875F5">
        <w:rPr>
          <w:rFonts w:ascii="Times New Roman" w:hAnsi="Times New Roman" w:cs="Times New Roman"/>
          <w:sz w:val="24"/>
          <w:szCs w:val="24"/>
          <w:lang w:val="en-US"/>
        </w:rPr>
        <w:t xml:space="preserve"> pursuant rule 3(i).</w:t>
      </w:r>
    </w:p>
    <w:p w:rsidR="00BC503B" w:rsidRPr="003875F5" w:rsidRDefault="00B86A33" w:rsidP="00BC503B">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Note that i</w:t>
      </w:r>
      <w:r w:rsidR="00222DC6" w:rsidRPr="003875F5">
        <w:rPr>
          <w:rFonts w:ascii="Times New Roman" w:hAnsi="Times New Roman" w:cs="Times New Roman"/>
          <w:sz w:val="24"/>
          <w:szCs w:val="24"/>
          <w:lang w:val="en-US"/>
        </w:rPr>
        <w:t>n 2006 the header is replaced with: “</w:t>
      </w:r>
      <w:r w:rsidR="00222DC6" w:rsidRPr="003875F5">
        <w:rPr>
          <w:rFonts w:ascii="Times New Roman" w:hAnsi="Times New Roman" w:cs="Times New Roman"/>
          <w:i/>
          <w:sz w:val="24"/>
          <w:szCs w:val="24"/>
          <w:lang w:val="en-US"/>
        </w:rPr>
        <w:t>Derivatives exist in the Egyptian market only for genuine hedging purposes</w:t>
      </w:r>
      <w:r w:rsidR="00222DC6" w:rsidRPr="003875F5">
        <w:rPr>
          <w:rFonts w:ascii="Times New Roman" w:hAnsi="Times New Roman" w:cs="Times New Roman"/>
          <w:sz w:val="24"/>
          <w:szCs w:val="24"/>
          <w:lang w:val="en-US"/>
        </w:rPr>
        <w:t>.”</w:t>
      </w:r>
    </w:p>
    <w:p w:rsidR="00852673" w:rsidRPr="003875F5" w:rsidRDefault="00537272" w:rsidP="00852673">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2009-2012: “</w:t>
      </w:r>
      <w:r w:rsidRPr="003875F5">
        <w:rPr>
          <w:rFonts w:ascii="Times New Roman" w:hAnsi="Times New Roman" w:cs="Times New Roman"/>
          <w:i/>
          <w:sz w:val="24"/>
          <w:szCs w:val="24"/>
          <w:lang w:val="en-US"/>
        </w:rPr>
        <w:t>Private pension funds are not allowed to invest in foreign securities or assets abroad</w:t>
      </w:r>
      <w:r w:rsidRPr="003875F5">
        <w:rPr>
          <w:rFonts w:ascii="Times New Roman" w:hAnsi="Times New Roman" w:cs="Times New Roman"/>
          <w:sz w:val="24"/>
          <w:szCs w:val="24"/>
          <w:lang w:val="en-US"/>
        </w:rPr>
        <w:t>.”</w:t>
      </w:r>
      <w:r w:rsidR="0078433F" w:rsidRPr="003875F5">
        <w:rPr>
          <w:rFonts w:ascii="Times New Roman" w:hAnsi="Times New Roman" w:cs="Times New Roman"/>
          <w:sz w:val="24"/>
          <w:szCs w:val="24"/>
          <w:lang w:val="en-US"/>
        </w:rPr>
        <w:t xml:space="preserve"> </w:t>
      </w:r>
      <w:proofErr w:type="gramStart"/>
      <w:r w:rsidR="00BC503B" w:rsidRPr="003875F5">
        <w:rPr>
          <w:rFonts w:ascii="Times New Roman" w:hAnsi="Times New Roman" w:cs="Times New Roman"/>
          <w:sz w:val="24"/>
          <w:szCs w:val="24"/>
          <w:lang w:val="en-US"/>
        </w:rPr>
        <w:t>Idem as (iii) above</w:t>
      </w:r>
      <w:r w:rsidR="00852673" w:rsidRPr="003875F5">
        <w:rPr>
          <w:rFonts w:ascii="Times New Roman" w:hAnsi="Times New Roman" w:cs="Times New Roman"/>
          <w:sz w:val="24"/>
          <w:szCs w:val="24"/>
          <w:lang w:val="en-US"/>
        </w:rPr>
        <w:t>.</w:t>
      </w:r>
      <w:proofErr w:type="gramEnd"/>
    </w:p>
    <w:p w:rsidR="005D3E4C" w:rsidRPr="003875F5" w:rsidRDefault="005D3E4C" w:rsidP="00B252C6">
      <w:pPr>
        <w:pStyle w:val="Estilo2"/>
      </w:pPr>
      <w:bookmarkStart w:id="28" w:name="_Toc402472327"/>
      <w:r w:rsidRPr="003875F5">
        <w:t>El Salvador</w:t>
      </w:r>
      <w:bookmarkEnd w:id="28"/>
    </w:p>
    <w:p w:rsidR="00B94C9A" w:rsidRPr="003875F5" w:rsidRDefault="009E660E" w:rsidP="00B94C9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All </w:t>
      </w:r>
      <w:r w:rsidR="005D3E4C" w:rsidRPr="003875F5">
        <w:rPr>
          <w:rFonts w:ascii="Times New Roman" w:hAnsi="Times New Roman" w:cs="Times New Roman"/>
          <w:sz w:val="24"/>
          <w:szCs w:val="24"/>
          <w:lang w:val="en-US"/>
        </w:rPr>
        <w:t xml:space="preserve">subcategories of </w:t>
      </w:r>
      <w:proofErr w:type="spellStart"/>
      <w:r w:rsidR="005D3E4C" w:rsidRPr="003875F5">
        <w:rPr>
          <w:rFonts w:ascii="Times New Roman" w:hAnsi="Times New Roman" w:cs="Times New Roman"/>
          <w:sz w:val="24"/>
          <w:szCs w:val="24"/>
          <w:lang w:val="en-US"/>
        </w:rPr>
        <w:t>p</w:t>
      </w:r>
      <w:r w:rsidRPr="003875F5">
        <w:rPr>
          <w:rFonts w:ascii="Times New Roman" w:hAnsi="Times New Roman" w:cs="Times New Roman"/>
          <w:sz w:val="24"/>
          <w:szCs w:val="24"/>
          <w:lang w:val="en-US"/>
        </w:rPr>
        <w:t>abr</w:t>
      </w:r>
      <w:proofErr w:type="spellEnd"/>
      <w:r w:rsidRPr="003875F5">
        <w:rPr>
          <w:rFonts w:ascii="Times New Roman" w:hAnsi="Times New Roman" w:cs="Times New Roman"/>
          <w:sz w:val="24"/>
          <w:szCs w:val="24"/>
          <w:lang w:val="en-US"/>
        </w:rPr>
        <w:t xml:space="preserve"> in 2009-2012 are coded with ones, pursuant rule 7(ii). This decision was made in view that the restrictions affect the entire banking system</w:t>
      </w:r>
      <w:r w:rsidR="0079633B" w:rsidRPr="003875F5">
        <w:rPr>
          <w:rFonts w:ascii="Times New Roman" w:hAnsi="Times New Roman" w:cs="Times New Roman"/>
          <w:sz w:val="24"/>
          <w:szCs w:val="24"/>
          <w:lang w:val="en-US"/>
        </w:rPr>
        <w:t>.</w:t>
      </w:r>
    </w:p>
    <w:p w:rsidR="001D4AAB" w:rsidRPr="003875F5" w:rsidRDefault="001D4AAB" w:rsidP="00B94C9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xml:space="preserve"> 2005, Schindler coded the following as a control: “</w:t>
      </w:r>
      <w:r w:rsidRPr="003875F5">
        <w:rPr>
          <w:rFonts w:ascii="Times New Roman" w:hAnsi="Times New Roman" w:cs="Times New Roman"/>
          <w:i/>
          <w:sz w:val="24"/>
          <w:szCs w:val="24"/>
          <w:lang w:val="en-US"/>
        </w:rPr>
        <w:t>Foreign investors are guaranteed the right to transfer abroad funds related to their investments, which must be made without delay and are subject to the prior conversion of such funds into foreign currency through the banking system. Such transfers include net profits and dividends, proceeds from partial or total disposal of investments, and proceeds from the transfer of investments to third parties</w:t>
      </w:r>
      <w:r w:rsidR="00B94C9A" w:rsidRPr="003875F5">
        <w:rPr>
          <w:rFonts w:ascii="Times New Roman" w:hAnsi="Times New Roman" w:cs="Times New Roman"/>
          <w:sz w:val="24"/>
          <w:szCs w:val="24"/>
          <w:lang w:val="en-US"/>
        </w:rPr>
        <w:t>.” We</w:t>
      </w:r>
      <w:r w:rsidRPr="003875F5">
        <w:rPr>
          <w:rFonts w:ascii="Times New Roman" w:hAnsi="Times New Roman" w:cs="Times New Roman"/>
          <w:sz w:val="24"/>
          <w:szCs w:val="24"/>
          <w:lang w:val="en-US"/>
        </w:rPr>
        <w:t xml:space="preserve"> think that this </w:t>
      </w:r>
      <w:r w:rsidR="00B94C9A" w:rsidRPr="003875F5">
        <w:rPr>
          <w:rFonts w:ascii="Times New Roman" w:hAnsi="Times New Roman" w:cs="Times New Roman"/>
          <w:sz w:val="24"/>
          <w:szCs w:val="24"/>
          <w:lang w:val="en-US"/>
        </w:rPr>
        <w:t>was</w:t>
      </w:r>
      <w:r w:rsidRPr="003875F5">
        <w:rPr>
          <w:rFonts w:ascii="Times New Roman" w:hAnsi="Times New Roman" w:cs="Times New Roman"/>
          <w:sz w:val="24"/>
          <w:szCs w:val="24"/>
          <w:lang w:val="en-US"/>
        </w:rPr>
        <w:t xml:space="preserve"> a typo, considering that in 2004, Schindler coded the same narrative with a zero. We also coded the same narrative with zeros in 2006-2012.</w:t>
      </w:r>
    </w:p>
    <w:p w:rsidR="00097325" w:rsidRPr="003875F5" w:rsidRDefault="00B94C9A" w:rsidP="00097325">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w:t>
      </w:r>
      <w:r w:rsidR="00097325" w:rsidRPr="003875F5">
        <w:rPr>
          <w:rFonts w:ascii="Times New Roman" w:hAnsi="Times New Roman" w:cs="Times New Roman"/>
          <w:sz w:val="24"/>
          <w:szCs w:val="24"/>
          <w:lang w:val="en-US"/>
        </w:rPr>
        <w:t>n dii 2005</w:t>
      </w:r>
      <w:r w:rsidRPr="003875F5">
        <w:rPr>
          <w:rFonts w:ascii="Times New Roman" w:hAnsi="Times New Roman" w:cs="Times New Roman"/>
          <w:sz w:val="24"/>
          <w:szCs w:val="24"/>
          <w:lang w:val="en-US"/>
        </w:rPr>
        <w:t>,</w:t>
      </w:r>
      <w:r w:rsidR="00A46926" w:rsidRPr="003875F5">
        <w:rPr>
          <w:rFonts w:ascii="Times New Roman" w:hAnsi="Times New Roman" w:cs="Times New Roman"/>
          <w:sz w:val="24"/>
          <w:szCs w:val="24"/>
          <w:lang w:val="en-US"/>
        </w:rPr>
        <w:t xml:space="preserve"> Schindler coded</w:t>
      </w:r>
      <w:r w:rsidR="00097325" w:rsidRPr="003875F5">
        <w:rPr>
          <w:rFonts w:ascii="Times New Roman" w:hAnsi="Times New Roman" w:cs="Times New Roman"/>
          <w:sz w:val="24"/>
          <w:szCs w:val="24"/>
          <w:lang w:val="en-US"/>
        </w:rPr>
        <w:t xml:space="preserve"> </w:t>
      </w:r>
      <w:r w:rsidR="00A46926" w:rsidRPr="003875F5">
        <w:rPr>
          <w:rFonts w:ascii="Times New Roman" w:hAnsi="Times New Roman" w:cs="Times New Roman"/>
          <w:sz w:val="24"/>
          <w:szCs w:val="24"/>
          <w:lang w:val="en-US"/>
        </w:rPr>
        <w:t>a very similar narrative in 2001-2004 with ones. We also coded</w:t>
      </w:r>
      <w:r w:rsidR="009722D4" w:rsidRPr="003875F5">
        <w:rPr>
          <w:rFonts w:ascii="Times New Roman" w:hAnsi="Times New Roman" w:cs="Times New Roman"/>
          <w:sz w:val="24"/>
          <w:szCs w:val="24"/>
          <w:lang w:val="en-US"/>
        </w:rPr>
        <w:t xml:space="preserve"> it</w:t>
      </w:r>
      <w:r w:rsidR="00A46926" w:rsidRPr="003875F5">
        <w:rPr>
          <w:rFonts w:ascii="Times New Roman" w:hAnsi="Times New Roman" w:cs="Times New Roman"/>
          <w:sz w:val="24"/>
          <w:szCs w:val="24"/>
          <w:lang w:val="en-US"/>
        </w:rPr>
        <w:t xml:space="preserve"> with ones for 2006</w:t>
      </w:r>
      <w:r w:rsidR="009722D4"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xml:space="preserve"> Hence, we think that this might also have been a typo.</w:t>
      </w:r>
      <w:r w:rsidR="00A46926" w:rsidRPr="003875F5">
        <w:rPr>
          <w:rFonts w:ascii="Times New Roman" w:hAnsi="Times New Roman" w:cs="Times New Roman"/>
          <w:sz w:val="24"/>
          <w:szCs w:val="24"/>
          <w:lang w:val="en-US"/>
        </w:rPr>
        <w:t xml:space="preserve"> </w:t>
      </w:r>
    </w:p>
    <w:p w:rsidR="00353D06" w:rsidRPr="003875F5" w:rsidRDefault="00353D06" w:rsidP="00B252C6">
      <w:pPr>
        <w:pStyle w:val="Estilo2"/>
      </w:pPr>
      <w:bookmarkStart w:id="29" w:name="_Toc402472328"/>
      <w:r w:rsidRPr="003875F5">
        <w:t>Ethiopia</w:t>
      </w:r>
      <w:bookmarkEnd w:id="29"/>
    </w:p>
    <w:p w:rsidR="00B86A33" w:rsidRPr="003875F5" w:rsidRDefault="00353D06" w:rsidP="00353D06">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derivatives (header) 1997</w:t>
      </w:r>
      <w:r w:rsidR="00B75C11" w:rsidRPr="003875F5">
        <w:rPr>
          <w:rFonts w:ascii="Times New Roman" w:hAnsi="Times New Roman" w:cs="Times New Roman"/>
          <w:sz w:val="24"/>
          <w:szCs w:val="24"/>
          <w:lang w:val="en-US"/>
        </w:rPr>
        <w:t>-</w:t>
      </w:r>
      <w:r w:rsidR="00E85AD3"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is no market in these instruments.</w:t>
      </w:r>
      <w:r w:rsidRPr="003875F5">
        <w:rPr>
          <w:rFonts w:ascii="Times New Roman" w:hAnsi="Times New Roman" w:cs="Times New Roman"/>
          <w:sz w:val="24"/>
          <w:szCs w:val="24"/>
          <w:lang w:val="en-US"/>
        </w:rPr>
        <w:t xml:space="preserve">” </w:t>
      </w:r>
      <w:r w:rsidR="00B86A33" w:rsidRPr="003875F5">
        <w:rPr>
          <w:rFonts w:ascii="Times New Roman" w:hAnsi="Times New Roman" w:cs="Times New Roman"/>
          <w:sz w:val="24"/>
          <w:szCs w:val="24"/>
          <w:lang w:val="en-US"/>
        </w:rPr>
        <w:t>Subcategories were coded</w:t>
      </w:r>
      <w:r w:rsidRPr="003875F5">
        <w:rPr>
          <w:rFonts w:ascii="Times New Roman" w:hAnsi="Times New Roman" w:cs="Times New Roman"/>
          <w:sz w:val="24"/>
          <w:szCs w:val="24"/>
          <w:lang w:val="en-US"/>
        </w:rPr>
        <w:t xml:space="preserve"> pursuant rule 3(i).</w:t>
      </w:r>
    </w:p>
    <w:p w:rsidR="00353D06" w:rsidRPr="003875F5" w:rsidRDefault="00B86A33" w:rsidP="00353D06">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2009-2012: “</w:t>
      </w:r>
      <w:r w:rsidR="00DE2521" w:rsidRPr="003875F5">
        <w:rPr>
          <w:rFonts w:ascii="Times New Roman" w:hAnsi="Times New Roman" w:cs="Times New Roman"/>
          <w:i/>
          <w:sz w:val="24"/>
          <w:szCs w:val="24"/>
          <w:lang w:val="en-US"/>
        </w:rPr>
        <w:t>Residents are not allowed to buy these instruments abroad</w:t>
      </w:r>
      <w:r w:rsidRPr="003875F5">
        <w:rPr>
          <w:rFonts w:ascii="Times New Roman" w:hAnsi="Times New Roman" w:cs="Times New Roman"/>
          <w:sz w:val="24"/>
          <w:szCs w:val="24"/>
          <w:lang w:val="en-US"/>
        </w:rPr>
        <w:t>”</w:t>
      </w:r>
      <w:r w:rsidR="00DE2521" w:rsidRPr="003875F5">
        <w:rPr>
          <w:rFonts w:ascii="Times New Roman" w:hAnsi="Times New Roman" w:cs="Times New Roman"/>
          <w:sz w:val="24"/>
          <w:szCs w:val="24"/>
          <w:lang w:val="en-US"/>
        </w:rPr>
        <w:t xml:space="preserve"> This was coded with ones.</w:t>
      </w:r>
    </w:p>
    <w:p w:rsidR="006503AD" w:rsidRPr="003875F5" w:rsidRDefault="006503AD" w:rsidP="006503AD">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1997</w:t>
      </w:r>
      <w:r w:rsidR="00527262" w:rsidRPr="003875F5">
        <w:rPr>
          <w:rFonts w:ascii="Times New Roman" w:hAnsi="Times New Roman" w:cs="Times New Roman"/>
          <w:sz w:val="24"/>
          <w:szCs w:val="24"/>
          <w:lang w:val="en-US"/>
        </w:rPr>
        <w:t>-</w:t>
      </w:r>
      <w:r w:rsidR="005F2E22" w:rsidRPr="003875F5">
        <w:rPr>
          <w:rFonts w:ascii="Times New Roman" w:hAnsi="Times New Roman" w:cs="Times New Roman"/>
          <w:sz w:val="24"/>
          <w:szCs w:val="24"/>
          <w:lang w:val="en-US"/>
        </w:rPr>
        <w:t>2003</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All Ethiopian passport holders can purchase real estate in Ethiopia</w:t>
      </w:r>
      <w:r w:rsidR="00982D9B" w:rsidRPr="003875F5">
        <w:rPr>
          <w:rFonts w:ascii="Times New Roman" w:hAnsi="Times New Roman" w:cs="Times New Roman"/>
          <w:sz w:val="24"/>
          <w:szCs w:val="24"/>
          <w:lang w:val="en-US"/>
        </w:rPr>
        <w:t>” We</w:t>
      </w:r>
      <w:r w:rsidRPr="003875F5">
        <w:rPr>
          <w:rFonts w:ascii="Times New Roman" w:hAnsi="Times New Roman" w:cs="Times New Roman"/>
          <w:sz w:val="24"/>
          <w:szCs w:val="24"/>
          <w:lang w:val="en-US"/>
        </w:rPr>
        <w:t xml:space="preserve"> think that this is control, in consideration that passports are, in general, only issued to nationals.</w:t>
      </w:r>
    </w:p>
    <w:p w:rsidR="005F2E22" w:rsidRPr="003875F5" w:rsidRDefault="005F2E22" w:rsidP="005F2E22">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gsi</w:t>
      </w:r>
      <w:proofErr w:type="spellEnd"/>
      <w:r w:rsidRPr="003875F5">
        <w:rPr>
          <w:rFonts w:ascii="Times New Roman" w:hAnsi="Times New Roman" w:cs="Times New Roman"/>
          <w:sz w:val="24"/>
          <w:szCs w:val="24"/>
          <w:lang w:val="en-US"/>
        </w:rPr>
        <w:t xml:space="preserve"> 1998-2012: “</w:t>
      </w:r>
      <w:r w:rsidRPr="003875F5">
        <w:rPr>
          <w:rFonts w:ascii="Times New Roman" w:hAnsi="Times New Roman" w:cs="Times New Roman"/>
          <w:i/>
          <w:sz w:val="24"/>
          <w:szCs w:val="24"/>
          <w:lang w:val="en-US"/>
        </w:rPr>
        <w:t>Commercial banks may issue guarantees on behalf of foreign banks to resident companies</w:t>
      </w:r>
      <w:r w:rsidRPr="003875F5">
        <w:rPr>
          <w:rFonts w:ascii="Times New Roman" w:hAnsi="Times New Roman" w:cs="Times New Roman"/>
          <w:sz w:val="24"/>
          <w:szCs w:val="24"/>
          <w:lang w:val="en-US"/>
        </w:rPr>
        <w:t xml:space="preserve">.” </w:t>
      </w:r>
      <w:r w:rsidR="00982D9B" w:rsidRPr="003875F5">
        <w:rPr>
          <w:rFonts w:ascii="Times New Roman" w:hAnsi="Times New Roman" w:cs="Times New Roman"/>
          <w:sz w:val="24"/>
          <w:szCs w:val="24"/>
          <w:lang w:val="en-US"/>
        </w:rPr>
        <w:t>We do not understand that there is a control in place. We coded with zeros.</w:t>
      </w:r>
    </w:p>
    <w:p w:rsidR="005D3E4C" w:rsidRPr="003875F5" w:rsidRDefault="005D3E4C" w:rsidP="00B252C6">
      <w:pPr>
        <w:pStyle w:val="Estilo2"/>
      </w:pPr>
      <w:bookmarkStart w:id="30" w:name="_Toc402472329"/>
      <w:r w:rsidRPr="003875F5">
        <w:t>Finland</w:t>
      </w:r>
      <w:bookmarkEnd w:id="30"/>
    </w:p>
    <w:p w:rsidR="00BC503B" w:rsidRPr="003875F5" w:rsidRDefault="009E660E" w:rsidP="00A969E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dii, t</w:t>
      </w:r>
      <w:r w:rsidR="00662895" w:rsidRPr="003875F5">
        <w:rPr>
          <w:rFonts w:ascii="Times New Roman" w:hAnsi="Times New Roman" w:cs="Times New Roman"/>
          <w:sz w:val="24"/>
          <w:szCs w:val="24"/>
          <w:lang w:val="en-US"/>
        </w:rPr>
        <w:t xml:space="preserve">he period of </w:t>
      </w:r>
      <w:r w:rsidR="0079633B" w:rsidRPr="003875F5">
        <w:rPr>
          <w:rFonts w:ascii="Times New Roman" w:hAnsi="Times New Roman" w:cs="Times New Roman"/>
          <w:sz w:val="24"/>
          <w:szCs w:val="24"/>
          <w:lang w:val="en-US"/>
        </w:rPr>
        <w:t>2005</w:t>
      </w:r>
      <w:r w:rsidRPr="003875F5">
        <w:rPr>
          <w:rFonts w:ascii="Times New Roman" w:hAnsi="Times New Roman" w:cs="Times New Roman"/>
          <w:sz w:val="24"/>
          <w:szCs w:val="24"/>
          <w:lang w:val="en-US"/>
        </w:rPr>
        <w:t>-2012 was coded with ones, bearing in mind rule 7(ii), whose standard of macroeconomic impact is satisfied with the restrictions on the establishment of branches of foreign companies.</w:t>
      </w:r>
    </w:p>
    <w:p w:rsidR="00852673" w:rsidRPr="003875F5" w:rsidRDefault="00E85AD3" w:rsidP="00A969E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2005</w:t>
      </w:r>
      <w:r w:rsidR="00A16CD8" w:rsidRPr="003875F5">
        <w:rPr>
          <w:rFonts w:ascii="Times New Roman" w:hAnsi="Times New Roman" w:cs="Times New Roman"/>
          <w:sz w:val="24"/>
          <w:szCs w:val="24"/>
          <w:lang w:val="en-US"/>
        </w:rPr>
        <w:t>-2008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Controls apply to purchase of or swap operations in instruments and claims issued by or contracted with non-EU residents if these assets are to form more than 5% of the cover of the technical reserves of an insurance company or of the assets representative of the liabilities of a private pension fund administering statutory pension schemes</w:t>
      </w:r>
      <w:r w:rsidRPr="003875F5">
        <w:rPr>
          <w:rFonts w:ascii="Times New Roman" w:hAnsi="Times New Roman" w:cs="Times New Roman"/>
          <w:sz w:val="24"/>
          <w:szCs w:val="24"/>
          <w:lang w:val="en-US"/>
        </w:rPr>
        <w:t xml:space="preserve">.” </w:t>
      </w:r>
      <w:r w:rsidR="00BC503B" w:rsidRPr="003875F5">
        <w:rPr>
          <w:rFonts w:ascii="Times New Roman" w:hAnsi="Times New Roman" w:cs="Times New Roman"/>
          <w:sz w:val="24"/>
          <w:szCs w:val="24"/>
          <w:lang w:val="en-US"/>
        </w:rPr>
        <w:t>This is a control, as it is related to pension funds</w:t>
      </w:r>
      <w:r w:rsidRPr="003875F5">
        <w:rPr>
          <w:rFonts w:ascii="Times New Roman" w:hAnsi="Times New Roman" w:cs="Times New Roman"/>
          <w:sz w:val="24"/>
          <w:szCs w:val="24"/>
          <w:lang w:val="en-US"/>
        </w:rPr>
        <w:t>.</w:t>
      </w:r>
      <w:r w:rsidR="00A16CD8" w:rsidRPr="003875F5">
        <w:rPr>
          <w:rFonts w:ascii="Times New Roman" w:hAnsi="Times New Roman" w:cs="Times New Roman"/>
          <w:sz w:val="24"/>
          <w:szCs w:val="24"/>
          <w:lang w:val="en-US"/>
        </w:rPr>
        <w:t xml:space="preserve"> In 2009 the restriction for private pension funds was removed.</w:t>
      </w:r>
    </w:p>
    <w:p w:rsidR="00E85AD3" w:rsidRPr="003875F5" w:rsidRDefault="008A5184" w:rsidP="008A5184">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1995-</w:t>
      </w:r>
      <w:r w:rsidR="006A6B45" w:rsidRPr="003875F5">
        <w:rPr>
          <w:rFonts w:ascii="Times New Roman" w:hAnsi="Times New Roman" w:cs="Times New Roman"/>
          <w:sz w:val="24"/>
          <w:szCs w:val="24"/>
          <w:lang w:val="en-US"/>
        </w:rPr>
        <w:t>1998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 controls apply only to the acquisition of real estate (1) for recreational purposes or secondary residences by nonresidents who have not previously been residents of Finland for at least 5 years; and (2) in the Aaland Islands.</w:t>
      </w:r>
      <w:r w:rsidRPr="003875F5">
        <w:rPr>
          <w:rFonts w:ascii="Times New Roman" w:hAnsi="Times New Roman" w:cs="Times New Roman"/>
          <w:sz w:val="24"/>
          <w:szCs w:val="24"/>
          <w:lang w:val="en-US"/>
        </w:rPr>
        <w:t xml:space="preserve">” </w:t>
      </w:r>
      <w:r w:rsidR="00982D9B" w:rsidRPr="003875F5">
        <w:rPr>
          <w:rFonts w:ascii="Times New Roman" w:hAnsi="Times New Roman" w:cs="Times New Roman"/>
          <w:sz w:val="24"/>
          <w:szCs w:val="24"/>
          <w:lang w:val="en-US"/>
        </w:rPr>
        <w:t>We</w:t>
      </w:r>
      <w:r w:rsidRPr="003875F5">
        <w:rPr>
          <w:rFonts w:ascii="Times New Roman" w:hAnsi="Times New Roman" w:cs="Times New Roman"/>
          <w:sz w:val="24"/>
          <w:szCs w:val="24"/>
          <w:lang w:val="en-US"/>
        </w:rPr>
        <w:t xml:space="preserve"> coded with ones.</w:t>
      </w:r>
    </w:p>
    <w:p w:rsidR="00BC503B" w:rsidRPr="003875F5" w:rsidRDefault="00E259B6" w:rsidP="00B252C6">
      <w:pPr>
        <w:pStyle w:val="Estilo2"/>
      </w:pPr>
      <w:bookmarkStart w:id="31" w:name="_Toc402472330"/>
      <w:r w:rsidRPr="003875F5">
        <w:t>Georgia</w:t>
      </w:r>
      <w:bookmarkEnd w:id="31"/>
    </w:p>
    <w:p w:rsidR="00BC503B" w:rsidRPr="003875F5" w:rsidRDefault="00BC503B" w:rsidP="00BC503B">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2009: “"</w:t>
      </w:r>
      <w:r w:rsidRPr="003875F5">
        <w:rPr>
          <w:rFonts w:ascii="Times New Roman" w:hAnsi="Times New Roman" w:cs="Times New Roman"/>
          <w:i/>
          <w:sz w:val="24"/>
          <w:szCs w:val="24"/>
          <w:lang w:val="en-US"/>
        </w:rPr>
        <w:t xml:space="preserve">Effective January 20, 2009, no more than 20% of total provisions of insurance companies may be invested in securities issued by nonresidents. Effective January 20, 2009, the following limitations apply to the investment of pension fund assets in relation to total pension fund liabilities and provisions: (1) a maximum of 30% in debt securities (including treasury bills issued by the MOF) issued by Georgia and OECD member states; (2) a maximum of 15% in corporate bonds, preferred stock, and equity securities traded on the securities exchange of Georgia and OECD member states; (3) a maximum of 3% in corporate bonds and preferred stock by the same issuer in Georgia and OECD member states; (4) a maximum of 10% in corporate bonds, preferred stock, and equity securities traded on securities exchanges other than those of Georgia and OECD member states; (5) a maximum of 2.5% in corporate bonds and preferred stocks by the same issuer traded on securities exchanges other than those of Georgia and OECD member states; (6) a maximum of 20% in mortgage loans secured with property registered in Georgia, OECD, and other developed </w:t>
      </w:r>
      <w:r w:rsidRPr="003875F5">
        <w:rPr>
          <w:rFonts w:ascii="Times New Roman" w:hAnsi="Times New Roman" w:cs="Times New Roman"/>
          <w:i/>
          <w:sz w:val="24"/>
          <w:szCs w:val="24"/>
          <w:lang w:val="en-US"/>
        </w:rPr>
        <w:lastRenderedPageBreak/>
        <w:t>countries (loans to a single person may not exceed 10%); (7) a maximum of 10% in mortgage loans and Loan  to banking institutions (loans to a single bank may not exceed 10%); (8) a maximum of 20% in loans; (9) a maximum of 90% in in-bank deposits (deposits in a single bank may not exceed 30%); and (10) a minimum of 10% in cash in vault and on the current account, but not exceeding 20% in a single bank.”</w:t>
      </w:r>
      <w:r w:rsidRPr="003875F5">
        <w:rPr>
          <w:rFonts w:ascii="Times New Roman" w:hAnsi="Times New Roman" w:cs="Times New Roman"/>
          <w:sz w:val="24"/>
          <w:szCs w:val="24"/>
          <w:lang w:val="en-US"/>
        </w:rPr>
        <w:t xml:space="preserve"> Please note that the restrictions do not only apply to the insurance sector but to the investment of pension funds as well. Therefore, we code it as a control.</w:t>
      </w:r>
    </w:p>
    <w:p w:rsidR="00F45B32" w:rsidRPr="003875F5" w:rsidRDefault="00F45B32" w:rsidP="00F45B32">
      <w:pPr>
        <w:pStyle w:val="Prrafodelista"/>
        <w:numPr>
          <w:ilvl w:val="2"/>
          <w:numId w:val="2"/>
        </w:numPr>
        <w:spacing w:line="240" w:lineRule="auto"/>
        <w:jc w:val="both"/>
        <w:rPr>
          <w:rFonts w:ascii="Times New Roman" w:hAnsi="Times New Roman" w:cs="Times New Roman"/>
          <w:i/>
          <w:sz w:val="24"/>
          <w:szCs w:val="24"/>
          <w:lang w:val="en-US"/>
        </w:rPr>
      </w:pPr>
      <w:r w:rsidRPr="003875F5">
        <w:rPr>
          <w:rFonts w:ascii="Times New Roman" w:hAnsi="Times New Roman" w:cs="Times New Roman"/>
          <w:sz w:val="24"/>
          <w:szCs w:val="24"/>
          <w:lang w:val="en-US"/>
        </w:rPr>
        <w:t>In 2010</w:t>
      </w:r>
      <w:r w:rsidR="00CA03A7"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xml:space="preserve"> the foregoing narrative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changes: “</w:t>
      </w:r>
      <w:r w:rsidRPr="003875F5">
        <w:rPr>
          <w:rFonts w:ascii="Times New Roman" w:hAnsi="Times New Roman" w:cs="Times New Roman"/>
          <w:i/>
          <w:sz w:val="24"/>
          <w:szCs w:val="24"/>
          <w:lang w:val="en-US"/>
        </w:rPr>
        <w:t>Generally, there is no restriction for insurers to invest abroad. Nevertheless the prudential limits are established, effective March 31, 2010, by Decree No. 51/01 of the president of the NBG with respect to assets covering technical provisions. According to this rule, up to 20% of assets covering insurance technical provisions may be placed abroad. Further limitations apply to the assets covering insurance technical provisions: (1) a maximum of 30% of the total amount of technical provisions may be placed in debt securities (including treasury bills issued by the MOF) issued by Georgia and OECD members; (2) a maximum of 30% in debt securities issued by respective bodies of local self-governance of OECD members and/or developed countries; (3) a maximum of 50% in debt securities mentioned in parts (1) and (2); (4) a maximum of 15% in corporate bonds, preferred stock, and equity securities traded on the organized securities market of Georgia and OECD members; (5) a maximum of 3% in corporate bonds and preferred stock by the same issuer in Georgia and OECD members and a maximum of 2% in equity securities; (6) a maximum of 10% in corporate bonds, preferred stock, and equity securities issued by legal entities registered in Georgia, OECD members, and/or developed countries and traded outside organized securities markets of Georgia and OECD members; (7) a maximum of 2.5% in corporate bonds and preferred stocks by the same issuer traded on securities exchanges other than those of Georgia and OECD members and a maximum of 1% in equity securities; (8) a maximum of 15% in securities mentioned in parts (4) and (6); (9) a maximum of 20% in mortgage loans secured with property registered in Georgia, OECD members, and other developed countries (loans to a single person may not exceed 10%); (10) a maximum of 20% in loans to banking institutions (loans to a single bank may not exceed 10%); (11) a maximum of 10% in loans secured by securities mentioned in parts (1) and (2) (loans to a single person may not exceed 2%); (12) a maximum of 10% in real estate registered in Georgia, OECD members, and/or developed countries; (13) a maximum of 90% in bank deposits (deposits in a single bank may not exceed 30%); and (14) a minimum of 10% in cash in vault and on the current account, but not exceeding 20% in a single bank</w:t>
      </w:r>
      <w:r w:rsidRPr="003875F5">
        <w:rPr>
          <w:rFonts w:ascii="Times New Roman" w:hAnsi="Times New Roman" w:cs="Times New Roman"/>
          <w:sz w:val="24"/>
          <w:szCs w:val="24"/>
          <w:lang w:val="en-US"/>
        </w:rPr>
        <w:t>”</w:t>
      </w:r>
      <w:r w:rsidR="009F434C" w:rsidRPr="003875F5">
        <w:rPr>
          <w:rFonts w:ascii="Times New Roman" w:hAnsi="Times New Roman" w:cs="Times New Roman"/>
          <w:sz w:val="24"/>
          <w:szCs w:val="24"/>
          <w:lang w:val="en-US"/>
        </w:rPr>
        <w:t xml:space="preserve"> As </w:t>
      </w:r>
      <w:r w:rsidR="009F434C" w:rsidRPr="003875F5">
        <w:rPr>
          <w:rFonts w:ascii="Times New Roman" w:hAnsi="Times New Roman" w:cs="Times New Roman"/>
          <w:sz w:val="24"/>
          <w:szCs w:val="24"/>
          <w:lang w:val="en-US"/>
        </w:rPr>
        <w:lastRenderedPageBreak/>
        <w:t>there are only restrictions to insurance companies, we do not consider these to have a large macroeconomic impact.</w:t>
      </w:r>
    </w:p>
    <w:p w:rsidR="00D26BCF" w:rsidRPr="003875F5" w:rsidRDefault="00D26BCF" w:rsidP="00B252C6">
      <w:pPr>
        <w:pStyle w:val="Estilo2"/>
      </w:pPr>
      <w:bookmarkStart w:id="32" w:name="_Toc402472331"/>
      <w:r w:rsidRPr="003875F5">
        <w:t>Germany</w:t>
      </w:r>
      <w:bookmarkEnd w:id="32"/>
    </w:p>
    <w:p w:rsidR="00BC503B" w:rsidRPr="003875F5" w:rsidRDefault="00BC503B" w:rsidP="00A969E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If we were to conclude that restricting insurance companies and pension funds is enough to consider that there is a control, all subcategories of </w:t>
      </w:r>
      <w:proofErr w:type="spellStart"/>
      <w:r w:rsidRPr="003875F5">
        <w:rPr>
          <w:rFonts w:ascii="Times New Roman" w:hAnsi="Times New Roman" w:cs="Times New Roman"/>
          <w:sz w:val="24"/>
          <w:szCs w:val="24"/>
          <w:lang w:val="en-US"/>
        </w:rPr>
        <w:t>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in 2005-2008 must change to 1, since: “</w:t>
      </w:r>
      <w:r w:rsidRPr="003875F5">
        <w:rPr>
          <w:rFonts w:ascii="Times New Roman" w:hAnsi="Times New Roman" w:cs="Times New Roman"/>
          <w:i/>
          <w:sz w:val="24"/>
          <w:szCs w:val="24"/>
          <w:lang w:val="en-US"/>
        </w:rPr>
        <w:t>Controls apply to the purchase by insurance companies and pension funds of securities issued by non-EU residents if these assets are to form more than 5% of their guarantee assets or more than 20% of their other restricted assets</w:t>
      </w:r>
      <w:r w:rsidRPr="003875F5">
        <w:rPr>
          <w:rFonts w:ascii="Times New Roman" w:hAnsi="Times New Roman" w:cs="Times New Roman"/>
          <w:sz w:val="24"/>
          <w:szCs w:val="24"/>
          <w:lang w:val="en-US"/>
        </w:rPr>
        <w:t>” In 2008, the restriction is eliminated for insurance companies: “</w:t>
      </w:r>
      <w:r w:rsidRPr="003875F5">
        <w:rPr>
          <w:rFonts w:ascii="Times New Roman" w:hAnsi="Times New Roman" w:cs="Times New Roman"/>
          <w:i/>
          <w:sz w:val="24"/>
          <w:szCs w:val="24"/>
          <w:lang w:val="en-US"/>
        </w:rPr>
        <w:t>Controls apply to the purchase by pension funds of collective investment securities issued by non-EU residents if these assets are to form more than 5% of their guarantee assets or more than 20% of their other restricted assets. Insurance companies may acquire investments in all investment categories in any OECD member country. The previous limitation on insurance companies’ investments based on the location of the assets has been eliminated</w:t>
      </w:r>
      <w:r w:rsidRPr="003875F5">
        <w:rPr>
          <w:rFonts w:ascii="Times New Roman" w:hAnsi="Times New Roman" w:cs="Times New Roman"/>
          <w:sz w:val="24"/>
          <w:szCs w:val="24"/>
          <w:lang w:val="en-US"/>
        </w:rPr>
        <w:t xml:space="preserve">.” (The latter narrative is present until 2011). </w:t>
      </w:r>
    </w:p>
    <w:p w:rsidR="00C10744" w:rsidRPr="003875F5" w:rsidRDefault="00BC503B" w:rsidP="00A969E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00C10744" w:rsidRPr="003875F5">
        <w:rPr>
          <w:rFonts w:ascii="Times New Roman" w:hAnsi="Times New Roman" w:cs="Times New Roman"/>
          <w:sz w:val="24"/>
          <w:szCs w:val="24"/>
          <w:lang w:val="en-US"/>
        </w:rPr>
        <w:t>de_pabr</w:t>
      </w:r>
      <w:proofErr w:type="spellEnd"/>
      <w:r w:rsidR="00C10744" w:rsidRPr="003875F5">
        <w:rPr>
          <w:rFonts w:ascii="Times New Roman" w:hAnsi="Times New Roman" w:cs="Times New Roman"/>
          <w:sz w:val="24"/>
          <w:szCs w:val="24"/>
          <w:lang w:val="en-US"/>
        </w:rPr>
        <w:t xml:space="preserve"> 2005-2012 (narrative changes but restriction on pension funds remains): “</w:t>
      </w:r>
      <w:r w:rsidR="00C10744" w:rsidRPr="003875F5">
        <w:rPr>
          <w:rFonts w:ascii="Times New Roman" w:hAnsi="Times New Roman" w:cs="Times New Roman"/>
          <w:i/>
          <w:sz w:val="24"/>
          <w:szCs w:val="24"/>
          <w:lang w:val="en-US"/>
        </w:rPr>
        <w:t>Controls apply to the purchase by insurance companies and pension funds of securities issued by non-EU residents if these assets are to form more than 5% of their guarantee assets or more than 20% of their other restricted assets</w:t>
      </w:r>
      <w:r w:rsidR="00C10744"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Note the restriction on pension funds.</w:t>
      </w:r>
    </w:p>
    <w:p w:rsidR="00912258" w:rsidRPr="003875F5" w:rsidRDefault="00152960" w:rsidP="00B252C6">
      <w:pPr>
        <w:pStyle w:val="Estilo2"/>
      </w:pPr>
      <w:bookmarkStart w:id="33" w:name="_Toc402472332"/>
      <w:r w:rsidRPr="003875F5">
        <w:t>Ghana</w:t>
      </w:r>
      <w:bookmarkEnd w:id="33"/>
    </w:p>
    <w:p w:rsidR="00DC1713" w:rsidRPr="003875F5" w:rsidRDefault="00152960"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We identified a change in regime in Dec 29 2006 but we coded the change as occurring in 2007.</w:t>
      </w:r>
    </w:p>
    <w:p w:rsidR="00BC503B" w:rsidRPr="003875F5" w:rsidRDefault="00000627" w:rsidP="00B94C9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in 2006 the date that controls on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were removed was, effectively, December 29, 2006 so we consider that capital controls were in place in all 2006. </w:t>
      </w:r>
    </w:p>
    <w:p w:rsidR="004D4518" w:rsidRPr="003875F5" w:rsidRDefault="004D4518" w:rsidP="00B94C9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2007</w:t>
      </w:r>
      <w:r w:rsidR="005920FB"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No controls apply, except in the banking sector, where nonresidents’ acquisition of a stake exceeding 10% is subject to BOG approval</w:t>
      </w:r>
      <w:r w:rsidRPr="003875F5">
        <w:rPr>
          <w:rFonts w:ascii="Times New Roman" w:hAnsi="Times New Roman" w:cs="Times New Roman"/>
          <w:sz w:val="24"/>
          <w:szCs w:val="24"/>
          <w:lang w:val="en-US"/>
        </w:rPr>
        <w:t>”</w:t>
      </w:r>
      <w:r w:rsidR="00DB48F1" w:rsidRPr="003875F5">
        <w:rPr>
          <w:rFonts w:ascii="Times New Roman" w:hAnsi="Times New Roman" w:cs="Times New Roman"/>
          <w:sz w:val="24"/>
          <w:szCs w:val="24"/>
          <w:lang w:val="en-US"/>
        </w:rPr>
        <w:t xml:space="preserve"> </w:t>
      </w:r>
      <w:r w:rsidR="00BC503B" w:rsidRPr="003875F5">
        <w:rPr>
          <w:rFonts w:ascii="Times New Roman" w:hAnsi="Times New Roman" w:cs="Times New Roman"/>
          <w:sz w:val="24"/>
          <w:szCs w:val="24"/>
          <w:lang w:val="en-US"/>
        </w:rPr>
        <w:t xml:space="preserve">This might have </w:t>
      </w:r>
      <w:proofErr w:type="gramStart"/>
      <w:r w:rsidR="00BC503B" w:rsidRPr="003875F5">
        <w:rPr>
          <w:rFonts w:ascii="Times New Roman" w:hAnsi="Times New Roman" w:cs="Times New Roman"/>
          <w:sz w:val="24"/>
          <w:szCs w:val="24"/>
          <w:lang w:val="en-US"/>
        </w:rPr>
        <w:t>a macroeconomic implications</w:t>
      </w:r>
      <w:proofErr w:type="gramEnd"/>
      <w:r w:rsidR="00BC503B" w:rsidRPr="003875F5">
        <w:rPr>
          <w:rFonts w:ascii="Times New Roman" w:hAnsi="Times New Roman" w:cs="Times New Roman"/>
          <w:sz w:val="24"/>
          <w:szCs w:val="24"/>
          <w:lang w:val="en-US"/>
        </w:rPr>
        <w:t>. Therefore, we code it with ones.</w:t>
      </w:r>
    </w:p>
    <w:p w:rsidR="00DB48F1" w:rsidRPr="003875F5" w:rsidRDefault="00DB48F1" w:rsidP="00855A0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dii </w:t>
      </w:r>
      <w:r w:rsidR="00B94C9A" w:rsidRPr="003875F5">
        <w:rPr>
          <w:rFonts w:ascii="Times New Roman" w:hAnsi="Times New Roman" w:cs="Times New Roman"/>
          <w:sz w:val="24"/>
          <w:szCs w:val="24"/>
          <w:lang w:val="en-US"/>
        </w:rPr>
        <w:t>1998-</w:t>
      </w:r>
      <w:r w:rsidRPr="003875F5">
        <w:rPr>
          <w:rFonts w:ascii="Times New Roman" w:hAnsi="Times New Roman" w:cs="Times New Roman"/>
          <w:sz w:val="24"/>
          <w:szCs w:val="24"/>
          <w:lang w:val="en-US"/>
        </w:rPr>
        <w:t>20</w:t>
      </w:r>
      <w:r w:rsidR="00B94C9A" w:rsidRPr="003875F5">
        <w:rPr>
          <w:rFonts w:ascii="Times New Roman" w:hAnsi="Times New Roman" w:cs="Times New Roman"/>
          <w:sz w:val="24"/>
          <w:szCs w:val="24"/>
          <w:lang w:val="en-US"/>
        </w:rPr>
        <w:t>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Certain areas of economic activity (hairdressing, barbering, and lottery) are not open to foreigners. Foreign investors in Ghana must register and comply with the requirements of the Ghana Investment Promotion Center (GIPC) if they are to benefit from the incentives available under the GIPC Act, such as tax holidays and initial capital allowances. The minimum qualifying amounts of investment by a non-Ghanaian are as follows: (1) $10,000 or its equivalent in capital goods by way of equity participation in a joint-venture enterprise with a Ghanaian partner; (2) $50,000 or its equivalent in capital goods by way of equity when </w:t>
      </w:r>
      <w:r w:rsidRPr="003875F5">
        <w:rPr>
          <w:rFonts w:ascii="Times New Roman" w:hAnsi="Times New Roman" w:cs="Times New Roman"/>
          <w:i/>
          <w:sz w:val="24"/>
          <w:szCs w:val="24"/>
          <w:lang w:val="en-US"/>
        </w:rPr>
        <w:lastRenderedPageBreak/>
        <w:t>the enterprise is wholly owned by a non-Ghanaian; and (3) $300,000 or its equivalent in goods by way of equity capital when the enterprise is either wholly or partly owned by a non-Ghanaian, employs at least 10 Ghanaians, and is involved in the purchasing and selling of goods</w:t>
      </w:r>
      <w:r w:rsidRPr="003875F5">
        <w:rPr>
          <w:rFonts w:ascii="Times New Roman" w:hAnsi="Times New Roman" w:cs="Times New Roman"/>
          <w:sz w:val="24"/>
          <w:szCs w:val="24"/>
          <w:lang w:val="en-US"/>
        </w:rPr>
        <w:t>.”</w:t>
      </w:r>
      <w:r w:rsidR="00855A0F" w:rsidRPr="003875F5">
        <w:rPr>
          <w:rFonts w:ascii="Times New Roman" w:hAnsi="Times New Roman" w:cs="Times New Roman"/>
          <w:sz w:val="24"/>
          <w:szCs w:val="24"/>
          <w:lang w:val="en-US"/>
        </w:rPr>
        <w:t xml:space="preserve"> </w:t>
      </w:r>
      <w:r w:rsidR="00B94C9A" w:rsidRPr="003875F5">
        <w:rPr>
          <w:rFonts w:ascii="Times New Roman" w:hAnsi="Times New Roman" w:cs="Times New Roman"/>
          <w:sz w:val="24"/>
          <w:szCs w:val="24"/>
          <w:lang w:val="en-US"/>
        </w:rPr>
        <w:t xml:space="preserve">Although the </w:t>
      </w:r>
      <w:r w:rsidR="005C662A" w:rsidRPr="003875F5">
        <w:rPr>
          <w:rFonts w:ascii="Times New Roman" w:hAnsi="Times New Roman" w:cs="Times New Roman"/>
          <w:sz w:val="24"/>
          <w:szCs w:val="24"/>
          <w:lang w:val="en-US"/>
        </w:rPr>
        <w:t>narrative</w:t>
      </w:r>
      <w:r w:rsidR="00B94C9A" w:rsidRPr="003875F5">
        <w:rPr>
          <w:rFonts w:ascii="Times New Roman" w:hAnsi="Times New Roman" w:cs="Times New Roman"/>
          <w:sz w:val="24"/>
          <w:szCs w:val="24"/>
          <w:lang w:val="en-US"/>
        </w:rPr>
        <w:t xml:space="preserve"> is not clear, considering </w:t>
      </w:r>
      <w:r w:rsidR="005C662A" w:rsidRPr="003875F5">
        <w:rPr>
          <w:rFonts w:ascii="Times New Roman" w:hAnsi="Times New Roman" w:cs="Times New Roman"/>
          <w:sz w:val="24"/>
          <w:szCs w:val="24"/>
          <w:lang w:val="en-US"/>
        </w:rPr>
        <w:t>the wording of the first few</w:t>
      </w:r>
      <w:r w:rsidR="00B94C9A" w:rsidRPr="003875F5">
        <w:rPr>
          <w:rFonts w:ascii="Times New Roman" w:hAnsi="Times New Roman" w:cs="Times New Roman"/>
          <w:sz w:val="24"/>
          <w:szCs w:val="24"/>
          <w:lang w:val="en-US"/>
        </w:rPr>
        <w:t xml:space="preserve"> years</w:t>
      </w:r>
      <w:r w:rsidR="00855A0F" w:rsidRPr="003875F5">
        <w:rPr>
          <w:rFonts w:ascii="Times New Roman" w:hAnsi="Times New Roman" w:cs="Times New Roman"/>
          <w:sz w:val="24"/>
          <w:szCs w:val="24"/>
          <w:lang w:val="en-US"/>
        </w:rPr>
        <w:t xml:space="preserve">, </w:t>
      </w:r>
      <w:r w:rsidR="00B94C9A" w:rsidRPr="003875F5">
        <w:rPr>
          <w:rFonts w:ascii="Times New Roman" w:hAnsi="Times New Roman" w:cs="Times New Roman"/>
          <w:sz w:val="24"/>
          <w:szCs w:val="24"/>
          <w:lang w:val="en-US"/>
        </w:rPr>
        <w:t>we think that it should</w:t>
      </w:r>
      <w:r w:rsidR="00855A0F" w:rsidRPr="003875F5">
        <w:rPr>
          <w:rFonts w:ascii="Times New Roman" w:hAnsi="Times New Roman" w:cs="Times New Roman"/>
          <w:sz w:val="24"/>
          <w:szCs w:val="24"/>
          <w:lang w:val="en-US"/>
        </w:rPr>
        <w:t xml:space="preserve"> be coded as a control. </w:t>
      </w:r>
      <w:r w:rsidR="00B94C9A" w:rsidRPr="003875F5">
        <w:rPr>
          <w:rFonts w:ascii="Times New Roman" w:hAnsi="Times New Roman" w:cs="Times New Roman"/>
          <w:sz w:val="24"/>
          <w:szCs w:val="24"/>
          <w:lang w:val="en-US"/>
        </w:rPr>
        <w:t>The sentence</w:t>
      </w:r>
      <w:r w:rsidR="00855A0F" w:rsidRPr="003875F5">
        <w:rPr>
          <w:rFonts w:ascii="Times New Roman" w:hAnsi="Times New Roman" w:cs="Times New Roman"/>
          <w:sz w:val="24"/>
          <w:szCs w:val="24"/>
          <w:lang w:val="en-US"/>
        </w:rPr>
        <w:t xml:space="preserve"> “</w:t>
      </w:r>
      <w:r w:rsidR="00855A0F" w:rsidRPr="003875F5">
        <w:rPr>
          <w:rFonts w:ascii="Times New Roman" w:hAnsi="Times New Roman" w:cs="Times New Roman"/>
          <w:i/>
          <w:sz w:val="24"/>
          <w:szCs w:val="24"/>
          <w:lang w:val="en-US"/>
        </w:rPr>
        <w:t>The minimum qualifying amounts of investment by a non-Ghanaian</w:t>
      </w:r>
      <w:r w:rsidR="00855A0F" w:rsidRPr="003875F5">
        <w:rPr>
          <w:rFonts w:ascii="Times New Roman" w:hAnsi="Times New Roman" w:cs="Times New Roman"/>
          <w:sz w:val="24"/>
          <w:szCs w:val="24"/>
          <w:lang w:val="en-US"/>
        </w:rPr>
        <w:t>”</w:t>
      </w:r>
      <w:r w:rsidR="00B94C9A" w:rsidRPr="003875F5">
        <w:rPr>
          <w:rFonts w:ascii="Times New Roman" w:hAnsi="Times New Roman" w:cs="Times New Roman"/>
          <w:sz w:val="24"/>
          <w:szCs w:val="24"/>
          <w:lang w:val="en-US"/>
        </w:rPr>
        <w:t xml:space="preserve"> is interpreted to be related to the approval of the investment </w:t>
      </w:r>
      <w:r w:rsidR="00B94C9A" w:rsidRPr="003875F5">
        <w:rPr>
          <w:rFonts w:ascii="Times New Roman" w:hAnsi="Times New Roman" w:cs="Times New Roman"/>
          <w:i/>
          <w:sz w:val="24"/>
          <w:szCs w:val="24"/>
          <w:lang w:val="en-US"/>
        </w:rPr>
        <w:t>per se</w:t>
      </w:r>
      <w:r w:rsidR="00B94C9A" w:rsidRPr="003875F5">
        <w:rPr>
          <w:rFonts w:ascii="Times New Roman" w:hAnsi="Times New Roman" w:cs="Times New Roman"/>
          <w:sz w:val="24"/>
          <w:szCs w:val="24"/>
          <w:lang w:val="en-US"/>
        </w:rPr>
        <w:t xml:space="preserve"> and not the minima established under the GIPC</w:t>
      </w:r>
      <w:r w:rsidR="00855A0F" w:rsidRPr="003875F5">
        <w:rPr>
          <w:rFonts w:ascii="Times New Roman" w:hAnsi="Times New Roman" w:cs="Times New Roman"/>
          <w:sz w:val="24"/>
          <w:szCs w:val="24"/>
          <w:lang w:val="en-US"/>
        </w:rPr>
        <w:t>.</w:t>
      </w:r>
    </w:p>
    <w:p w:rsidR="00DE2521" w:rsidRPr="003875F5" w:rsidRDefault="00A14DFA" w:rsidP="00A14DF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1995</w:t>
      </w:r>
      <w:r w:rsidR="005434D0" w:rsidRPr="003875F5">
        <w:rPr>
          <w:rFonts w:ascii="Times New Roman" w:hAnsi="Times New Roman" w:cs="Times New Roman"/>
          <w:sz w:val="24"/>
          <w:szCs w:val="24"/>
          <w:lang w:val="en-US"/>
        </w:rPr>
        <w:t>-</w:t>
      </w:r>
      <w:r w:rsidR="002F7B15" w:rsidRPr="003875F5">
        <w:rPr>
          <w:rFonts w:ascii="Times New Roman" w:hAnsi="Times New Roman" w:cs="Times New Roman"/>
          <w:sz w:val="24"/>
          <w:szCs w:val="24"/>
          <w:lang w:val="en-US"/>
        </w:rPr>
        <w:t>2001</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Currently, a local market in derivatives and other instruments does not exist. No restrictions apply but transfer of funds requires BOG approval</w:t>
      </w:r>
      <w:r w:rsidRPr="003875F5">
        <w:rPr>
          <w:rFonts w:ascii="Times New Roman" w:hAnsi="Times New Roman" w:cs="Times New Roman"/>
          <w:sz w:val="24"/>
          <w:szCs w:val="24"/>
          <w:lang w:val="en-US"/>
        </w:rPr>
        <w:t>.”</w:t>
      </w:r>
      <w:r w:rsidR="00DE2521" w:rsidRPr="003875F5">
        <w:rPr>
          <w:rFonts w:ascii="Times New Roman" w:hAnsi="Times New Roman" w:cs="Times New Roman"/>
          <w:sz w:val="24"/>
          <w:szCs w:val="24"/>
          <w:lang w:val="en-US"/>
        </w:rPr>
        <w:t xml:space="preserve"> Subcategories were coded in accordance with rules 3(i) and 3(ii). </w:t>
      </w:r>
    </w:p>
    <w:p w:rsidR="00A14DFA" w:rsidRPr="003875F5" w:rsidRDefault="00DE2521" w:rsidP="00DE2521">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Note that in 2002 the header is replaced by: “</w:t>
      </w:r>
      <w:r w:rsidRPr="003875F5">
        <w:rPr>
          <w:rFonts w:ascii="Times New Roman" w:hAnsi="Times New Roman" w:cs="Times New Roman"/>
          <w:i/>
          <w:sz w:val="24"/>
          <w:szCs w:val="24"/>
          <w:lang w:val="en-US"/>
        </w:rPr>
        <w:t>Currently, the local market in derivatives is limited</w:t>
      </w:r>
      <w:r w:rsidRPr="003875F5">
        <w:rPr>
          <w:rFonts w:ascii="Times New Roman" w:hAnsi="Times New Roman" w:cs="Times New Roman"/>
          <w:sz w:val="24"/>
          <w:szCs w:val="24"/>
          <w:lang w:val="en-US"/>
        </w:rPr>
        <w:t>.”</w:t>
      </w:r>
    </w:p>
    <w:p w:rsidR="00BC503B" w:rsidRPr="003875F5" w:rsidRDefault="00625E79" w:rsidP="00B252C6">
      <w:pPr>
        <w:pStyle w:val="Estilo2"/>
      </w:pPr>
      <w:bookmarkStart w:id="34" w:name="_Toc402472333"/>
      <w:r w:rsidRPr="003875F5">
        <w:t>Greece</w:t>
      </w:r>
      <w:bookmarkEnd w:id="34"/>
    </w:p>
    <w:p w:rsidR="00AD2CB9" w:rsidRPr="003875F5" w:rsidRDefault="00BC503B" w:rsidP="009F434C">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In 2008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the following narrative is present: “</w:t>
      </w:r>
      <w:r w:rsidRPr="003875F5">
        <w:rPr>
          <w:rFonts w:ascii="Times New Roman" w:hAnsi="Times New Roman" w:cs="Times New Roman"/>
          <w:i/>
          <w:sz w:val="24"/>
          <w:szCs w:val="24"/>
          <w:lang w:val="en-US"/>
        </w:rPr>
        <w:t>Controls apply to the purchase of securities issued by non-EU residents if these assets are to form part of the technical reserves of an insurance company. OPFs may invest only in bonds listed on regulated markets and issued in Greece or in another member of the EU or the EEA</w:t>
      </w:r>
      <w:r w:rsidRPr="003875F5">
        <w:rPr>
          <w:rFonts w:ascii="Times New Roman" w:hAnsi="Times New Roman" w:cs="Times New Roman"/>
          <w:sz w:val="24"/>
          <w:szCs w:val="24"/>
          <w:lang w:val="en-US"/>
        </w:rPr>
        <w:t>” In 2009-2010, the narrative is: “</w:t>
      </w:r>
      <w:r w:rsidRPr="003875F5">
        <w:rPr>
          <w:rFonts w:ascii="Times New Roman" w:hAnsi="Times New Roman" w:cs="Times New Roman"/>
          <w:i/>
          <w:sz w:val="24"/>
          <w:szCs w:val="24"/>
          <w:lang w:val="en-US"/>
        </w:rPr>
        <w:t>Controls apply to the purchase of securities issued by non-EU residents if these assets are to form part of the technical reserves of an insurance company. Second-pillar occupational pension funds (OPFs) may invest only in shares listed on regulated markets and issued in Greece or in another member of the EU or the EEA. Collective investment funds may invest freely in securities listed abroad; these funds are classified as domestic or foreign funds, according to their declared investment policy: if domestic, a fund must invest at least 65% of its net asset value (NAV) in domestic products; if foreign, it must invest at least 65% of its NAV in foreign products”</w:t>
      </w:r>
      <w:r w:rsidRPr="003875F5">
        <w:rPr>
          <w:rFonts w:ascii="Times New Roman" w:hAnsi="Times New Roman" w:cs="Times New Roman"/>
          <w:sz w:val="24"/>
          <w:szCs w:val="24"/>
          <w:lang w:val="en-US"/>
        </w:rPr>
        <w:t xml:space="preserve"> </w:t>
      </w:r>
      <w:r w:rsidR="00AD2CB9" w:rsidRPr="003875F5">
        <w:rPr>
          <w:rFonts w:ascii="Times New Roman" w:hAnsi="Times New Roman" w:cs="Times New Roman"/>
          <w:sz w:val="24"/>
          <w:szCs w:val="24"/>
          <w:lang w:val="en-US"/>
        </w:rPr>
        <w:t>We believe that restriction on OPFs have a large macroeconomic impact.</w:t>
      </w:r>
    </w:p>
    <w:p w:rsidR="00625E79" w:rsidRPr="003875F5" w:rsidRDefault="00625E79" w:rsidP="009F434C">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2008-2012 </w:t>
      </w:r>
      <w:proofErr w:type="spellStart"/>
      <w:r w:rsidRPr="003875F5">
        <w:rPr>
          <w:rFonts w:ascii="Times New Roman" w:hAnsi="Times New Roman" w:cs="Times New Roman"/>
          <w:sz w:val="24"/>
          <w:szCs w:val="24"/>
          <w:lang w:val="en-US"/>
        </w:rPr>
        <w:t>ci_pabr</w:t>
      </w:r>
      <w:proofErr w:type="spellEnd"/>
      <w:r w:rsidRPr="003875F5">
        <w:rPr>
          <w:rFonts w:ascii="Times New Roman" w:hAnsi="Times New Roman" w:cs="Times New Roman"/>
          <w:sz w:val="24"/>
          <w:szCs w:val="24"/>
          <w:lang w:val="en-US"/>
        </w:rPr>
        <w:t>, the following is present: “</w:t>
      </w:r>
      <w:r w:rsidRPr="003875F5">
        <w:rPr>
          <w:rFonts w:ascii="Times New Roman" w:hAnsi="Times New Roman" w:cs="Times New Roman"/>
          <w:i/>
          <w:sz w:val="24"/>
          <w:szCs w:val="24"/>
          <w:lang w:val="en-US"/>
        </w:rPr>
        <w:t>Controls apply to the purchase of securities issued by non-EU residents if these assets are to form part of the technical reserves of an insurance company. OPFs may invest only in shares in mutual funds and UCITS that fall under Directive 85/611/EEC and operate in an EU or EEA member country.</w:t>
      </w:r>
      <w:r w:rsidRPr="003875F5">
        <w:rPr>
          <w:rFonts w:ascii="Times New Roman" w:hAnsi="Times New Roman" w:cs="Times New Roman"/>
          <w:sz w:val="24"/>
          <w:szCs w:val="24"/>
          <w:lang w:val="en-US"/>
        </w:rPr>
        <w:t>”</w:t>
      </w:r>
      <w:r w:rsidR="00CA2743" w:rsidRPr="003875F5">
        <w:rPr>
          <w:rFonts w:ascii="Times New Roman" w:hAnsi="Times New Roman" w:cs="Times New Roman"/>
          <w:sz w:val="24"/>
          <w:szCs w:val="24"/>
          <w:lang w:val="en-US"/>
        </w:rPr>
        <w:t xml:space="preserve"> Idem as above.</w:t>
      </w:r>
    </w:p>
    <w:p w:rsidR="00B12ED6" w:rsidRPr="003875F5" w:rsidRDefault="00B12ED6" w:rsidP="00B252C6">
      <w:pPr>
        <w:pStyle w:val="Estilo2"/>
      </w:pPr>
      <w:bookmarkStart w:id="35" w:name="_Toc402472334"/>
      <w:r w:rsidRPr="003875F5">
        <w:t>Guatemala</w:t>
      </w:r>
      <w:bookmarkEnd w:id="35"/>
    </w:p>
    <w:p w:rsidR="001A5B23" w:rsidRPr="003875F5" w:rsidRDefault="00B12ED6"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dii </w:t>
      </w:r>
      <w:r w:rsidR="001A5B23" w:rsidRPr="003875F5">
        <w:rPr>
          <w:rFonts w:ascii="Times New Roman" w:hAnsi="Times New Roman" w:cs="Times New Roman"/>
          <w:sz w:val="24"/>
          <w:szCs w:val="24"/>
          <w:lang w:val="en-US"/>
        </w:rPr>
        <w:t>1999-</w:t>
      </w:r>
      <w:r w:rsidRPr="003875F5">
        <w:rPr>
          <w:rFonts w:ascii="Times New Roman" w:hAnsi="Times New Roman" w:cs="Times New Roman"/>
          <w:sz w:val="24"/>
          <w:szCs w:val="24"/>
          <w:lang w:val="en-US"/>
        </w:rPr>
        <w:t xml:space="preserve">2012, a conflict of rules arises. Pursuant rule 9, we should consider FDI regulation on petroleum as a control; however, following rule 7(i), we shouldn’t consider it as a control, since it is </w:t>
      </w:r>
      <w:r w:rsidRPr="003875F5">
        <w:rPr>
          <w:rFonts w:ascii="Times New Roman" w:hAnsi="Times New Roman" w:cs="Times New Roman"/>
          <w:sz w:val="24"/>
          <w:szCs w:val="24"/>
          <w:lang w:val="en-US"/>
        </w:rPr>
        <w:lastRenderedPageBreak/>
        <w:t>only one sector.</w:t>
      </w:r>
      <w:r w:rsidR="00A23215" w:rsidRPr="003875F5">
        <w:rPr>
          <w:rFonts w:ascii="Times New Roman" w:hAnsi="Times New Roman" w:cs="Times New Roman"/>
          <w:sz w:val="24"/>
          <w:szCs w:val="24"/>
          <w:lang w:val="en-US"/>
        </w:rPr>
        <w:t xml:space="preserve"> In this case, keeping in mind rule 2, we decided in favor of rule 7(i), that is, not to consider it as a control.</w:t>
      </w:r>
    </w:p>
    <w:p w:rsidR="00A81FDD" w:rsidRPr="003875F5" w:rsidRDefault="00A81FDD" w:rsidP="00B252C6">
      <w:pPr>
        <w:pStyle w:val="Estilo2"/>
      </w:pPr>
      <w:bookmarkStart w:id="36" w:name="_Toc402472335"/>
      <w:r w:rsidRPr="003875F5">
        <w:t>Hungary</w:t>
      </w:r>
      <w:bookmarkEnd w:id="36"/>
    </w:p>
    <w:p w:rsidR="00A81FDD" w:rsidRPr="003875F5" w:rsidRDefault="00A81FDD"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in 2011 I do not see a reason for changing the 0 that we had given in that same category on 2010 since the narrative does not change. That 0 is warranted on the basis of the criteria that (</w:t>
      </w:r>
      <w:r w:rsidRPr="003875F5">
        <w:rPr>
          <w:rFonts w:ascii="Times New Roman" w:hAnsi="Times New Roman" w:cs="Times New Roman"/>
          <w:i/>
          <w:sz w:val="24"/>
          <w:szCs w:val="24"/>
          <w:lang w:val="en-US"/>
        </w:rPr>
        <w:t>i</w:t>
      </w:r>
      <w:r w:rsidRPr="003875F5">
        <w:rPr>
          <w:rFonts w:ascii="Times New Roman" w:hAnsi="Times New Roman" w:cs="Times New Roman"/>
          <w:sz w:val="24"/>
          <w:szCs w:val="24"/>
          <w:lang w:val="en-US"/>
        </w:rPr>
        <w:t xml:space="preserve">) </w:t>
      </w:r>
      <w:r w:rsidR="00A23215" w:rsidRPr="003875F5">
        <w:rPr>
          <w:rFonts w:ascii="Times New Roman" w:hAnsi="Times New Roman" w:cs="Times New Roman"/>
          <w:sz w:val="24"/>
          <w:szCs w:val="24"/>
          <w:lang w:val="en-US"/>
        </w:rPr>
        <w:t>r</w:t>
      </w:r>
      <w:r w:rsidRPr="003875F5">
        <w:rPr>
          <w:rFonts w:ascii="Times New Roman" w:hAnsi="Times New Roman" w:cs="Times New Roman"/>
          <w:sz w:val="24"/>
          <w:szCs w:val="24"/>
          <w:lang w:val="en-US"/>
        </w:rPr>
        <w:t>egulations are associated to FDI regulations; and (</w:t>
      </w:r>
      <w:r w:rsidRPr="003875F5">
        <w:rPr>
          <w:rFonts w:ascii="Times New Roman" w:hAnsi="Times New Roman" w:cs="Times New Roman"/>
          <w:i/>
          <w:sz w:val="24"/>
          <w:szCs w:val="24"/>
          <w:lang w:val="en-US"/>
        </w:rPr>
        <w:t>ii</w:t>
      </w:r>
      <w:r w:rsidRPr="003875F5">
        <w:rPr>
          <w:rFonts w:ascii="Times New Roman" w:hAnsi="Times New Roman" w:cs="Times New Roman"/>
          <w:sz w:val="24"/>
          <w:szCs w:val="24"/>
          <w:lang w:val="en-US"/>
        </w:rPr>
        <w:t>) applies to only one sector.</w:t>
      </w:r>
    </w:p>
    <w:p w:rsidR="00A81FDD" w:rsidRPr="003875F5" w:rsidRDefault="00A81FDD"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in 2011 I do not see a reason for changing the 0 that we had given in that same category on 2010 since the narrative does not change. That 0 is warranted on the basis of the criteria that it applies to only one sector.</w:t>
      </w:r>
    </w:p>
    <w:p w:rsidR="00A81FDD" w:rsidRPr="003875F5" w:rsidRDefault="00A81FDD"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Idem for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in 2011.</w:t>
      </w:r>
    </w:p>
    <w:p w:rsidR="00A81FDD" w:rsidRPr="003875F5" w:rsidRDefault="00A81FDD"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Idem for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 xml:space="preserve"> in 2010 and 2011.</w:t>
      </w:r>
    </w:p>
    <w:p w:rsidR="00A81FDD" w:rsidRPr="003875F5" w:rsidRDefault="00A81FDD"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in 2009, 2010 and 2011 we are using the new rule in terms of reporting the “</w:t>
      </w:r>
      <w:proofErr w:type="spellStart"/>
      <w:r w:rsidRPr="003875F5">
        <w:rPr>
          <w:rFonts w:ascii="Times New Roman" w:hAnsi="Times New Roman" w:cs="Times New Roman"/>
          <w:sz w:val="24"/>
          <w:szCs w:val="24"/>
          <w:lang w:val="en-US"/>
        </w:rPr>
        <w:t>d.n.e</w:t>
      </w:r>
      <w:proofErr w:type="spellEnd"/>
      <w:r w:rsidRPr="003875F5">
        <w:rPr>
          <w:rFonts w:ascii="Times New Roman" w:hAnsi="Times New Roman" w:cs="Times New Roman"/>
          <w:sz w:val="24"/>
          <w:szCs w:val="24"/>
          <w:lang w:val="en-US"/>
        </w:rPr>
        <w:t>” and “</w:t>
      </w:r>
      <w:proofErr w:type="spellStart"/>
      <w:r w:rsidRPr="003875F5">
        <w:rPr>
          <w:rFonts w:ascii="Times New Roman" w:hAnsi="Times New Roman" w:cs="Times New Roman"/>
          <w:sz w:val="24"/>
          <w:szCs w:val="24"/>
          <w:lang w:val="en-US"/>
        </w:rPr>
        <w:t>n.a</w:t>
      </w:r>
      <w:proofErr w:type="spellEnd"/>
      <w:r w:rsidRPr="003875F5">
        <w:rPr>
          <w:rFonts w:ascii="Times New Roman" w:hAnsi="Times New Roman" w:cs="Times New Roman"/>
          <w:sz w:val="24"/>
          <w:szCs w:val="24"/>
          <w:lang w:val="en-US"/>
        </w:rPr>
        <w:t>.”</w:t>
      </w:r>
    </w:p>
    <w:p w:rsidR="00A81FDD" w:rsidRPr="003875F5" w:rsidRDefault="00A81FDD"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For dii in 2010 we were consistent with the coding in 2009 (and also with M. Schindler) in putting a 0 as there is only an allusion to restrictions that pertains to the sector of water transportation and pension funds. In 2011 the list expands a little by including airlines but still we did not believe that it does bear macro consequences.</w:t>
      </w:r>
    </w:p>
    <w:p w:rsidR="00CA2743" w:rsidRPr="003875F5" w:rsidRDefault="00A81FDD" w:rsidP="005019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Idem for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in 2010 and 2011.</w:t>
      </w:r>
    </w:p>
    <w:p w:rsidR="00CA2743" w:rsidRPr="003875F5" w:rsidRDefault="00AB2ACF" w:rsidP="005019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 xml:space="preserve"> 2005-2007 (not 2004): “</w:t>
      </w:r>
      <w:r w:rsidRPr="003875F5">
        <w:rPr>
          <w:rFonts w:ascii="Times New Roman" w:hAnsi="Times New Roman" w:cs="Times New Roman"/>
          <w:i/>
          <w:sz w:val="24"/>
          <w:szCs w:val="24"/>
          <w:lang w:val="en-US"/>
        </w:rPr>
        <w:t>Controls apply to the purchase of securities issued by nonresidents if such assets are to form cover for the technical provisions of an insurance company, unless the assets (1) were issued by (a) an OECD or EEA member state, (b) local or regional authorities of OECD or EEA member states, (c) economic operators established in an OECD or EEA member state, or (d) an international organization of which one or more OECD or EEA member states are members; and (2) are kept in the territory of OECD or EEA member states. Pension funds may purchase securities issued by nonresidents not exceeding 30% of their total investment portfolio.</w:t>
      </w:r>
      <w:r w:rsidRPr="003875F5">
        <w:rPr>
          <w:rFonts w:ascii="Times New Roman" w:hAnsi="Times New Roman" w:cs="Times New Roman"/>
          <w:sz w:val="24"/>
          <w:szCs w:val="24"/>
          <w:lang w:val="en-US"/>
        </w:rPr>
        <w:t xml:space="preserve">” </w:t>
      </w:r>
      <w:r w:rsidR="00CA2743" w:rsidRPr="003875F5">
        <w:rPr>
          <w:rFonts w:ascii="Times New Roman" w:hAnsi="Times New Roman" w:cs="Times New Roman"/>
          <w:sz w:val="24"/>
          <w:szCs w:val="24"/>
          <w:lang w:val="en-US"/>
        </w:rPr>
        <w:t>Since there are quantitative restrictions for pension funds, this must be coded as a control.</w:t>
      </w:r>
    </w:p>
    <w:p w:rsidR="003B69BC" w:rsidRPr="003875F5" w:rsidRDefault="00A250C5" w:rsidP="0050193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ci_pabr</w:t>
      </w:r>
      <w:proofErr w:type="spellEnd"/>
      <w:r w:rsidRPr="003875F5">
        <w:rPr>
          <w:rFonts w:ascii="Times New Roman" w:hAnsi="Times New Roman" w:cs="Times New Roman"/>
          <w:sz w:val="24"/>
          <w:szCs w:val="24"/>
          <w:lang w:val="en-US"/>
        </w:rPr>
        <w:t xml:space="preserve"> 2006-2007 (not 2005): “</w:t>
      </w:r>
      <w:r w:rsidRPr="003875F5">
        <w:rPr>
          <w:rFonts w:ascii="Times New Roman" w:hAnsi="Times New Roman" w:cs="Times New Roman"/>
          <w:i/>
          <w:sz w:val="24"/>
          <w:szCs w:val="24"/>
          <w:lang w:val="en-US"/>
        </w:rPr>
        <w:t>Controls apply to the purchase of securities issued by nonresidents if such assets are to form cover for the technical provisions of an insurance company, unless the assets (1) were issued by (a) an OECD or EEA member state, (b) local or regional authorities of OECD or EEA member states, (c) economic operators established in an OECD or EEA member state, or (d) an international organization of which one or more OECD or EEA member states are members; and (2) are kept in the territory of OECD or EEA member states. Pension funds may purchase securities issued by nonresidents not exceeding 30% of their total investment portfolio</w:t>
      </w:r>
      <w:r w:rsidRPr="003875F5">
        <w:rPr>
          <w:rFonts w:ascii="Times New Roman" w:hAnsi="Times New Roman" w:cs="Times New Roman"/>
          <w:sz w:val="24"/>
          <w:szCs w:val="24"/>
          <w:lang w:val="en-US"/>
        </w:rPr>
        <w:t xml:space="preserve">” Idem as in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w:t>
      </w:r>
    </w:p>
    <w:p w:rsidR="00A250C5" w:rsidRPr="003875F5" w:rsidRDefault="003B69BC" w:rsidP="003B69BC">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 </w:t>
      </w:r>
      <w:proofErr w:type="spellStart"/>
      <w:proofErr w:type="gramStart"/>
      <w:r w:rsidRPr="003875F5">
        <w:rPr>
          <w:rFonts w:ascii="Times New Roman" w:hAnsi="Times New Roman" w:cs="Times New Roman"/>
          <w:sz w:val="24"/>
          <w:szCs w:val="24"/>
          <w:lang w:val="en-US"/>
        </w:rPr>
        <w:t>gso</w:t>
      </w:r>
      <w:proofErr w:type="spellEnd"/>
      <w:proofErr w:type="gramEnd"/>
      <w:r w:rsidRPr="003875F5">
        <w:rPr>
          <w:rFonts w:ascii="Times New Roman" w:hAnsi="Times New Roman" w:cs="Times New Roman"/>
          <w:sz w:val="24"/>
          <w:szCs w:val="24"/>
          <w:lang w:val="en-US"/>
        </w:rPr>
        <w:t xml:space="preserve"> 1995</w:t>
      </w:r>
      <w:r w:rsidR="00DD570B" w:rsidRPr="003875F5">
        <w:rPr>
          <w:rFonts w:ascii="Times New Roman" w:hAnsi="Times New Roman" w:cs="Times New Roman"/>
          <w:sz w:val="24"/>
          <w:szCs w:val="24"/>
          <w:lang w:val="en-US"/>
        </w:rPr>
        <w:t>-199</w:t>
      </w:r>
      <w:r w:rsidR="00605207" w:rsidRPr="003875F5">
        <w:rPr>
          <w:rFonts w:ascii="Times New Roman" w:hAnsi="Times New Roman" w:cs="Times New Roman"/>
          <w:sz w:val="24"/>
          <w:szCs w:val="24"/>
          <w:lang w:val="en-US"/>
        </w:rPr>
        <w:t>7</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These transactions are allowed if they are related to international commercial transactions or if the guarantee is related to a customs duty. In all other cases, a foreign exchange authority license is needed, which is granted liberally, on a case-by-case basis, after submitting a request and its accompanying documents</w:t>
      </w:r>
      <w:r w:rsidRPr="003875F5">
        <w:rPr>
          <w:rFonts w:ascii="Times New Roman" w:hAnsi="Times New Roman" w:cs="Times New Roman"/>
          <w:sz w:val="24"/>
          <w:szCs w:val="24"/>
          <w:lang w:val="en-US"/>
        </w:rPr>
        <w:t xml:space="preserve">.” </w:t>
      </w:r>
      <w:r w:rsidR="00982D9B" w:rsidRPr="003875F5">
        <w:rPr>
          <w:rFonts w:ascii="Times New Roman" w:hAnsi="Times New Roman" w:cs="Times New Roman"/>
          <w:sz w:val="24"/>
          <w:szCs w:val="24"/>
          <w:lang w:val="en-US"/>
        </w:rPr>
        <w:t>We believe that this is a control.</w:t>
      </w:r>
    </w:p>
    <w:p w:rsidR="006A6B45" w:rsidRPr="003875F5" w:rsidRDefault="006A6B45" w:rsidP="006A6B45">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1998, the narrative changes to: “</w:t>
      </w:r>
      <w:r w:rsidRPr="003875F5">
        <w:rPr>
          <w:rFonts w:ascii="Times New Roman" w:hAnsi="Times New Roman" w:cs="Times New Roman"/>
          <w:i/>
          <w:sz w:val="24"/>
          <w:szCs w:val="24"/>
          <w:lang w:val="en-US"/>
        </w:rPr>
        <w:t>These transactions are allowed if they are related to liberalized transactions. In all other cases, authorization is needed, which is granted liberally, on a case-by-case basis</w:t>
      </w:r>
      <w:r w:rsidRPr="003875F5">
        <w:rPr>
          <w:rFonts w:ascii="Times New Roman" w:hAnsi="Times New Roman" w:cs="Times New Roman"/>
          <w:sz w:val="24"/>
          <w:szCs w:val="24"/>
          <w:lang w:val="en-US"/>
        </w:rPr>
        <w:t xml:space="preserve">.” </w:t>
      </w:r>
      <w:r w:rsidR="00982D9B" w:rsidRPr="003875F5">
        <w:rPr>
          <w:rFonts w:ascii="Times New Roman" w:hAnsi="Times New Roman" w:cs="Times New Roman"/>
          <w:sz w:val="24"/>
          <w:szCs w:val="24"/>
          <w:lang w:val="en-US"/>
        </w:rPr>
        <w:t>This narrative further confirms our position.</w:t>
      </w:r>
    </w:p>
    <w:p w:rsidR="00152960" w:rsidRPr="003875F5" w:rsidRDefault="00152960" w:rsidP="00B252C6">
      <w:pPr>
        <w:pStyle w:val="Estilo2"/>
      </w:pPr>
      <w:bookmarkStart w:id="37" w:name="_Toc402472336"/>
      <w:r w:rsidRPr="003875F5">
        <w:t>Iceland</w:t>
      </w:r>
      <w:bookmarkEnd w:id="37"/>
    </w:p>
    <w:p w:rsidR="004114A4" w:rsidRPr="003875F5" w:rsidRDefault="00152960"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00A23215" w:rsidRPr="003875F5">
        <w:rPr>
          <w:rFonts w:ascii="Times New Roman" w:hAnsi="Times New Roman" w:cs="Times New Roman"/>
          <w:sz w:val="24"/>
          <w:szCs w:val="24"/>
          <w:lang w:val="en-US"/>
        </w:rPr>
        <w:t>eq_plbn</w:t>
      </w:r>
      <w:proofErr w:type="spellEnd"/>
      <w:r w:rsidR="00A23215"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eq_siln</w:t>
      </w:r>
      <w:proofErr w:type="spellEnd"/>
      <w:r w:rsidR="00A23215" w:rsidRPr="003875F5">
        <w:rPr>
          <w:rFonts w:ascii="Times New Roman" w:hAnsi="Times New Roman" w:cs="Times New Roman"/>
          <w:sz w:val="24"/>
          <w:szCs w:val="24"/>
          <w:lang w:val="en-US"/>
        </w:rPr>
        <w:t xml:space="preserve">, </w:t>
      </w:r>
      <w:proofErr w:type="spellStart"/>
      <w:r w:rsidR="00A23215" w:rsidRPr="003875F5">
        <w:rPr>
          <w:rFonts w:ascii="Times New Roman" w:hAnsi="Times New Roman" w:cs="Times New Roman"/>
          <w:sz w:val="24"/>
          <w:szCs w:val="24"/>
          <w:lang w:val="en-US"/>
        </w:rPr>
        <w:t>eq_siar</w:t>
      </w:r>
      <w:proofErr w:type="spellEnd"/>
      <w:r w:rsidR="00A23215" w:rsidRPr="003875F5">
        <w:rPr>
          <w:rFonts w:ascii="Times New Roman" w:hAnsi="Times New Roman" w:cs="Times New Roman"/>
          <w:sz w:val="24"/>
          <w:szCs w:val="24"/>
          <w:lang w:val="en-US"/>
        </w:rPr>
        <w:t xml:space="preserve">, </w:t>
      </w:r>
      <w:proofErr w:type="spellStart"/>
      <w:r w:rsidR="00A23215" w:rsidRPr="003875F5">
        <w:rPr>
          <w:rFonts w:ascii="Times New Roman" w:hAnsi="Times New Roman" w:cs="Times New Roman"/>
          <w:sz w:val="24"/>
          <w:szCs w:val="24"/>
          <w:lang w:val="en-US"/>
        </w:rPr>
        <w:t>bo_pabr</w:t>
      </w:r>
      <w:proofErr w:type="spellEnd"/>
      <w:r w:rsidR="00A23215" w:rsidRPr="003875F5">
        <w:rPr>
          <w:rFonts w:ascii="Times New Roman" w:hAnsi="Times New Roman" w:cs="Times New Roman"/>
          <w:sz w:val="24"/>
          <w:szCs w:val="24"/>
          <w:lang w:val="en-US"/>
        </w:rPr>
        <w:t xml:space="preserve">, </w:t>
      </w:r>
      <w:proofErr w:type="spellStart"/>
      <w:r w:rsidR="00A23215" w:rsidRPr="003875F5">
        <w:rPr>
          <w:rFonts w:ascii="Times New Roman" w:hAnsi="Times New Roman" w:cs="Times New Roman"/>
          <w:sz w:val="24"/>
          <w:szCs w:val="24"/>
          <w:lang w:val="en-US"/>
        </w:rPr>
        <w:t>mm_plbn</w:t>
      </w:r>
      <w:proofErr w:type="spellEnd"/>
      <w:r w:rsidR="00A23215" w:rsidRPr="003875F5">
        <w:rPr>
          <w:rFonts w:ascii="Times New Roman" w:hAnsi="Times New Roman" w:cs="Times New Roman"/>
          <w:sz w:val="24"/>
          <w:szCs w:val="24"/>
          <w:lang w:val="en-US"/>
        </w:rPr>
        <w:t xml:space="preserve">, </w:t>
      </w:r>
      <w:proofErr w:type="spellStart"/>
      <w:r w:rsidR="00A23215" w:rsidRPr="003875F5">
        <w:rPr>
          <w:rFonts w:ascii="Times New Roman" w:hAnsi="Times New Roman" w:cs="Times New Roman"/>
          <w:sz w:val="24"/>
          <w:szCs w:val="24"/>
          <w:lang w:val="en-US"/>
        </w:rPr>
        <w:t>mm_pabr</w:t>
      </w:r>
      <w:proofErr w:type="spellEnd"/>
      <w:r w:rsidR="00A23215" w:rsidRPr="003875F5">
        <w:rPr>
          <w:rFonts w:ascii="Times New Roman" w:hAnsi="Times New Roman" w:cs="Times New Roman"/>
          <w:sz w:val="24"/>
          <w:szCs w:val="24"/>
          <w:lang w:val="en-US"/>
        </w:rPr>
        <w:t xml:space="preserve">, </w:t>
      </w:r>
      <w:proofErr w:type="spellStart"/>
      <w:r w:rsidR="00A23215" w:rsidRPr="003875F5">
        <w:rPr>
          <w:rFonts w:ascii="Times New Roman" w:hAnsi="Times New Roman" w:cs="Times New Roman"/>
          <w:sz w:val="24"/>
          <w:szCs w:val="24"/>
          <w:lang w:val="en-US"/>
        </w:rPr>
        <w:t>ci_plbn</w:t>
      </w:r>
      <w:proofErr w:type="spellEnd"/>
      <w:r w:rsidR="00A23215" w:rsidRPr="003875F5">
        <w:rPr>
          <w:rFonts w:ascii="Times New Roman" w:hAnsi="Times New Roman" w:cs="Times New Roman"/>
          <w:sz w:val="24"/>
          <w:szCs w:val="24"/>
          <w:lang w:val="en-US"/>
        </w:rPr>
        <w:t xml:space="preserve">, </w:t>
      </w:r>
      <w:proofErr w:type="spellStart"/>
      <w:r w:rsidR="00A23215" w:rsidRPr="003875F5">
        <w:rPr>
          <w:rFonts w:ascii="Times New Roman" w:hAnsi="Times New Roman" w:cs="Times New Roman"/>
          <w:sz w:val="24"/>
          <w:szCs w:val="24"/>
          <w:lang w:val="en-US"/>
        </w:rPr>
        <w:t>ci_pabr</w:t>
      </w:r>
      <w:proofErr w:type="spellEnd"/>
      <w:r w:rsidR="00A23215" w:rsidRPr="003875F5">
        <w:rPr>
          <w:rFonts w:ascii="Times New Roman" w:hAnsi="Times New Roman" w:cs="Times New Roman"/>
          <w:sz w:val="24"/>
          <w:szCs w:val="24"/>
          <w:lang w:val="en-US"/>
        </w:rPr>
        <w:t xml:space="preserve">, </w:t>
      </w:r>
      <w:proofErr w:type="spellStart"/>
      <w:r w:rsidR="00A23215" w:rsidRPr="003875F5">
        <w:rPr>
          <w:rFonts w:ascii="Times New Roman" w:hAnsi="Times New Roman" w:cs="Times New Roman"/>
          <w:sz w:val="24"/>
          <w:szCs w:val="24"/>
          <w:lang w:val="en-US"/>
        </w:rPr>
        <w:t>fci</w:t>
      </w:r>
      <w:proofErr w:type="spellEnd"/>
      <w:r w:rsidR="00A23215" w:rsidRPr="003875F5">
        <w:rPr>
          <w:rFonts w:ascii="Times New Roman" w:hAnsi="Times New Roman" w:cs="Times New Roman"/>
          <w:sz w:val="24"/>
          <w:szCs w:val="24"/>
          <w:lang w:val="en-US"/>
        </w:rPr>
        <w:t xml:space="preserve">, </w:t>
      </w:r>
      <w:proofErr w:type="spellStart"/>
      <w:r w:rsidR="00A23215" w:rsidRPr="003875F5">
        <w:rPr>
          <w:rFonts w:ascii="Times New Roman" w:hAnsi="Times New Roman" w:cs="Times New Roman"/>
          <w:sz w:val="24"/>
          <w:szCs w:val="24"/>
          <w:lang w:val="en-US"/>
        </w:rPr>
        <w:t>fco</w:t>
      </w:r>
      <w:proofErr w:type="spellEnd"/>
      <w:r w:rsidR="00A23215" w:rsidRPr="003875F5">
        <w:rPr>
          <w:rFonts w:ascii="Times New Roman" w:hAnsi="Times New Roman" w:cs="Times New Roman"/>
          <w:sz w:val="24"/>
          <w:szCs w:val="24"/>
          <w:lang w:val="en-US"/>
        </w:rPr>
        <w:t xml:space="preserve"> and </w:t>
      </w:r>
      <w:proofErr w:type="spellStart"/>
      <w:r w:rsidR="00A23215" w:rsidRPr="003875F5">
        <w:rPr>
          <w:rFonts w:ascii="Times New Roman" w:hAnsi="Times New Roman" w:cs="Times New Roman"/>
          <w:sz w:val="24"/>
          <w:szCs w:val="24"/>
          <w:lang w:val="en-US"/>
        </w:rPr>
        <w:t>ldi</w:t>
      </w:r>
      <w:proofErr w:type="spellEnd"/>
      <w:r w:rsidR="00A23215"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a change in regime occurred in Nov 2008 but we coded the change as effective 2009. </w:t>
      </w:r>
    </w:p>
    <w:p w:rsidR="00152960" w:rsidRPr="003875F5" w:rsidRDefault="00152960"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bo_siar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mm_siar</w:t>
      </w:r>
      <w:proofErr w:type="spellEnd"/>
      <w:r w:rsidRPr="003875F5">
        <w:rPr>
          <w:rFonts w:ascii="Times New Roman" w:hAnsi="Times New Roman" w:cs="Times New Roman"/>
          <w:sz w:val="24"/>
          <w:szCs w:val="24"/>
          <w:lang w:val="en-US"/>
        </w:rPr>
        <w:t xml:space="preserve"> starting in 2010 there is an allusion to the requirement for residents to repatriate the income from a sale in foreign markets. This to us is a control as per the set of criteria described above.</w:t>
      </w:r>
    </w:p>
    <w:p w:rsidR="00E91E70" w:rsidRPr="003875F5" w:rsidRDefault="00E91E70" w:rsidP="00E91E7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2006-2007: “</w:t>
      </w:r>
      <w:r w:rsidRPr="003875F5">
        <w:rPr>
          <w:rFonts w:ascii="Times New Roman" w:hAnsi="Times New Roman" w:cs="Times New Roman"/>
          <w:i/>
          <w:sz w:val="24"/>
          <w:szCs w:val="24"/>
          <w:lang w:val="en-US"/>
        </w:rPr>
        <w:t>The purchase of shares or other equity capital may be affected by laws on foreign investment in Iceland</w:t>
      </w:r>
      <w:r w:rsidRPr="003875F5">
        <w:rPr>
          <w:rFonts w:ascii="Times New Roman" w:hAnsi="Times New Roman" w:cs="Times New Roman"/>
          <w:sz w:val="24"/>
          <w:szCs w:val="24"/>
          <w:lang w:val="en-US"/>
        </w:rPr>
        <w:t>.” Pursuant rule 13 this is not a control.</w:t>
      </w:r>
    </w:p>
    <w:p w:rsidR="00805915" w:rsidRPr="003875F5" w:rsidRDefault="00805915" w:rsidP="0063019C">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bo_siar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mm_siar</w:t>
      </w:r>
      <w:proofErr w:type="spellEnd"/>
      <w:r w:rsidRPr="003875F5">
        <w:rPr>
          <w:rFonts w:ascii="Times New Roman" w:hAnsi="Times New Roman" w:cs="Times New Roman"/>
          <w:sz w:val="24"/>
          <w:szCs w:val="24"/>
          <w:lang w:val="en-US"/>
        </w:rPr>
        <w:t xml:space="preserve"> 2009 (Please note that this narrative is present in th</w:t>
      </w:r>
      <w:r w:rsidR="0063019C" w:rsidRPr="003875F5">
        <w:rPr>
          <w:rFonts w:ascii="Times New Roman" w:hAnsi="Times New Roman" w:cs="Times New Roman"/>
          <w:sz w:val="24"/>
          <w:szCs w:val="24"/>
          <w:lang w:val="en-US"/>
        </w:rPr>
        <w:t xml:space="preserve">e 2009 </w:t>
      </w:r>
      <w:proofErr w:type="spellStart"/>
      <w:r w:rsidR="0063019C" w:rsidRPr="003875F5">
        <w:rPr>
          <w:rFonts w:ascii="Times New Roman" w:hAnsi="Times New Roman" w:cs="Times New Roman"/>
          <w:sz w:val="24"/>
          <w:szCs w:val="24"/>
          <w:lang w:val="en-US"/>
        </w:rPr>
        <w:t>pdf</w:t>
      </w:r>
      <w:proofErr w:type="spellEnd"/>
      <w:r w:rsidRPr="003875F5">
        <w:rPr>
          <w:rFonts w:ascii="Times New Roman" w:hAnsi="Times New Roman" w:cs="Times New Roman"/>
          <w:sz w:val="24"/>
          <w:szCs w:val="24"/>
          <w:lang w:val="en-US"/>
        </w:rPr>
        <w:t>): “</w:t>
      </w:r>
      <w:r w:rsidR="0063019C" w:rsidRPr="003875F5">
        <w:rPr>
          <w:rFonts w:ascii="Times New Roman" w:hAnsi="Times New Roman" w:cs="Times New Roman"/>
          <w:i/>
          <w:sz w:val="24"/>
          <w:szCs w:val="24"/>
          <w:lang w:val="en-US"/>
        </w:rPr>
        <w:t xml:space="preserve">Effective November 28, 2008, the issuance and sale of securities denominated in foreign currency are prohibited if the settlement takes place in Icelandic </w:t>
      </w:r>
      <w:proofErr w:type="spellStart"/>
      <w:r w:rsidR="0063019C" w:rsidRPr="003875F5">
        <w:rPr>
          <w:rFonts w:ascii="Times New Roman" w:hAnsi="Times New Roman" w:cs="Times New Roman"/>
          <w:i/>
          <w:sz w:val="24"/>
          <w:szCs w:val="24"/>
          <w:lang w:val="en-US"/>
        </w:rPr>
        <w:t>krónur</w:t>
      </w:r>
      <w:proofErr w:type="spellEnd"/>
      <w:r w:rsidR="0063019C" w:rsidRPr="003875F5">
        <w:rPr>
          <w:rFonts w:ascii="Times New Roman" w:hAnsi="Times New Roman" w:cs="Times New Roman"/>
          <w:i/>
          <w:sz w:val="24"/>
          <w:szCs w:val="24"/>
          <w:lang w:val="en-US"/>
        </w:rPr>
        <w:t xml:space="preserve">. If the issuance is denominated in Icelandic </w:t>
      </w:r>
      <w:proofErr w:type="spellStart"/>
      <w:r w:rsidR="0063019C" w:rsidRPr="003875F5">
        <w:rPr>
          <w:rFonts w:ascii="Times New Roman" w:hAnsi="Times New Roman" w:cs="Times New Roman"/>
          <w:i/>
          <w:sz w:val="24"/>
          <w:szCs w:val="24"/>
          <w:lang w:val="en-US"/>
        </w:rPr>
        <w:t>krónur</w:t>
      </w:r>
      <w:proofErr w:type="spellEnd"/>
      <w:r w:rsidR="0063019C" w:rsidRPr="003875F5">
        <w:rPr>
          <w:rFonts w:ascii="Times New Roman" w:hAnsi="Times New Roman" w:cs="Times New Roman"/>
          <w:i/>
          <w:sz w:val="24"/>
          <w:szCs w:val="24"/>
          <w:lang w:val="en-US"/>
        </w:rPr>
        <w:t xml:space="preserve">, the proceeds from the sale must be deposited to a </w:t>
      </w:r>
      <w:proofErr w:type="spellStart"/>
      <w:r w:rsidR="0063019C" w:rsidRPr="003875F5">
        <w:rPr>
          <w:rFonts w:ascii="Times New Roman" w:hAnsi="Times New Roman" w:cs="Times New Roman"/>
          <w:i/>
          <w:sz w:val="24"/>
          <w:szCs w:val="24"/>
          <w:lang w:val="en-US"/>
        </w:rPr>
        <w:t>króna</w:t>
      </w:r>
      <w:proofErr w:type="spellEnd"/>
      <w:r w:rsidR="0063019C" w:rsidRPr="003875F5">
        <w:rPr>
          <w:rFonts w:ascii="Times New Roman" w:hAnsi="Times New Roman" w:cs="Times New Roman"/>
          <w:i/>
          <w:sz w:val="24"/>
          <w:szCs w:val="24"/>
          <w:lang w:val="en-US"/>
        </w:rPr>
        <w:t xml:space="preserve">-denominated account, in the issuer’s name, with an AD in Iceland. </w:t>
      </w:r>
      <w:proofErr w:type="spellStart"/>
      <w:r w:rsidR="0063019C" w:rsidRPr="003875F5">
        <w:rPr>
          <w:rFonts w:ascii="Times New Roman" w:hAnsi="Times New Roman" w:cs="Times New Roman"/>
          <w:i/>
          <w:sz w:val="24"/>
          <w:szCs w:val="24"/>
          <w:lang w:val="en-US"/>
        </w:rPr>
        <w:t>Króna</w:t>
      </w:r>
      <w:proofErr w:type="spellEnd"/>
      <w:r w:rsidR="0063019C" w:rsidRPr="003875F5">
        <w:rPr>
          <w:rFonts w:ascii="Times New Roman" w:hAnsi="Times New Roman" w:cs="Times New Roman"/>
          <w:i/>
          <w:sz w:val="24"/>
          <w:szCs w:val="24"/>
          <w:lang w:val="en-US"/>
        </w:rPr>
        <w:t xml:space="preserve"> denominated financial instruments may not be settled in foreign currency, and the proceeds must be deposited to the nonresident’s account with an Icelandic AD. However, residents may issue foreign-currency-denominated securities abroad</w:t>
      </w:r>
      <w:r w:rsidR="0063019C"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w:t>
      </w:r>
      <w:r w:rsidR="0063019C" w:rsidRPr="003875F5">
        <w:rPr>
          <w:rFonts w:ascii="Times New Roman" w:hAnsi="Times New Roman" w:cs="Times New Roman"/>
          <w:sz w:val="24"/>
          <w:szCs w:val="24"/>
          <w:lang w:val="en-US"/>
        </w:rPr>
        <w:t xml:space="preserve"> In these two subcategories 2009 </w:t>
      </w:r>
      <w:r w:rsidR="00A24207" w:rsidRPr="003875F5">
        <w:rPr>
          <w:rFonts w:ascii="Times New Roman" w:hAnsi="Times New Roman" w:cs="Times New Roman"/>
          <w:sz w:val="24"/>
          <w:szCs w:val="24"/>
          <w:lang w:val="en-US"/>
        </w:rPr>
        <w:t>are coded as controls</w:t>
      </w:r>
      <w:r w:rsidR="0063019C" w:rsidRPr="003875F5">
        <w:rPr>
          <w:rFonts w:ascii="Times New Roman" w:hAnsi="Times New Roman" w:cs="Times New Roman"/>
          <w:sz w:val="24"/>
          <w:szCs w:val="24"/>
          <w:lang w:val="en-US"/>
        </w:rPr>
        <w:t>.</w:t>
      </w:r>
    </w:p>
    <w:p w:rsidR="0063019C" w:rsidRPr="003875F5" w:rsidRDefault="0063019C" w:rsidP="0063019C">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ci_plbn</w:t>
      </w:r>
      <w:proofErr w:type="spellEnd"/>
      <w:r w:rsidRPr="003875F5">
        <w:rPr>
          <w:rFonts w:ascii="Times New Roman" w:hAnsi="Times New Roman" w:cs="Times New Roman"/>
          <w:sz w:val="24"/>
          <w:szCs w:val="24"/>
          <w:lang w:val="en-US"/>
        </w:rPr>
        <w:t xml:space="preserve"> 2009: “</w:t>
      </w:r>
      <w:r w:rsidRPr="003875F5">
        <w:rPr>
          <w:rFonts w:ascii="Times New Roman" w:hAnsi="Times New Roman" w:cs="Times New Roman"/>
          <w:i/>
          <w:sz w:val="24"/>
          <w:szCs w:val="24"/>
          <w:lang w:val="en-US"/>
        </w:rPr>
        <w:t>Effective November 28, 2008, the purchase of unit share certificates in UCITS and investment funds for foreign currency is not permitted except for reinvestment of investments made prior to that date. The proceeds must be reinvested in the same type of instrument within two weeks.</w:t>
      </w:r>
      <w:r w:rsidRPr="003875F5">
        <w:rPr>
          <w:rFonts w:ascii="Times New Roman" w:hAnsi="Times New Roman" w:cs="Times New Roman"/>
          <w:sz w:val="24"/>
          <w:szCs w:val="24"/>
          <w:lang w:val="en-US"/>
        </w:rPr>
        <w:t>”</w:t>
      </w:r>
      <w:r w:rsidR="002752DD" w:rsidRPr="003875F5">
        <w:rPr>
          <w:rFonts w:ascii="Times New Roman" w:hAnsi="Times New Roman" w:cs="Times New Roman"/>
          <w:sz w:val="24"/>
          <w:szCs w:val="24"/>
          <w:lang w:val="en-US"/>
        </w:rPr>
        <w:t xml:space="preserve"> </w:t>
      </w:r>
      <w:r w:rsidR="00893025" w:rsidRPr="003875F5">
        <w:rPr>
          <w:rFonts w:ascii="Times New Roman" w:hAnsi="Times New Roman" w:cs="Times New Roman"/>
          <w:sz w:val="24"/>
          <w:szCs w:val="24"/>
          <w:lang w:val="en-US"/>
        </w:rPr>
        <w:t>We deem that this must be considered as a control for 2009.</w:t>
      </w:r>
    </w:p>
    <w:p w:rsidR="002752DD" w:rsidRPr="003875F5" w:rsidRDefault="002752DD" w:rsidP="002752D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ci_siar</w:t>
      </w:r>
      <w:proofErr w:type="spellEnd"/>
      <w:r w:rsidRPr="003875F5">
        <w:rPr>
          <w:rFonts w:ascii="Times New Roman" w:hAnsi="Times New Roman" w:cs="Times New Roman"/>
          <w:sz w:val="24"/>
          <w:szCs w:val="24"/>
          <w:lang w:val="en-US"/>
        </w:rPr>
        <w:t xml:space="preserve"> 2009: “</w:t>
      </w:r>
      <w:r w:rsidRPr="003875F5">
        <w:rPr>
          <w:rFonts w:ascii="Times New Roman" w:hAnsi="Times New Roman" w:cs="Times New Roman"/>
          <w:i/>
          <w:sz w:val="24"/>
          <w:szCs w:val="24"/>
          <w:lang w:val="en-US"/>
        </w:rPr>
        <w:t xml:space="preserve">Effective November 28, 2008, the issuance and sale of unit share certificates in UCITS and investment funds denominated in foreign currency are prohibited if the settlement takes place in Icelandic </w:t>
      </w:r>
      <w:proofErr w:type="spellStart"/>
      <w:r w:rsidRPr="003875F5">
        <w:rPr>
          <w:rFonts w:ascii="Times New Roman" w:hAnsi="Times New Roman" w:cs="Times New Roman"/>
          <w:i/>
          <w:sz w:val="24"/>
          <w:szCs w:val="24"/>
          <w:lang w:val="en-US"/>
        </w:rPr>
        <w:t>krónur</w:t>
      </w:r>
      <w:proofErr w:type="spellEnd"/>
      <w:r w:rsidRPr="003875F5">
        <w:rPr>
          <w:rFonts w:ascii="Times New Roman" w:hAnsi="Times New Roman" w:cs="Times New Roman"/>
          <w:i/>
          <w:sz w:val="24"/>
          <w:szCs w:val="24"/>
          <w:lang w:val="en-US"/>
        </w:rPr>
        <w:t xml:space="preserve">. If the issuance is denominated in Icelandic </w:t>
      </w:r>
      <w:proofErr w:type="spellStart"/>
      <w:r w:rsidRPr="003875F5">
        <w:rPr>
          <w:rFonts w:ascii="Times New Roman" w:hAnsi="Times New Roman" w:cs="Times New Roman"/>
          <w:i/>
          <w:sz w:val="24"/>
          <w:szCs w:val="24"/>
          <w:lang w:val="en-US"/>
        </w:rPr>
        <w:t>krónur</w:t>
      </w:r>
      <w:proofErr w:type="spellEnd"/>
      <w:r w:rsidRPr="003875F5">
        <w:rPr>
          <w:rFonts w:ascii="Times New Roman" w:hAnsi="Times New Roman" w:cs="Times New Roman"/>
          <w:i/>
          <w:sz w:val="24"/>
          <w:szCs w:val="24"/>
          <w:lang w:val="en-US"/>
        </w:rPr>
        <w:t xml:space="preserve">, the proceeds from the sale must be deposited to a </w:t>
      </w:r>
      <w:proofErr w:type="spellStart"/>
      <w:r w:rsidRPr="003875F5">
        <w:rPr>
          <w:rFonts w:ascii="Times New Roman" w:hAnsi="Times New Roman" w:cs="Times New Roman"/>
          <w:i/>
          <w:sz w:val="24"/>
          <w:szCs w:val="24"/>
          <w:lang w:val="en-US"/>
        </w:rPr>
        <w:t>króna</w:t>
      </w:r>
      <w:proofErr w:type="spellEnd"/>
      <w:r w:rsidRPr="003875F5">
        <w:rPr>
          <w:rFonts w:ascii="Times New Roman" w:hAnsi="Times New Roman" w:cs="Times New Roman"/>
          <w:i/>
          <w:sz w:val="24"/>
          <w:szCs w:val="24"/>
          <w:lang w:val="en-US"/>
        </w:rPr>
        <w:t xml:space="preserve">-denominated account, in the issuer’s name, with an AD in </w:t>
      </w:r>
      <w:r w:rsidRPr="003875F5">
        <w:rPr>
          <w:rFonts w:ascii="Times New Roman" w:hAnsi="Times New Roman" w:cs="Times New Roman"/>
          <w:i/>
          <w:sz w:val="24"/>
          <w:szCs w:val="24"/>
          <w:lang w:val="en-US"/>
        </w:rPr>
        <w:lastRenderedPageBreak/>
        <w:t xml:space="preserve">Iceland. </w:t>
      </w:r>
      <w:proofErr w:type="spellStart"/>
      <w:r w:rsidRPr="003875F5">
        <w:rPr>
          <w:rFonts w:ascii="Times New Roman" w:hAnsi="Times New Roman" w:cs="Times New Roman"/>
          <w:i/>
          <w:sz w:val="24"/>
          <w:szCs w:val="24"/>
          <w:lang w:val="en-US"/>
        </w:rPr>
        <w:t>Króna</w:t>
      </w:r>
      <w:proofErr w:type="spellEnd"/>
      <w:r w:rsidRPr="003875F5">
        <w:rPr>
          <w:rFonts w:ascii="Times New Roman" w:hAnsi="Times New Roman" w:cs="Times New Roman"/>
          <w:i/>
          <w:sz w:val="24"/>
          <w:szCs w:val="24"/>
          <w:lang w:val="en-US"/>
        </w:rPr>
        <w:t>-denominated financial instruments may not be settled in foreign currency, and the proceeds must be deposited to the nonresident’s account with an Icelandic AD. However, residents may issue foreign-currency-denominated unit share certificates in UCITS and investment funds abroad</w:t>
      </w:r>
      <w:r w:rsidRPr="003875F5">
        <w:rPr>
          <w:rFonts w:ascii="Times New Roman" w:hAnsi="Times New Roman" w:cs="Times New Roman"/>
          <w:sz w:val="24"/>
          <w:szCs w:val="24"/>
          <w:lang w:val="en-US"/>
        </w:rPr>
        <w:t xml:space="preserve">.” </w:t>
      </w:r>
      <w:r w:rsidR="00893025" w:rsidRPr="003875F5">
        <w:rPr>
          <w:rFonts w:ascii="Times New Roman" w:hAnsi="Times New Roman" w:cs="Times New Roman"/>
          <w:sz w:val="24"/>
          <w:szCs w:val="24"/>
          <w:lang w:val="en-US"/>
        </w:rPr>
        <w:t>This is also considered to be a control for 2009.</w:t>
      </w:r>
    </w:p>
    <w:p w:rsidR="00DE2521" w:rsidRPr="003875F5" w:rsidRDefault="00465F55" w:rsidP="00465F55">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de_siln</w:t>
      </w:r>
      <w:proofErr w:type="spellEnd"/>
      <w:r w:rsidRPr="003875F5">
        <w:rPr>
          <w:rFonts w:ascii="Times New Roman" w:hAnsi="Times New Roman" w:cs="Times New Roman"/>
          <w:sz w:val="24"/>
          <w:szCs w:val="24"/>
          <w:lang w:val="en-US"/>
        </w:rPr>
        <w:t xml:space="preserve"> 1996-2003, 2005</w:t>
      </w:r>
      <w:r w:rsidR="00A24207" w:rsidRPr="003875F5">
        <w:rPr>
          <w:rFonts w:ascii="Times New Roman" w:hAnsi="Times New Roman" w:cs="Times New Roman"/>
          <w:sz w:val="24"/>
          <w:szCs w:val="24"/>
          <w:lang w:val="en-US"/>
        </w:rPr>
        <w:t>-2008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Foreign governments and other authorities are prohibited from issuing debt instruments in Iceland unless permitted by the CBI</w:t>
      </w:r>
      <w:r w:rsidRPr="003875F5">
        <w:rPr>
          <w:rFonts w:ascii="Times New Roman" w:hAnsi="Times New Roman" w:cs="Times New Roman"/>
          <w:sz w:val="24"/>
          <w:szCs w:val="24"/>
          <w:lang w:val="en-US"/>
        </w:rPr>
        <w:t xml:space="preserve">.” </w:t>
      </w:r>
      <w:r w:rsidR="00DE2521" w:rsidRPr="003875F5">
        <w:rPr>
          <w:rFonts w:ascii="Times New Roman" w:hAnsi="Times New Roman" w:cs="Times New Roman"/>
          <w:sz w:val="24"/>
          <w:szCs w:val="24"/>
          <w:lang w:val="en-US"/>
        </w:rPr>
        <w:t>This is a control, pursuant rule 5.</w:t>
      </w:r>
    </w:p>
    <w:p w:rsidR="00465F55" w:rsidRPr="003875F5" w:rsidRDefault="00DE2521" w:rsidP="00DE252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(all subcategories): “</w:t>
      </w:r>
      <w:r w:rsidRPr="003875F5">
        <w:rPr>
          <w:rFonts w:ascii="Times New Roman" w:hAnsi="Times New Roman" w:cs="Times New Roman"/>
          <w:i/>
          <w:sz w:val="24"/>
          <w:szCs w:val="24"/>
          <w:lang w:val="en-US"/>
        </w:rPr>
        <w:t xml:space="preserve">Derivatives contracts involving the Icelandic </w:t>
      </w:r>
      <w:proofErr w:type="spellStart"/>
      <w:r w:rsidRPr="003875F5">
        <w:rPr>
          <w:rFonts w:ascii="Times New Roman" w:hAnsi="Times New Roman" w:cs="Times New Roman"/>
          <w:i/>
          <w:sz w:val="24"/>
          <w:szCs w:val="24"/>
          <w:lang w:val="en-US"/>
        </w:rPr>
        <w:t>króna</w:t>
      </w:r>
      <w:proofErr w:type="spellEnd"/>
      <w:r w:rsidRPr="003875F5">
        <w:rPr>
          <w:rFonts w:ascii="Times New Roman" w:hAnsi="Times New Roman" w:cs="Times New Roman"/>
          <w:i/>
          <w:sz w:val="24"/>
          <w:szCs w:val="24"/>
          <w:lang w:val="en-US"/>
        </w:rPr>
        <w:t xml:space="preserve"> against a foreign currency are subject to CBI permission except for derivatives transactions related solely to trade with goods and services.</w:t>
      </w:r>
      <w:r w:rsidRPr="003875F5">
        <w:rPr>
          <w:rFonts w:ascii="Times New Roman" w:hAnsi="Times New Roman" w:cs="Times New Roman"/>
          <w:sz w:val="24"/>
          <w:szCs w:val="24"/>
          <w:lang w:val="en-US"/>
        </w:rPr>
        <w:t>” This is considered to be a control, pursuant rule 5.</w:t>
      </w:r>
    </w:p>
    <w:p w:rsidR="00152960" w:rsidRPr="003875F5" w:rsidRDefault="00C81B75" w:rsidP="00B252C6">
      <w:pPr>
        <w:pStyle w:val="Estilo2"/>
      </w:pPr>
      <w:bookmarkStart w:id="38" w:name="_Toc402472337"/>
      <w:r w:rsidRPr="003875F5">
        <w:t>India</w:t>
      </w:r>
      <w:bookmarkEnd w:id="38"/>
    </w:p>
    <w:p w:rsidR="00C81B75" w:rsidRPr="003875F5" w:rsidRDefault="00C81B75"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ci_plbn</w:t>
      </w:r>
      <w:proofErr w:type="spellEnd"/>
      <w:r w:rsidRPr="003875F5">
        <w:rPr>
          <w:rFonts w:ascii="Times New Roman" w:hAnsi="Times New Roman" w:cs="Times New Roman"/>
          <w:sz w:val="24"/>
          <w:szCs w:val="24"/>
          <w:lang w:val="en-US"/>
        </w:rPr>
        <w:t xml:space="preserve"> in 2011 we decided to put a control because of the allusion to foreign investors needing to invest in MF that hold at least 25% of their assets in the infrastructure sector. We think that this is a quantity limit, hence a control.</w:t>
      </w:r>
    </w:p>
    <w:p w:rsidR="00242564" w:rsidRPr="003875F5" w:rsidRDefault="001A1406"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ci_plbn</w:t>
      </w:r>
      <w:proofErr w:type="spellEnd"/>
      <w:r w:rsidRPr="003875F5">
        <w:rPr>
          <w:rFonts w:ascii="Times New Roman" w:hAnsi="Times New Roman" w:cs="Times New Roman"/>
          <w:sz w:val="24"/>
          <w:szCs w:val="24"/>
          <w:lang w:val="en-US"/>
        </w:rPr>
        <w:t xml:space="preserve"> in 2012, the narrative only contains the first sentence of the one that preceded it. Thus, there is no explicit allusion to the quantitative limit in (i).</w:t>
      </w:r>
    </w:p>
    <w:p w:rsidR="001A1406" w:rsidRPr="003875F5" w:rsidRDefault="001A1406"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Please note that </w:t>
      </w:r>
      <w:proofErr w:type="spellStart"/>
      <w:r w:rsidRPr="003875F5">
        <w:rPr>
          <w:rFonts w:ascii="Times New Roman" w:hAnsi="Times New Roman" w:cs="Times New Roman"/>
          <w:sz w:val="24"/>
          <w:szCs w:val="24"/>
          <w:lang w:val="en-US"/>
        </w:rPr>
        <w:t>bo_siln</w:t>
      </w:r>
      <w:proofErr w:type="spellEnd"/>
      <w:r w:rsidRPr="003875F5">
        <w:rPr>
          <w:rFonts w:ascii="Times New Roman" w:hAnsi="Times New Roman" w:cs="Times New Roman"/>
          <w:sz w:val="24"/>
          <w:szCs w:val="24"/>
          <w:lang w:val="en-US"/>
        </w:rPr>
        <w:t xml:space="preserve"> is coded as </w:t>
      </w:r>
      <w:proofErr w:type="spellStart"/>
      <w:r w:rsidRPr="003875F5">
        <w:rPr>
          <w:rFonts w:ascii="Times New Roman" w:hAnsi="Times New Roman" w:cs="Times New Roman"/>
          <w:sz w:val="24"/>
          <w:szCs w:val="24"/>
          <w:lang w:val="en-US"/>
        </w:rPr>
        <w:t>d.n.e</w:t>
      </w:r>
      <w:proofErr w:type="spellEnd"/>
      <w:r w:rsidR="0004191A" w:rsidRPr="003875F5">
        <w:rPr>
          <w:rFonts w:ascii="Times New Roman" w:hAnsi="Times New Roman" w:cs="Times New Roman"/>
          <w:sz w:val="24"/>
          <w:szCs w:val="24"/>
          <w:lang w:val="en-US"/>
        </w:rPr>
        <w:t xml:space="preserve"> in 2012.</w:t>
      </w:r>
    </w:p>
    <w:p w:rsidR="00152960" w:rsidRPr="003875F5" w:rsidRDefault="00C81B75" w:rsidP="00B252C6">
      <w:pPr>
        <w:pStyle w:val="Estilo2"/>
      </w:pPr>
      <w:bookmarkStart w:id="39" w:name="_Toc402472338"/>
      <w:r w:rsidRPr="003875F5">
        <w:t>Indonesia</w:t>
      </w:r>
      <w:bookmarkEnd w:id="39"/>
    </w:p>
    <w:p w:rsidR="00C81B75" w:rsidRPr="003875F5" w:rsidRDefault="00C81B75"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bo_plbn</w:t>
      </w:r>
      <w:proofErr w:type="spellEnd"/>
      <w:r w:rsidRPr="003875F5">
        <w:rPr>
          <w:rFonts w:ascii="Times New Roman" w:hAnsi="Times New Roman" w:cs="Times New Roman"/>
          <w:sz w:val="24"/>
          <w:szCs w:val="24"/>
          <w:lang w:val="en-US"/>
        </w:rPr>
        <w:t xml:space="preserve"> we decided for 1 starting in 2007 because of the allusion to restrictions in the primary market, even though there were no restrictions in the secondary market, and because it treated residents and nonresidents differently. For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we set a 0 for 2008 based on the change in the narrative of that year only.</w:t>
      </w:r>
    </w:p>
    <w:p w:rsidR="00C81B75" w:rsidRPr="003875F5" w:rsidRDefault="00C81B75"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in al</w:t>
      </w:r>
      <w:r w:rsidR="00E21E80">
        <w:rPr>
          <w:rFonts w:ascii="Times New Roman" w:hAnsi="Times New Roman" w:cs="Times New Roman"/>
          <w:sz w:val="24"/>
          <w:szCs w:val="24"/>
          <w:lang w:val="en-US"/>
        </w:rPr>
        <w:t>l years of the update (2006-2013</w:t>
      </w:r>
      <w:r w:rsidRPr="003875F5">
        <w:rPr>
          <w:rFonts w:ascii="Times New Roman" w:hAnsi="Times New Roman" w:cs="Times New Roman"/>
          <w:sz w:val="24"/>
          <w:szCs w:val="24"/>
          <w:lang w:val="en-US"/>
        </w:rPr>
        <w:t>) we decided to keep it as no controls given that Schindler had coded like that and the narrative does not change. More profoundly, we think the restriction of limiting ownership restricts only to a specific type of company (one that is joint securities that are also finance) so we take it as a no control.</w:t>
      </w:r>
    </w:p>
    <w:p w:rsidR="005C795C" w:rsidRPr="003875F5" w:rsidRDefault="00893025" w:rsidP="005C795C">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w:t>
      </w:r>
      <w:r w:rsidR="0078193F" w:rsidRPr="003875F5">
        <w:rPr>
          <w:rFonts w:ascii="Times New Roman" w:hAnsi="Times New Roman" w:cs="Times New Roman"/>
          <w:sz w:val="24"/>
          <w:szCs w:val="24"/>
          <w:lang w:val="en-US"/>
        </w:rPr>
        <w:t xml:space="preserve">n </w:t>
      </w:r>
      <w:proofErr w:type="spellStart"/>
      <w:r w:rsidR="0078193F" w:rsidRPr="003875F5">
        <w:rPr>
          <w:rFonts w:ascii="Times New Roman" w:hAnsi="Times New Roman" w:cs="Times New Roman"/>
          <w:sz w:val="24"/>
          <w:szCs w:val="24"/>
          <w:lang w:val="en-US"/>
        </w:rPr>
        <w:t>mm_siln</w:t>
      </w:r>
      <w:proofErr w:type="spellEnd"/>
      <w:r w:rsidR="005C795C" w:rsidRPr="003875F5">
        <w:rPr>
          <w:rFonts w:ascii="Times New Roman" w:hAnsi="Times New Roman" w:cs="Times New Roman"/>
          <w:sz w:val="24"/>
          <w:szCs w:val="24"/>
          <w:lang w:val="en-US"/>
        </w:rPr>
        <w:t xml:space="preserve"> 200</w:t>
      </w:r>
      <w:r w:rsidR="00B8478B" w:rsidRPr="003875F5">
        <w:rPr>
          <w:rFonts w:ascii="Times New Roman" w:hAnsi="Times New Roman" w:cs="Times New Roman"/>
          <w:sz w:val="24"/>
          <w:szCs w:val="24"/>
          <w:lang w:val="en-US"/>
        </w:rPr>
        <w:t>0</w:t>
      </w:r>
      <w:r w:rsidR="0078193F" w:rsidRPr="003875F5">
        <w:rPr>
          <w:rFonts w:ascii="Times New Roman" w:hAnsi="Times New Roman" w:cs="Times New Roman"/>
          <w:sz w:val="24"/>
          <w:szCs w:val="24"/>
          <w:lang w:val="en-US"/>
        </w:rPr>
        <w:t>-2006</w:t>
      </w:r>
      <w:r w:rsidRPr="003875F5">
        <w:rPr>
          <w:rFonts w:ascii="Times New Roman" w:hAnsi="Times New Roman" w:cs="Times New Roman"/>
          <w:sz w:val="24"/>
          <w:szCs w:val="24"/>
          <w:lang w:val="en-US"/>
        </w:rPr>
        <w:t>:</w:t>
      </w:r>
      <w:r w:rsidR="005C795C" w:rsidRPr="003875F5">
        <w:rPr>
          <w:rFonts w:ascii="Times New Roman" w:hAnsi="Times New Roman" w:cs="Times New Roman"/>
          <w:sz w:val="24"/>
          <w:szCs w:val="24"/>
          <w:lang w:val="en-US"/>
        </w:rPr>
        <w:t xml:space="preserve"> “</w:t>
      </w:r>
      <w:r w:rsidR="005C795C" w:rsidRPr="003875F5">
        <w:rPr>
          <w:rFonts w:ascii="Times New Roman" w:hAnsi="Times New Roman" w:cs="Times New Roman"/>
          <w:i/>
          <w:sz w:val="24"/>
          <w:szCs w:val="24"/>
          <w:lang w:val="en-US"/>
        </w:rPr>
        <w:t>The regulations governing bonds or other debt securities apply</w:t>
      </w:r>
      <w:r w:rsidR="005C795C" w:rsidRPr="003875F5">
        <w:rPr>
          <w:rFonts w:ascii="Times New Roman" w:hAnsi="Times New Roman" w:cs="Times New Roman"/>
          <w:sz w:val="24"/>
          <w:szCs w:val="24"/>
          <w:lang w:val="en-US"/>
        </w:rPr>
        <w:t>.” In this ca</w:t>
      </w:r>
      <w:r w:rsidR="0078193F" w:rsidRPr="003875F5">
        <w:rPr>
          <w:rFonts w:ascii="Times New Roman" w:hAnsi="Times New Roman" w:cs="Times New Roman"/>
          <w:sz w:val="24"/>
          <w:szCs w:val="24"/>
          <w:lang w:val="en-US"/>
        </w:rPr>
        <w:t xml:space="preserve">se, </w:t>
      </w:r>
      <w:proofErr w:type="spellStart"/>
      <w:r w:rsidR="0078193F" w:rsidRPr="003875F5">
        <w:rPr>
          <w:rFonts w:ascii="Times New Roman" w:hAnsi="Times New Roman" w:cs="Times New Roman"/>
          <w:sz w:val="24"/>
          <w:szCs w:val="24"/>
          <w:lang w:val="en-US"/>
        </w:rPr>
        <w:t>bo_siln</w:t>
      </w:r>
      <w:proofErr w:type="spellEnd"/>
      <w:r w:rsidR="005C795C" w:rsidRPr="003875F5">
        <w:rPr>
          <w:rFonts w:ascii="Times New Roman" w:hAnsi="Times New Roman" w:cs="Times New Roman"/>
          <w:sz w:val="24"/>
          <w:szCs w:val="24"/>
          <w:lang w:val="en-US"/>
        </w:rPr>
        <w:t xml:space="preserve"> 2005 has a</w:t>
      </w:r>
      <w:r w:rsidR="00252909" w:rsidRPr="003875F5">
        <w:rPr>
          <w:rFonts w:ascii="Times New Roman" w:hAnsi="Times New Roman" w:cs="Times New Roman"/>
          <w:sz w:val="24"/>
          <w:szCs w:val="24"/>
          <w:lang w:val="en-US"/>
        </w:rPr>
        <w:t>n</w:t>
      </w:r>
      <w:r w:rsidR="005C795C" w:rsidRPr="003875F5">
        <w:rPr>
          <w:rFonts w:ascii="Times New Roman" w:hAnsi="Times New Roman" w:cs="Times New Roman"/>
          <w:sz w:val="24"/>
          <w:szCs w:val="24"/>
          <w:lang w:val="en-US"/>
        </w:rPr>
        <w:t xml:space="preserve"> “</w:t>
      </w:r>
      <w:proofErr w:type="spellStart"/>
      <w:r w:rsidR="005C795C" w:rsidRPr="003875F5">
        <w:rPr>
          <w:rFonts w:ascii="Times New Roman" w:hAnsi="Times New Roman" w:cs="Times New Roman"/>
          <w:i/>
          <w:sz w:val="24"/>
          <w:szCs w:val="24"/>
          <w:lang w:val="en-US"/>
        </w:rPr>
        <w:t>n.r</w:t>
      </w:r>
      <w:proofErr w:type="spellEnd"/>
      <w:r w:rsidR="005C795C" w:rsidRPr="003875F5">
        <w:rPr>
          <w:rFonts w:ascii="Times New Roman" w:hAnsi="Times New Roman" w:cs="Times New Roman"/>
          <w:sz w:val="24"/>
          <w:szCs w:val="24"/>
          <w:lang w:val="en-US"/>
        </w:rPr>
        <w:t>” in the second column with no further information.</w:t>
      </w:r>
      <w:r w:rsidR="0078193F" w:rsidRPr="003875F5">
        <w:rPr>
          <w:rFonts w:ascii="Times New Roman" w:hAnsi="Times New Roman" w:cs="Times New Roman"/>
          <w:sz w:val="24"/>
          <w:szCs w:val="24"/>
          <w:lang w:val="en-US"/>
        </w:rPr>
        <w:t xml:space="preserve"> However, </w:t>
      </w:r>
      <w:proofErr w:type="spellStart"/>
      <w:r w:rsidR="0078193F" w:rsidRPr="003875F5">
        <w:rPr>
          <w:rFonts w:ascii="Times New Roman" w:hAnsi="Times New Roman" w:cs="Times New Roman"/>
          <w:sz w:val="24"/>
          <w:szCs w:val="24"/>
          <w:lang w:val="en-US"/>
        </w:rPr>
        <w:t>mm_siln</w:t>
      </w:r>
      <w:proofErr w:type="spellEnd"/>
      <w:r w:rsidR="00252909" w:rsidRPr="003875F5">
        <w:rPr>
          <w:rFonts w:ascii="Times New Roman" w:hAnsi="Times New Roman" w:cs="Times New Roman"/>
          <w:sz w:val="24"/>
          <w:szCs w:val="24"/>
          <w:lang w:val="en-US"/>
        </w:rPr>
        <w:t xml:space="preserve"> has a “</w:t>
      </w:r>
      <w:r w:rsidR="00252909" w:rsidRPr="003875F5">
        <w:rPr>
          <w:rFonts w:ascii="Times New Roman" w:hAnsi="Times New Roman" w:cs="Times New Roman"/>
          <w:i/>
          <w:sz w:val="24"/>
          <w:szCs w:val="24"/>
          <w:lang w:val="en-US"/>
        </w:rPr>
        <w:t>yes</w:t>
      </w:r>
      <w:r w:rsidR="0078193F" w:rsidRPr="003875F5">
        <w:rPr>
          <w:rFonts w:ascii="Times New Roman" w:hAnsi="Times New Roman" w:cs="Times New Roman"/>
          <w:sz w:val="24"/>
          <w:szCs w:val="24"/>
          <w:lang w:val="en-US"/>
        </w:rPr>
        <w:t>” in the second column.</w:t>
      </w:r>
      <w:r w:rsidRPr="003875F5">
        <w:rPr>
          <w:rFonts w:ascii="Times New Roman" w:hAnsi="Times New Roman" w:cs="Times New Roman"/>
          <w:sz w:val="24"/>
          <w:szCs w:val="24"/>
          <w:lang w:val="en-US"/>
        </w:rPr>
        <w:t xml:space="preserve"> We take the stand that </w:t>
      </w:r>
      <w:proofErr w:type="spellStart"/>
      <w:r w:rsidRPr="003875F5">
        <w:rPr>
          <w:rFonts w:ascii="Times New Roman" w:hAnsi="Times New Roman" w:cs="Times New Roman"/>
          <w:sz w:val="24"/>
          <w:szCs w:val="24"/>
          <w:lang w:val="en-US"/>
        </w:rPr>
        <w:t>mm_siln</w:t>
      </w:r>
      <w:proofErr w:type="spellEnd"/>
      <w:r w:rsidRPr="003875F5">
        <w:rPr>
          <w:rFonts w:ascii="Times New Roman" w:hAnsi="Times New Roman" w:cs="Times New Roman"/>
          <w:sz w:val="24"/>
          <w:szCs w:val="24"/>
          <w:lang w:val="en-US"/>
        </w:rPr>
        <w:t xml:space="preserve"> must be coded with zeros, in accordance with the absence of regulation for bonds.</w:t>
      </w:r>
    </w:p>
    <w:p w:rsidR="006B49F9" w:rsidRPr="003875F5" w:rsidRDefault="00893025" w:rsidP="005C795C">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There was a typo in </w:t>
      </w:r>
      <w:proofErr w:type="spellStart"/>
      <w:r w:rsidRPr="003875F5">
        <w:rPr>
          <w:rFonts w:ascii="Times New Roman" w:hAnsi="Times New Roman" w:cs="Times New Roman"/>
          <w:sz w:val="24"/>
          <w:szCs w:val="24"/>
          <w:lang w:val="en-US"/>
        </w:rPr>
        <w:t>mm_siln</w:t>
      </w:r>
      <w:proofErr w:type="spellEnd"/>
      <w:r w:rsidRPr="003875F5">
        <w:rPr>
          <w:rFonts w:ascii="Times New Roman" w:hAnsi="Times New Roman" w:cs="Times New Roman"/>
          <w:sz w:val="24"/>
          <w:szCs w:val="24"/>
          <w:lang w:val="en-US"/>
        </w:rPr>
        <w:t xml:space="preserve"> 2007.</w:t>
      </w:r>
      <w:r w:rsidR="006B49F9" w:rsidRPr="003875F5">
        <w:rPr>
          <w:rFonts w:ascii="Times New Roman" w:hAnsi="Times New Roman" w:cs="Times New Roman"/>
          <w:sz w:val="24"/>
          <w:szCs w:val="24"/>
          <w:lang w:val="en-US"/>
        </w:rPr>
        <w:t xml:space="preserve"> There is a “</w:t>
      </w:r>
      <w:r w:rsidR="006B49F9" w:rsidRPr="003875F5">
        <w:rPr>
          <w:rFonts w:ascii="Times New Roman" w:hAnsi="Times New Roman" w:cs="Times New Roman"/>
          <w:i/>
          <w:sz w:val="24"/>
          <w:szCs w:val="24"/>
          <w:lang w:val="en-US"/>
        </w:rPr>
        <w:t>yes</w:t>
      </w:r>
      <w:r w:rsidR="006B49F9" w:rsidRPr="003875F5">
        <w:rPr>
          <w:rFonts w:ascii="Times New Roman" w:hAnsi="Times New Roman" w:cs="Times New Roman"/>
          <w:sz w:val="24"/>
          <w:szCs w:val="24"/>
          <w:lang w:val="en-US"/>
        </w:rPr>
        <w:t>” with no further information.</w:t>
      </w:r>
    </w:p>
    <w:p w:rsidR="00051AB7" w:rsidRPr="003875F5" w:rsidRDefault="00051AB7" w:rsidP="00051AB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2009</w:t>
      </w:r>
      <w:r w:rsidR="00035BBA"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Pension funds may not invest in securities abroad and mutual funds may invest abroad only up to 15% of net asset value</w:t>
      </w:r>
      <w:r w:rsidRPr="003875F5">
        <w:rPr>
          <w:rFonts w:ascii="Times New Roman" w:hAnsi="Times New Roman" w:cs="Times New Roman"/>
          <w:sz w:val="24"/>
          <w:szCs w:val="24"/>
          <w:lang w:val="en-US"/>
        </w:rPr>
        <w:t xml:space="preserve">.” </w:t>
      </w:r>
      <w:r w:rsidR="00893025" w:rsidRPr="003875F5">
        <w:rPr>
          <w:rFonts w:ascii="Times New Roman" w:hAnsi="Times New Roman" w:cs="Times New Roman"/>
          <w:sz w:val="24"/>
          <w:szCs w:val="24"/>
          <w:lang w:val="en-US"/>
        </w:rPr>
        <w:t>This is coded as a control since there is not only a restriction on pension funds (which we would be enough to code with ones) but also in mutual funds.</w:t>
      </w:r>
    </w:p>
    <w:p w:rsidR="00051AB7" w:rsidRPr="003875F5" w:rsidRDefault="00051AB7" w:rsidP="00051AB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mm_plbn</w:t>
      </w:r>
      <w:proofErr w:type="spellEnd"/>
      <w:r w:rsidRPr="003875F5">
        <w:rPr>
          <w:rFonts w:ascii="Times New Roman" w:hAnsi="Times New Roman" w:cs="Times New Roman"/>
          <w:sz w:val="24"/>
          <w:szCs w:val="24"/>
          <w:lang w:val="en-US"/>
        </w:rPr>
        <w:t xml:space="preserve"> 2009</w:t>
      </w:r>
      <w:r w:rsidR="00035BBA"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 BI certificate (SBI), which mainly functions as a monetary operation instrument to absorb liquidity in the domestic banking system, is one type of money market instrument in Indonesia. The BI sells SBIs through an open market operation (OMO) for monetary purposes. Only OMO participants, which are resident banks and money market brokers that act on behalf of the banks, can purchase SBIs in the primary market in the form of OMOs. The prohibition against SBI purchases in the primary market by non-OMO participants applies to all investors, both residents and nonresidents. However, all investors may purchase SBIs freely in the secondary market</w:t>
      </w:r>
      <w:r w:rsidRPr="003875F5">
        <w:rPr>
          <w:rFonts w:ascii="Times New Roman" w:hAnsi="Times New Roman" w:cs="Times New Roman"/>
          <w:sz w:val="24"/>
          <w:szCs w:val="24"/>
          <w:lang w:val="en-US"/>
        </w:rPr>
        <w:t xml:space="preserve">.” This </w:t>
      </w:r>
      <w:r w:rsidR="00893025" w:rsidRPr="003875F5">
        <w:rPr>
          <w:rFonts w:ascii="Times New Roman" w:hAnsi="Times New Roman" w:cs="Times New Roman"/>
          <w:sz w:val="24"/>
          <w:szCs w:val="24"/>
          <w:lang w:val="en-US"/>
        </w:rPr>
        <w:t>was considered</w:t>
      </w:r>
      <w:r w:rsidRPr="003875F5">
        <w:rPr>
          <w:rFonts w:ascii="Times New Roman" w:hAnsi="Times New Roman" w:cs="Times New Roman"/>
          <w:sz w:val="24"/>
          <w:szCs w:val="24"/>
          <w:lang w:val="en-US"/>
        </w:rPr>
        <w:t xml:space="preserve"> a control, pursuant rule 12.</w:t>
      </w:r>
      <w:r w:rsidR="00893025" w:rsidRPr="003875F5">
        <w:rPr>
          <w:rFonts w:ascii="Times New Roman" w:hAnsi="Times New Roman" w:cs="Times New Roman"/>
          <w:sz w:val="24"/>
          <w:szCs w:val="24"/>
          <w:lang w:val="en-US"/>
        </w:rPr>
        <w:t xml:space="preserve"> Also, because even though the restriction is of a monetary nature in its origin, it affects nonresidents.</w:t>
      </w:r>
    </w:p>
    <w:p w:rsidR="00AE4D86" w:rsidRPr="003875F5" w:rsidRDefault="00AE4D86" w:rsidP="00AE4D8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fci</w:t>
      </w:r>
      <w:proofErr w:type="spellEnd"/>
      <w:r w:rsidRPr="003875F5">
        <w:rPr>
          <w:rFonts w:ascii="Times New Roman" w:hAnsi="Times New Roman" w:cs="Times New Roman"/>
          <w:sz w:val="24"/>
          <w:szCs w:val="24"/>
          <w:lang w:val="en-US"/>
        </w:rPr>
        <w:t xml:space="preserve"> 2009</w:t>
      </w:r>
      <w:r w:rsidR="00035BBA"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Resident entities, including nonbank corporate entities, may borrow from nonresidents subject to compliance with the applicable regulations and the submission of periodic reports to the BI. Nonbank corporate entities intending to borrow are required to implement risk management procedures; meanwhile, for long-term foreign borrowing planning they must submit reports to BI presenting corporate foreign borrowing plan for one year, risk management analysis, rating (only for rated companies), financial ratios, and financial statements</w:t>
      </w:r>
      <w:r w:rsidRPr="003875F5">
        <w:rPr>
          <w:rFonts w:ascii="Times New Roman" w:hAnsi="Times New Roman" w:cs="Times New Roman"/>
          <w:sz w:val="24"/>
          <w:szCs w:val="24"/>
          <w:lang w:val="en-US"/>
        </w:rPr>
        <w:t xml:space="preserve">.” This </w:t>
      </w:r>
      <w:r w:rsidR="0092086C" w:rsidRPr="003875F5">
        <w:rPr>
          <w:rFonts w:ascii="Times New Roman" w:hAnsi="Times New Roman" w:cs="Times New Roman"/>
          <w:sz w:val="24"/>
          <w:szCs w:val="24"/>
          <w:lang w:val="en-US"/>
        </w:rPr>
        <w:t>is</w:t>
      </w:r>
      <w:r w:rsidRPr="003875F5">
        <w:rPr>
          <w:rFonts w:ascii="Times New Roman" w:hAnsi="Times New Roman" w:cs="Times New Roman"/>
          <w:sz w:val="24"/>
          <w:szCs w:val="24"/>
          <w:lang w:val="en-US"/>
        </w:rPr>
        <w:t xml:space="preserve"> a control, in consideration of “</w:t>
      </w:r>
      <w:r w:rsidRPr="003875F5">
        <w:rPr>
          <w:rFonts w:ascii="Times New Roman" w:hAnsi="Times New Roman" w:cs="Times New Roman"/>
          <w:i/>
          <w:sz w:val="24"/>
          <w:szCs w:val="24"/>
          <w:lang w:val="en-US"/>
        </w:rPr>
        <w:t>subject to compliance with the applicable regulations</w:t>
      </w:r>
      <w:r w:rsidRPr="003875F5">
        <w:rPr>
          <w:rFonts w:ascii="Times New Roman" w:hAnsi="Times New Roman" w:cs="Times New Roman"/>
          <w:sz w:val="24"/>
          <w:szCs w:val="24"/>
          <w:lang w:val="en-US"/>
        </w:rPr>
        <w:t>”</w:t>
      </w:r>
      <w:r w:rsidR="002E15DD" w:rsidRPr="003875F5">
        <w:rPr>
          <w:rFonts w:ascii="Times New Roman" w:hAnsi="Times New Roman" w:cs="Times New Roman"/>
          <w:sz w:val="24"/>
          <w:szCs w:val="24"/>
          <w:lang w:val="en-US"/>
        </w:rPr>
        <w:t xml:space="preserve"> and also because the requirement to comply with risk management procedures has the potential to be restrictive</w:t>
      </w:r>
      <w:r w:rsidRPr="003875F5">
        <w:rPr>
          <w:rFonts w:ascii="Times New Roman" w:hAnsi="Times New Roman" w:cs="Times New Roman"/>
          <w:sz w:val="24"/>
          <w:szCs w:val="24"/>
          <w:lang w:val="en-US"/>
        </w:rPr>
        <w:t>.</w:t>
      </w:r>
    </w:p>
    <w:p w:rsidR="00174F20" w:rsidRPr="003875F5" w:rsidRDefault="00174F20" w:rsidP="00B252C6">
      <w:pPr>
        <w:pStyle w:val="Estilo2"/>
      </w:pPr>
      <w:bookmarkStart w:id="40" w:name="_Toc402472339"/>
      <w:r w:rsidRPr="003875F5">
        <w:t>Islamic Republic of Iran</w:t>
      </w:r>
      <w:bookmarkEnd w:id="40"/>
    </w:p>
    <w:p w:rsidR="00174F20" w:rsidRPr="003875F5" w:rsidRDefault="00B63380" w:rsidP="00174F20">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1996-2002</w:t>
      </w:r>
      <w:r w:rsidR="00174F20" w:rsidRPr="003875F5">
        <w:rPr>
          <w:rFonts w:ascii="Times New Roman" w:hAnsi="Times New Roman" w:cs="Times New Roman"/>
          <w:sz w:val="24"/>
          <w:szCs w:val="24"/>
          <w:lang w:val="en-US"/>
        </w:rPr>
        <w:t>: “</w:t>
      </w:r>
      <w:r w:rsidR="00174F20" w:rsidRPr="003875F5">
        <w:rPr>
          <w:rFonts w:ascii="Times New Roman" w:hAnsi="Times New Roman" w:cs="Times New Roman"/>
          <w:i/>
          <w:sz w:val="24"/>
          <w:szCs w:val="24"/>
          <w:lang w:val="en-US"/>
        </w:rPr>
        <w:t>Nonresidents may invest in instruments traded on the Teheran Stock Exchange, but the investment is not protected under the investment law.</w:t>
      </w:r>
      <w:r w:rsidR="00174F20" w:rsidRPr="003875F5">
        <w:rPr>
          <w:rFonts w:ascii="Times New Roman" w:hAnsi="Times New Roman" w:cs="Times New Roman"/>
          <w:sz w:val="24"/>
          <w:szCs w:val="24"/>
          <w:lang w:val="en-US"/>
        </w:rPr>
        <w:t>” Although there is not an explicit</w:t>
      </w:r>
      <w:r w:rsidR="00371B1B" w:rsidRPr="003875F5">
        <w:rPr>
          <w:rFonts w:ascii="Times New Roman" w:hAnsi="Times New Roman" w:cs="Times New Roman"/>
          <w:sz w:val="24"/>
          <w:szCs w:val="24"/>
          <w:lang w:val="en-US"/>
        </w:rPr>
        <w:t xml:space="preserve"> restriction for nonresidents, we</w:t>
      </w:r>
      <w:r w:rsidR="00174F20" w:rsidRPr="003875F5">
        <w:rPr>
          <w:rFonts w:ascii="Times New Roman" w:hAnsi="Times New Roman" w:cs="Times New Roman"/>
          <w:sz w:val="24"/>
          <w:szCs w:val="24"/>
          <w:lang w:val="en-US"/>
        </w:rPr>
        <w:t xml:space="preserve"> believe this might complicate capital transactions as no protection is guaranteed</w:t>
      </w:r>
      <w:r w:rsidR="00371B1B" w:rsidRPr="003875F5">
        <w:rPr>
          <w:rFonts w:ascii="Times New Roman" w:hAnsi="Times New Roman" w:cs="Times New Roman"/>
          <w:sz w:val="24"/>
          <w:szCs w:val="24"/>
          <w:lang w:val="en-US"/>
        </w:rPr>
        <w:t>.</w:t>
      </w:r>
    </w:p>
    <w:p w:rsidR="00000627" w:rsidRPr="003875F5" w:rsidRDefault="00000627" w:rsidP="00B252C6">
      <w:pPr>
        <w:pStyle w:val="Estilo2"/>
      </w:pPr>
      <w:bookmarkStart w:id="41" w:name="_Toc402472340"/>
      <w:r w:rsidRPr="003875F5">
        <w:t>Ireland</w:t>
      </w:r>
      <w:bookmarkEnd w:id="41"/>
    </w:p>
    <w:p w:rsidR="00000627" w:rsidRPr="003875F5" w:rsidRDefault="001A1406"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For 2006 to 2012</w:t>
      </w:r>
      <w:r w:rsidR="00000627" w:rsidRPr="003875F5">
        <w:rPr>
          <w:rFonts w:ascii="Times New Roman" w:hAnsi="Times New Roman" w:cs="Times New Roman"/>
          <w:sz w:val="24"/>
          <w:szCs w:val="24"/>
          <w:lang w:val="en-US"/>
        </w:rPr>
        <w:t xml:space="preserve"> in dii we decided to keep it as no controls as the restrictions alluded to sectors without a macro dimension. M. Schindler also coded it that way in 2005.</w:t>
      </w:r>
    </w:p>
    <w:p w:rsidR="00C02039" w:rsidRPr="003875F5" w:rsidRDefault="004B65C9" w:rsidP="00B252C6">
      <w:pPr>
        <w:pStyle w:val="Estilo2"/>
      </w:pPr>
      <w:bookmarkStart w:id="42" w:name="_Toc402472341"/>
      <w:r w:rsidRPr="003875F5">
        <w:t>Israel</w:t>
      </w:r>
      <w:bookmarkEnd w:id="42"/>
    </w:p>
    <w:p w:rsidR="004B3D3E" w:rsidRPr="003875F5" w:rsidRDefault="00C02039" w:rsidP="00C02039">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2011-2012 (narrative in 2010 </w:t>
      </w:r>
      <w:proofErr w:type="spellStart"/>
      <w:r w:rsidRPr="003875F5">
        <w:rPr>
          <w:rFonts w:ascii="Times New Roman" w:hAnsi="Times New Roman" w:cs="Times New Roman"/>
          <w:sz w:val="24"/>
          <w:szCs w:val="24"/>
          <w:lang w:val="en-US"/>
        </w:rPr>
        <w:t>pdf</w:t>
      </w:r>
      <w:proofErr w:type="spellEnd"/>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Effective January 27, 2011, banking corporations in Israel must meet a reserve requirement for foreign exchange derivative transactions by nonresidents. A 10% reserve requirement applies to shekel–foreign exchange swap transactions and shekel–foreign exchange forwards</w:t>
      </w:r>
      <w:r w:rsidRPr="003875F5">
        <w:rPr>
          <w:rFonts w:ascii="Times New Roman" w:hAnsi="Times New Roman" w:cs="Times New Roman"/>
          <w:sz w:val="24"/>
          <w:szCs w:val="24"/>
          <w:lang w:val="en-US"/>
        </w:rPr>
        <w:t>” We think that this might have important macro implications as the banking sector is affected. Thus, we code it with ones.</w:t>
      </w:r>
    </w:p>
    <w:p w:rsidR="006A6B45" w:rsidRPr="003875F5" w:rsidRDefault="006A6B45" w:rsidP="006A6B45">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re_slbn</w:t>
      </w:r>
      <w:proofErr w:type="spellEnd"/>
      <w:r w:rsidRPr="003875F5">
        <w:rPr>
          <w:rFonts w:ascii="Times New Roman" w:hAnsi="Times New Roman" w:cs="Times New Roman"/>
          <w:sz w:val="24"/>
          <w:szCs w:val="24"/>
          <w:lang w:val="en-US"/>
        </w:rPr>
        <w:t xml:space="preserve"> 1998: “</w:t>
      </w:r>
      <w:r w:rsidRPr="003875F5">
        <w:rPr>
          <w:rFonts w:ascii="Times New Roman" w:hAnsi="Times New Roman" w:cs="Times New Roman"/>
          <w:i/>
          <w:sz w:val="24"/>
          <w:szCs w:val="24"/>
          <w:lang w:val="en-US"/>
        </w:rPr>
        <w:t>Proceeds may be repatriated if the original source of the investment was foreign currency or a nonresident local currency account</w:t>
      </w:r>
      <w:r w:rsidR="00982D9B" w:rsidRPr="003875F5">
        <w:rPr>
          <w:rFonts w:ascii="Times New Roman" w:hAnsi="Times New Roman" w:cs="Times New Roman"/>
          <w:sz w:val="24"/>
          <w:szCs w:val="24"/>
          <w:lang w:val="en-US"/>
        </w:rPr>
        <w:t>.” We coded with ones.</w:t>
      </w:r>
    </w:p>
    <w:p w:rsidR="00B33B45" w:rsidRPr="003875F5" w:rsidRDefault="00717802" w:rsidP="00B252C6">
      <w:pPr>
        <w:pStyle w:val="Estilo2"/>
      </w:pPr>
      <w:bookmarkStart w:id="43" w:name="_Toc402472342"/>
      <w:r w:rsidRPr="003875F5">
        <w:t>Jamaica</w:t>
      </w:r>
      <w:bookmarkEnd w:id="43"/>
    </w:p>
    <w:p w:rsidR="00B33B45" w:rsidRPr="003875F5" w:rsidRDefault="00C02039" w:rsidP="00C02039">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(2011-2012),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(2007-2012), </w:t>
      </w:r>
      <w:proofErr w:type="spellStart"/>
      <w:r w:rsidRPr="003875F5">
        <w:rPr>
          <w:rFonts w:ascii="Times New Roman" w:hAnsi="Times New Roman" w:cs="Times New Roman"/>
          <w:sz w:val="24"/>
          <w:szCs w:val="24"/>
          <w:lang w:val="en-US"/>
        </w:rPr>
        <w:t>ci_pabr</w:t>
      </w:r>
      <w:proofErr w:type="spellEnd"/>
      <w:r w:rsidRPr="003875F5">
        <w:rPr>
          <w:rFonts w:ascii="Times New Roman" w:hAnsi="Times New Roman" w:cs="Times New Roman"/>
          <w:sz w:val="24"/>
          <w:szCs w:val="24"/>
          <w:lang w:val="en-US"/>
        </w:rPr>
        <w:t xml:space="preserve"> (2011-2012), the following narrative is present: “</w:t>
      </w:r>
      <w:r w:rsidRPr="003875F5">
        <w:rPr>
          <w:rFonts w:ascii="Times New Roman" w:hAnsi="Times New Roman" w:cs="Times New Roman"/>
          <w:i/>
          <w:sz w:val="24"/>
          <w:szCs w:val="24"/>
          <w:lang w:val="en-US"/>
        </w:rPr>
        <w:t xml:space="preserve">ADs, insurance companies, credit unions, building societies, </w:t>
      </w:r>
      <w:proofErr w:type="spellStart"/>
      <w:r w:rsidRPr="003875F5">
        <w:rPr>
          <w:rFonts w:ascii="Times New Roman" w:hAnsi="Times New Roman" w:cs="Times New Roman"/>
          <w:i/>
          <w:sz w:val="24"/>
          <w:szCs w:val="24"/>
          <w:lang w:val="en-US"/>
        </w:rPr>
        <w:t>cambios</w:t>
      </w:r>
      <w:proofErr w:type="spellEnd"/>
      <w:r w:rsidRPr="003875F5">
        <w:rPr>
          <w:rFonts w:ascii="Times New Roman" w:hAnsi="Times New Roman" w:cs="Times New Roman"/>
          <w:i/>
          <w:sz w:val="24"/>
          <w:szCs w:val="24"/>
          <w:lang w:val="en-US"/>
        </w:rPr>
        <w:t xml:space="preserve"> and exchange bureaus, unit trusts, and pension fund managers may not acquire foreign assets, except in accordance with MOF directives. According to these directives, securities dealers, insurance companies, pension funds, unit trusts, and other collective investment plans may acquire securities issued by the GOJ and securities issued or guaranteed by the governments of Canada, the United Kingdom, and the United States. Foreign assets may not exceed 5% of the total assets of insurance companies, pension funds, unit trusts, and other collective investment plans. These requirements are the standard minimum requirements and may change. Parties outside of these categories are not limited in their acquisition of foreign assets</w:t>
      </w:r>
      <w:r w:rsidRPr="003875F5">
        <w:rPr>
          <w:rFonts w:ascii="Times New Roman" w:hAnsi="Times New Roman" w:cs="Times New Roman"/>
          <w:sz w:val="24"/>
          <w:szCs w:val="24"/>
          <w:lang w:val="en-US"/>
        </w:rPr>
        <w:t xml:space="preserve">.” </w:t>
      </w:r>
      <w:r w:rsidR="00B33B45" w:rsidRPr="003875F5">
        <w:rPr>
          <w:rFonts w:ascii="Times New Roman" w:hAnsi="Times New Roman" w:cs="Times New Roman"/>
          <w:sz w:val="24"/>
          <w:szCs w:val="24"/>
          <w:lang w:val="en-US"/>
        </w:rPr>
        <w:t>Since there are restriction on pension funds and other sectors, we code it with ones.</w:t>
      </w:r>
    </w:p>
    <w:p w:rsidR="00801667" w:rsidRPr="003875F5" w:rsidRDefault="00C02039"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The narrative in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 xml:space="preserve"> (2007-2012) is somewhat different “</w:t>
      </w:r>
      <w:r w:rsidRPr="003875F5">
        <w:rPr>
          <w:rFonts w:ascii="Times New Roman" w:hAnsi="Times New Roman" w:cs="Times New Roman"/>
          <w:i/>
          <w:sz w:val="24"/>
          <w:szCs w:val="24"/>
          <w:lang w:val="en-US"/>
        </w:rPr>
        <w:t xml:space="preserve">For banks, licensed deposit-taking institutions, credit unions, building societies, </w:t>
      </w:r>
      <w:proofErr w:type="spellStart"/>
      <w:r w:rsidRPr="003875F5">
        <w:rPr>
          <w:rFonts w:ascii="Times New Roman" w:hAnsi="Times New Roman" w:cs="Times New Roman"/>
          <w:i/>
          <w:sz w:val="24"/>
          <w:szCs w:val="24"/>
          <w:lang w:val="en-US"/>
        </w:rPr>
        <w:t>cambios</w:t>
      </w:r>
      <w:proofErr w:type="spellEnd"/>
      <w:r w:rsidRPr="003875F5">
        <w:rPr>
          <w:rFonts w:ascii="Times New Roman" w:hAnsi="Times New Roman" w:cs="Times New Roman"/>
          <w:i/>
          <w:sz w:val="24"/>
          <w:szCs w:val="24"/>
          <w:lang w:val="en-US"/>
        </w:rPr>
        <w:t xml:space="preserve"> and exchange bureaus, unit trusts, and pension funds that acquire foreign assets as part of their business activities, the purchase must be in accordance with directives issued by the MOF or the BOJ. According to these directives, securities dealers, insurance companies, pension funds, unit trusts, and other collective investment programs may acquire securities issued by the GOJ and securities issued or guaranteed by the governments of Canada, the United Kingdom, and the United States. Foreign assets may not exceed 5% of the total assets of insurance companies, pension funds, unit trusts, and other collective investment programs. These requirements are the standard minimum requirements and may change. Jamaican residents may acquire foreign assets unless acquisition is prohibited by the foreign jurisdiction concerned. Parties outside of these categories are not limited in their acquisition of foreign assets.</w:t>
      </w:r>
      <w:r w:rsidRPr="003875F5">
        <w:rPr>
          <w:rFonts w:ascii="Times New Roman" w:hAnsi="Times New Roman" w:cs="Times New Roman"/>
          <w:sz w:val="24"/>
          <w:szCs w:val="24"/>
          <w:lang w:val="en-US"/>
        </w:rPr>
        <w:t>”</w:t>
      </w:r>
      <w:r w:rsidR="00B33B45" w:rsidRPr="003875F5">
        <w:rPr>
          <w:rFonts w:ascii="Times New Roman" w:hAnsi="Times New Roman" w:cs="Times New Roman"/>
          <w:sz w:val="24"/>
          <w:szCs w:val="24"/>
          <w:lang w:val="en-US"/>
        </w:rPr>
        <w:t xml:space="preserve"> Idem as above.</w:t>
      </w:r>
    </w:p>
    <w:p w:rsidR="00717802" w:rsidRPr="003875F5" w:rsidRDefault="002F1871"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2007-2012 </w:t>
      </w:r>
      <w:proofErr w:type="spellStart"/>
      <w:r w:rsidR="00717802" w:rsidRPr="003875F5">
        <w:rPr>
          <w:rFonts w:ascii="Times New Roman" w:hAnsi="Times New Roman" w:cs="Times New Roman"/>
          <w:sz w:val="24"/>
          <w:szCs w:val="24"/>
          <w:lang w:val="en-US"/>
        </w:rPr>
        <w:t>fci</w:t>
      </w:r>
      <w:proofErr w:type="spellEnd"/>
      <w:r w:rsidR="00717802" w:rsidRPr="003875F5">
        <w:rPr>
          <w:rFonts w:ascii="Times New Roman" w:hAnsi="Times New Roman" w:cs="Times New Roman"/>
          <w:sz w:val="24"/>
          <w:szCs w:val="24"/>
          <w:lang w:val="en-US"/>
        </w:rPr>
        <w:t xml:space="preserve"> and </w:t>
      </w:r>
      <w:proofErr w:type="spellStart"/>
      <w:r w:rsidR="00717802"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were considered controls as there is the possibility to apply controls on capital flows</w:t>
      </w:r>
      <w:r w:rsidR="00717802" w:rsidRPr="003875F5">
        <w:rPr>
          <w:rFonts w:ascii="Times New Roman" w:hAnsi="Times New Roman" w:cs="Times New Roman"/>
          <w:sz w:val="24"/>
          <w:szCs w:val="24"/>
          <w:lang w:val="en-US"/>
        </w:rPr>
        <w:t>.</w:t>
      </w:r>
    </w:p>
    <w:p w:rsidR="00000627" w:rsidRPr="003875F5" w:rsidRDefault="00000627" w:rsidP="00B252C6">
      <w:pPr>
        <w:pStyle w:val="Estilo2"/>
      </w:pPr>
      <w:bookmarkStart w:id="44" w:name="_Toc402472343"/>
      <w:r w:rsidRPr="003875F5">
        <w:lastRenderedPageBreak/>
        <w:t>Kazakhstan</w:t>
      </w:r>
      <w:bookmarkEnd w:id="44"/>
    </w:p>
    <w:p w:rsidR="00000627" w:rsidRPr="003875F5" w:rsidRDefault="00000627"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For 2006 there did not seem to be much information on Section XI so we resorted to the changes in the end of the report which did seem to point out a change in the regime.</w:t>
      </w:r>
    </w:p>
    <w:p w:rsidR="004114A4" w:rsidRPr="003875F5" w:rsidRDefault="004114A4"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in 2006 onwards (at least until 2011) we decided to keep coding it as a 0 because it only alluded to registration requirement for statistical purposes.</w:t>
      </w:r>
    </w:p>
    <w:p w:rsidR="00F6135D" w:rsidRPr="003875F5" w:rsidRDefault="00D73385"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There were t</w:t>
      </w:r>
      <w:r w:rsidR="00F6135D" w:rsidRPr="003875F5">
        <w:rPr>
          <w:rFonts w:ascii="Times New Roman" w:hAnsi="Times New Roman" w:cs="Times New Roman"/>
          <w:sz w:val="24"/>
          <w:szCs w:val="24"/>
          <w:lang w:val="en-US"/>
        </w:rPr>
        <w:t>ypos in</w:t>
      </w:r>
      <w:r w:rsidR="00821C0A" w:rsidRPr="003875F5">
        <w:rPr>
          <w:rFonts w:ascii="Times New Roman" w:hAnsi="Times New Roman" w:cs="Times New Roman"/>
          <w:sz w:val="24"/>
          <w:szCs w:val="24"/>
          <w:lang w:val="en-US"/>
        </w:rPr>
        <w:t xml:space="preserve"> </w:t>
      </w:r>
      <w:proofErr w:type="spellStart"/>
      <w:r w:rsidR="00821C0A" w:rsidRPr="003875F5">
        <w:rPr>
          <w:rFonts w:ascii="Times New Roman" w:hAnsi="Times New Roman" w:cs="Times New Roman"/>
          <w:sz w:val="24"/>
          <w:szCs w:val="24"/>
          <w:lang w:val="en-US"/>
        </w:rPr>
        <w:t>eq_plbn</w:t>
      </w:r>
      <w:proofErr w:type="spellEnd"/>
      <w:r w:rsidR="00821C0A" w:rsidRPr="003875F5">
        <w:rPr>
          <w:rFonts w:ascii="Times New Roman" w:hAnsi="Times New Roman" w:cs="Times New Roman"/>
          <w:sz w:val="24"/>
          <w:szCs w:val="24"/>
          <w:lang w:val="en-US"/>
        </w:rPr>
        <w:t xml:space="preserve"> (2006</w:t>
      </w:r>
      <w:r w:rsidR="00F43B5D" w:rsidRPr="003875F5">
        <w:rPr>
          <w:rFonts w:ascii="Times New Roman" w:hAnsi="Times New Roman" w:cs="Times New Roman"/>
          <w:sz w:val="24"/>
          <w:szCs w:val="24"/>
          <w:lang w:val="en-US"/>
        </w:rPr>
        <w:t>-2007</w:t>
      </w:r>
      <w:r w:rsidR="00821C0A" w:rsidRPr="003875F5">
        <w:rPr>
          <w:rFonts w:ascii="Times New Roman" w:hAnsi="Times New Roman" w:cs="Times New Roman"/>
          <w:sz w:val="24"/>
          <w:szCs w:val="24"/>
          <w:lang w:val="en-US"/>
        </w:rPr>
        <w:t>),</w:t>
      </w:r>
      <w:r w:rsidR="00F43B5D" w:rsidRPr="003875F5">
        <w:rPr>
          <w:rFonts w:ascii="Times New Roman" w:hAnsi="Times New Roman" w:cs="Times New Roman"/>
          <w:sz w:val="24"/>
          <w:szCs w:val="24"/>
          <w:lang w:val="en-US"/>
        </w:rPr>
        <w:t xml:space="preserve"> </w:t>
      </w:r>
      <w:proofErr w:type="spellStart"/>
      <w:r w:rsidR="00F43B5D" w:rsidRPr="003875F5">
        <w:rPr>
          <w:rFonts w:ascii="Times New Roman" w:hAnsi="Times New Roman" w:cs="Times New Roman"/>
          <w:sz w:val="24"/>
          <w:szCs w:val="24"/>
          <w:lang w:val="en-US"/>
        </w:rPr>
        <w:t>bo_plbn</w:t>
      </w:r>
      <w:proofErr w:type="spellEnd"/>
      <w:r w:rsidR="00F43B5D" w:rsidRPr="003875F5">
        <w:rPr>
          <w:rFonts w:ascii="Times New Roman" w:hAnsi="Times New Roman" w:cs="Times New Roman"/>
          <w:sz w:val="24"/>
          <w:szCs w:val="24"/>
          <w:lang w:val="en-US"/>
        </w:rPr>
        <w:t xml:space="preserve"> (2006-2007),</w:t>
      </w:r>
      <w:r w:rsidR="00F6135D" w:rsidRPr="003875F5">
        <w:rPr>
          <w:rFonts w:ascii="Times New Roman" w:hAnsi="Times New Roman" w:cs="Times New Roman"/>
          <w:sz w:val="24"/>
          <w:szCs w:val="24"/>
          <w:lang w:val="en-US"/>
        </w:rPr>
        <w:t xml:space="preserve"> </w:t>
      </w:r>
      <w:proofErr w:type="spellStart"/>
      <w:r w:rsidR="00F6135D" w:rsidRPr="003875F5">
        <w:rPr>
          <w:rFonts w:ascii="Times New Roman" w:hAnsi="Times New Roman" w:cs="Times New Roman"/>
          <w:sz w:val="24"/>
          <w:szCs w:val="24"/>
          <w:lang w:val="en-US"/>
        </w:rPr>
        <w:t>mm_plbn</w:t>
      </w:r>
      <w:proofErr w:type="spellEnd"/>
      <w:r w:rsidR="00F6135D" w:rsidRPr="003875F5">
        <w:rPr>
          <w:rFonts w:ascii="Times New Roman" w:hAnsi="Times New Roman" w:cs="Times New Roman"/>
          <w:sz w:val="24"/>
          <w:szCs w:val="24"/>
          <w:lang w:val="en-US"/>
        </w:rPr>
        <w:t xml:space="preserve"> (2003, 2005</w:t>
      </w:r>
      <w:r w:rsidR="00F43B5D" w:rsidRPr="003875F5">
        <w:rPr>
          <w:rFonts w:ascii="Times New Roman" w:hAnsi="Times New Roman" w:cs="Times New Roman"/>
          <w:sz w:val="24"/>
          <w:szCs w:val="24"/>
          <w:lang w:val="en-US"/>
        </w:rPr>
        <w:t>-2007</w:t>
      </w:r>
      <w:r w:rsidR="00F6135D" w:rsidRPr="003875F5">
        <w:rPr>
          <w:rFonts w:ascii="Times New Roman" w:hAnsi="Times New Roman" w:cs="Times New Roman"/>
          <w:sz w:val="24"/>
          <w:szCs w:val="24"/>
          <w:lang w:val="en-US"/>
        </w:rPr>
        <w:t xml:space="preserve">) and </w:t>
      </w:r>
      <w:proofErr w:type="spellStart"/>
      <w:r w:rsidR="00F6135D" w:rsidRPr="003875F5">
        <w:rPr>
          <w:rFonts w:ascii="Times New Roman" w:hAnsi="Times New Roman" w:cs="Times New Roman"/>
          <w:sz w:val="24"/>
          <w:szCs w:val="24"/>
          <w:lang w:val="en-US"/>
        </w:rPr>
        <w:t>ci_plbn</w:t>
      </w:r>
      <w:proofErr w:type="spellEnd"/>
      <w:r w:rsidR="00F6135D" w:rsidRPr="003875F5">
        <w:rPr>
          <w:rFonts w:ascii="Times New Roman" w:hAnsi="Times New Roman" w:cs="Times New Roman"/>
          <w:sz w:val="24"/>
          <w:szCs w:val="24"/>
          <w:lang w:val="en-US"/>
        </w:rPr>
        <w:t xml:space="preserve"> (</w:t>
      </w:r>
      <w:r w:rsidR="00821C0A" w:rsidRPr="003875F5">
        <w:rPr>
          <w:rFonts w:ascii="Times New Roman" w:hAnsi="Times New Roman" w:cs="Times New Roman"/>
          <w:sz w:val="24"/>
          <w:szCs w:val="24"/>
          <w:lang w:val="en-US"/>
        </w:rPr>
        <w:t>1998</w:t>
      </w:r>
      <w:r w:rsidR="00F6135D" w:rsidRPr="003875F5">
        <w:rPr>
          <w:rFonts w:ascii="Times New Roman" w:hAnsi="Times New Roman" w:cs="Times New Roman"/>
          <w:sz w:val="24"/>
          <w:szCs w:val="24"/>
          <w:lang w:val="en-US"/>
        </w:rPr>
        <w:t>-2002, 2004-2</w:t>
      </w:r>
      <w:r w:rsidR="00821C0A" w:rsidRPr="003875F5">
        <w:rPr>
          <w:rFonts w:ascii="Times New Roman" w:hAnsi="Times New Roman" w:cs="Times New Roman"/>
          <w:sz w:val="24"/>
          <w:szCs w:val="24"/>
          <w:lang w:val="en-US"/>
        </w:rPr>
        <w:t>00</w:t>
      </w:r>
      <w:r w:rsidR="00F43B5D" w:rsidRPr="003875F5">
        <w:rPr>
          <w:rFonts w:ascii="Times New Roman" w:hAnsi="Times New Roman" w:cs="Times New Roman"/>
          <w:sz w:val="24"/>
          <w:szCs w:val="24"/>
          <w:lang w:val="en-US"/>
        </w:rPr>
        <w:t>7</w:t>
      </w:r>
      <w:r w:rsidR="00F6135D" w:rsidRPr="003875F5">
        <w:rPr>
          <w:rFonts w:ascii="Times New Roman" w:hAnsi="Times New Roman" w:cs="Times New Roman"/>
          <w:sz w:val="24"/>
          <w:szCs w:val="24"/>
          <w:lang w:val="en-US"/>
        </w:rPr>
        <w:t>) (There are “</w:t>
      </w:r>
      <w:r w:rsidR="00F6135D" w:rsidRPr="003875F5">
        <w:rPr>
          <w:rFonts w:ascii="Times New Roman" w:hAnsi="Times New Roman" w:cs="Times New Roman"/>
          <w:i/>
          <w:sz w:val="24"/>
          <w:szCs w:val="24"/>
          <w:lang w:val="en-US"/>
        </w:rPr>
        <w:t>yes</w:t>
      </w:r>
      <w:r w:rsidR="00F6135D" w:rsidRPr="003875F5">
        <w:rPr>
          <w:rFonts w:ascii="Times New Roman" w:hAnsi="Times New Roman" w:cs="Times New Roman"/>
          <w:sz w:val="24"/>
          <w:szCs w:val="24"/>
          <w:lang w:val="en-US"/>
        </w:rPr>
        <w:t xml:space="preserve">” in the second column with no further </w:t>
      </w:r>
      <w:r w:rsidR="00821C0A" w:rsidRPr="003875F5">
        <w:rPr>
          <w:rFonts w:ascii="Times New Roman" w:hAnsi="Times New Roman" w:cs="Times New Roman"/>
          <w:sz w:val="24"/>
          <w:szCs w:val="24"/>
          <w:lang w:val="en-US"/>
        </w:rPr>
        <w:t>information</w:t>
      </w:r>
      <w:r w:rsidR="00F6135D" w:rsidRPr="003875F5">
        <w:rPr>
          <w:rFonts w:ascii="Times New Roman" w:hAnsi="Times New Roman" w:cs="Times New Roman"/>
          <w:sz w:val="24"/>
          <w:szCs w:val="24"/>
          <w:lang w:val="en-US"/>
        </w:rPr>
        <w:t>)</w:t>
      </w:r>
    </w:p>
    <w:p w:rsidR="00F43B5D" w:rsidRPr="003875F5" w:rsidRDefault="00F43B5D" w:rsidP="00F43B5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2010</w:t>
      </w:r>
      <w:r w:rsidR="00715FF0"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xml:space="preserve"> all </w:t>
      </w:r>
      <w:proofErr w:type="spellStart"/>
      <w:r w:rsidRPr="003875F5">
        <w:rPr>
          <w:rFonts w:ascii="Times New Roman" w:hAnsi="Times New Roman" w:cs="Times New Roman"/>
          <w:sz w:val="24"/>
          <w:szCs w:val="24"/>
          <w:lang w:val="en-US"/>
        </w:rPr>
        <w:t>pabr</w:t>
      </w:r>
      <w:proofErr w:type="spellEnd"/>
      <w:r w:rsidRPr="003875F5">
        <w:rPr>
          <w:rFonts w:ascii="Times New Roman" w:hAnsi="Times New Roman" w:cs="Times New Roman"/>
          <w:sz w:val="24"/>
          <w:szCs w:val="24"/>
          <w:lang w:val="en-US"/>
        </w:rPr>
        <w:t xml:space="preserve"> subcategories the following narrative is present: “</w:t>
      </w:r>
      <w:r w:rsidRPr="003875F5">
        <w:rPr>
          <w:rFonts w:ascii="Times New Roman" w:hAnsi="Times New Roman" w:cs="Times New Roman"/>
          <w:i/>
          <w:sz w:val="24"/>
          <w:szCs w:val="24"/>
          <w:lang w:val="en-US"/>
        </w:rPr>
        <w:t>For statistical accounting purposes, residents must notify the</w:t>
      </w:r>
      <w:r w:rsidR="00647DDA" w:rsidRPr="003875F5">
        <w:rPr>
          <w:rFonts w:ascii="Times New Roman" w:hAnsi="Times New Roman" w:cs="Times New Roman"/>
          <w:i/>
          <w:sz w:val="24"/>
          <w:szCs w:val="24"/>
          <w:lang w:val="en-US"/>
        </w:rPr>
        <w:t xml:space="preserve"> </w:t>
      </w:r>
      <w:r w:rsidRPr="003875F5">
        <w:rPr>
          <w:rFonts w:ascii="Times New Roman" w:hAnsi="Times New Roman" w:cs="Times New Roman"/>
          <w:i/>
          <w:sz w:val="24"/>
          <w:szCs w:val="24"/>
          <w:lang w:val="en-US"/>
        </w:rPr>
        <w:t>NBK of completed foreign exchange transactions involving</w:t>
      </w:r>
      <w:r w:rsidR="00647DDA" w:rsidRPr="003875F5">
        <w:rPr>
          <w:rFonts w:ascii="Times New Roman" w:hAnsi="Times New Roman" w:cs="Times New Roman"/>
          <w:i/>
          <w:sz w:val="24"/>
          <w:szCs w:val="24"/>
          <w:lang w:val="en-US"/>
        </w:rPr>
        <w:t xml:space="preserve"> </w:t>
      </w:r>
      <w:r w:rsidRPr="003875F5">
        <w:rPr>
          <w:rFonts w:ascii="Times New Roman" w:hAnsi="Times New Roman" w:cs="Times New Roman"/>
          <w:i/>
          <w:sz w:val="24"/>
          <w:szCs w:val="24"/>
          <w:lang w:val="en-US"/>
        </w:rPr>
        <w:t>the purchase of securities issued by nonresidents if the</w:t>
      </w:r>
      <w:r w:rsidR="00647DDA" w:rsidRPr="003875F5">
        <w:rPr>
          <w:rFonts w:ascii="Times New Roman" w:hAnsi="Times New Roman" w:cs="Times New Roman"/>
          <w:i/>
          <w:sz w:val="24"/>
          <w:szCs w:val="24"/>
          <w:lang w:val="en-US"/>
        </w:rPr>
        <w:t xml:space="preserve"> </w:t>
      </w:r>
      <w:r w:rsidRPr="003875F5">
        <w:rPr>
          <w:rFonts w:ascii="Times New Roman" w:hAnsi="Times New Roman" w:cs="Times New Roman"/>
          <w:i/>
          <w:sz w:val="24"/>
          <w:szCs w:val="24"/>
          <w:lang w:val="en-US"/>
        </w:rPr>
        <w:t>transaction amount exceeds the equivalent of US$100,000.</w:t>
      </w:r>
      <w:r w:rsidR="00647DDA" w:rsidRPr="003875F5">
        <w:rPr>
          <w:rFonts w:ascii="Times New Roman" w:hAnsi="Times New Roman" w:cs="Times New Roman"/>
          <w:i/>
          <w:sz w:val="24"/>
          <w:szCs w:val="24"/>
          <w:lang w:val="en-US"/>
        </w:rPr>
        <w:t xml:space="preserve"> </w:t>
      </w:r>
      <w:r w:rsidRPr="003875F5">
        <w:rPr>
          <w:rFonts w:ascii="Times New Roman" w:hAnsi="Times New Roman" w:cs="Times New Roman"/>
          <w:i/>
          <w:sz w:val="24"/>
          <w:szCs w:val="24"/>
          <w:lang w:val="en-US"/>
        </w:rPr>
        <w:t>As part of prudential regulation, restrictions have been</w:t>
      </w:r>
      <w:r w:rsidR="00647DDA" w:rsidRPr="003875F5">
        <w:rPr>
          <w:rFonts w:ascii="Times New Roman" w:hAnsi="Times New Roman" w:cs="Times New Roman"/>
          <w:i/>
          <w:sz w:val="24"/>
          <w:szCs w:val="24"/>
          <w:lang w:val="en-US"/>
        </w:rPr>
        <w:t xml:space="preserve"> </w:t>
      </w:r>
      <w:r w:rsidRPr="003875F5">
        <w:rPr>
          <w:rFonts w:ascii="Times New Roman" w:hAnsi="Times New Roman" w:cs="Times New Roman"/>
          <w:i/>
          <w:sz w:val="24"/>
          <w:szCs w:val="24"/>
          <w:lang w:val="en-US"/>
        </w:rPr>
        <w:t>established on inve</w:t>
      </w:r>
      <w:r w:rsidR="00647DDA" w:rsidRPr="003875F5">
        <w:rPr>
          <w:rFonts w:ascii="Times New Roman" w:hAnsi="Times New Roman" w:cs="Times New Roman"/>
          <w:i/>
          <w:sz w:val="24"/>
          <w:szCs w:val="24"/>
          <w:lang w:val="en-US"/>
        </w:rPr>
        <w:t>stments of pension funds</w:t>
      </w:r>
      <w:r w:rsidRPr="003875F5">
        <w:rPr>
          <w:rFonts w:ascii="Times New Roman" w:hAnsi="Times New Roman" w:cs="Times New Roman"/>
          <w:i/>
          <w:sz w:val="24"/>
          <w:szCs w:val="24"/>
          <w:lang w:val="en-US"/>
        </w:rPr>
        <w:t>, insurance</w:t>
      </w:r>
      <w:r w:rsidR="00647DDA" w:rsidRPr="003875F5">
        <w:rPr>
          <w:rFonts w:ascii="Times New Roman" w:hAnsi="Times New Roman" w:cs="Times New Roman"/>
          <w:i/>
          <w:sz w:val="24"/>
          <w:szCs w:val="24"/>
          <w:lang w:val="en-US"/>
        </w:rPr>
        <w:t xml:space="preserve"> companies, and investment funds</w:t>
      </w:r>
      <w:r w:rsidRPr="003875F5">
        <w:rPr>
          <w:rFonts w:ascii="Times New Roman" w:hAnsi="Times New Roman" w:cs="Times New Roman"/>
          <w:i/>
          <w:sz w:val="24"/>
          <w:szCs w:val="24"/>
          <w:lang w:val="en-US"/>
        </w:rPr>
        <w:t>”</w:t>
      </w:r>
      <w:r w:rsidRPr="003875F5">
        <w:rPr>
          <w:rFonts w:ascii="Times New Roman" w:hAnsi="Times New Roman" w:cs="Times New Roman"/>
          <w:sz w:val="24"/>
          <w:szCs w:val="24"/>
          <w:lang w:val="en-US"/>
        </w:rPr>
        <w:t xml:space="preserve"> (years prior to 2010 did not contain the second sentence)</w:t>
      </w:r>
      <w:r w:rsidR="00715FF0" w:rsidRPr="003875F5">
        <w:rPr>
          <w:rFonts w:ascii="Times New Roman" w:hAnsi="Times New Roman" w:cs="Times New Roman"/>
          <w:sz w:val="24"/>
          <w:szCs w:val="24"/>
          <w:lang w:val="en-US"/>
        </w:rPr>
        <w:t>. Please note that this pertains to three sectors: pension funds, insurance companies, and investment funds</w:t>
      </w:r>
      <w:r w:rsidR="00D73385" w:rsidRPr="003875F5">
        <w:rPr>
          <w:rFonts w:ascii="Times New Roman" w:hAnsi="Times New Roman" w:cs="Times New Roman"/>
          <w:sz w:val="24"/>
          <w:szCs w:val="24"/>
          <w:lang w:val="en-US"/>
        </w:rPr>
        <w:t>; thus, we believe that this might have a significant macro impact</w:t>
      </w:r>
      <w:r w:rsidR="00715FF0" w:rsidRPr="003875F5">
        <w:rPr>
          <w:rFonts w:ascii="Times New Roman" w:hAnsi="Times New Roman" w:cs="Times New Roman"/>
          <w:sz w:val="24"/>
          <w:szCs w:val="24"/>
          <w:lang w:val="en-US"/>
        </w:rPr>
        <w:t>.</w:t>
      </w:r>
    </w:p>
    <w:p w:rsidR="00856758" w:rsidRPr="003875F5" w:rsidRDefault="002746CB" w:rsidP="00F43B5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w:t>
      </w:r>
      <w:r w:rsidR="00856758" w:rsidRPr="003875F5">
        <w:rPr>
          <w:rFonts w:ascii="Times New Roman" w:hAnsi="Times New Roman" w:cs="Times New Roman"/>
          <w:sz w:val="24"/>
          <w:szCs w:val="24"/>
          <w:lang w:val="en-US"/>
        </w:rPr>
        <w:t xml:space="preserve"> </w:t>
      </w:r>
      <w:proofErr w:type="spellStart"/>
      <w:r w:rsidR="00856758" w:rsidRPr="003875F5">
        <w:rPr>
          <w:rFonts w:ascii="Times New Roman" w:hAnsi="Times New Roman" w:cs="Times New Roman"/>
          <w:sz w:val="24"/>
          <w:szCs w:val="24"/>
          <w:lang w:val="en-US"/>
        </w:rPr>
        <w:t>fci</w:t>
      </w:r>
      <w:proofErr w:type="spellEnd"/>
      <w:r w:rsidR="00856758" w:rsidRPr="003875F5">
        <w:rPr>
          <w:rFonts w:ascii="Times New Roman" w:hAnsi="Times New Roman" w:cs="Times New Roman"/>
          <w:sz w:val="24"/>
          <w:szCs w:val="24"/>
          <w:lang w:val="en-US"/>
        </w:rPr>
        <w:t xml:space="preserve"> 2006-2007 and </w:t>
      </w:r>
      <w:proofErr w:type="spellStart"/>
      <w:r w:rsidR="00856758" w:rsidRPr="003875F5">
        <w:rPr>
          <w:rFonts w:ascii="Times New Roman" w:hAnsi="Times New Roman" w:cs="Times New Roman"/>
          <w:sz w:val="24"/>
          <w:szCs w:val="24"/>
          <w:lang w:val="en-US"/>
        </w:rPr>
        <w:t>fco</w:t>
      </w:r>
      <w:proofErr w:type="spellEnd"/>
      <w:r w:rsidR="00856758" w:rsidRPr="003875F5">
        <w:rPr>
          <w:rFonts w:ascii="Times New Roman" w:hAnsi="Times New Roman" w:cs="Times New Roman"/>
          <w:sz w:val="24"/>
          <w:szCs w:val="24"/>
          <w:lang w:val="en-US"/>
        </w:rPr>
        <w:t xml:space="preserve"> 2007-2009</w:t>
      </w:r>
      <w:r w:rsidRPr="003875F5">
        <w:rPr>
          <w:rFonts w:ascii="Times New Roman" w:hAnsi="Times New Roman" w:cs="Times New Roman"/>
          <w:sz w:val="24"/>
          <w:szCs w:val="24"/>
          <w:lang w:val="en-US"/>
        </w:rPr>
        <w:t>, we use the exception of rule 3(iii).</w:t>
      </w:r>
    </w:p>
    <w:p w:rsidR="00CD750D" w:rsidRPr="003875F5" w:rsidRDefault="00CD750D" w:rsidP="00CD750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2002: “</w:t>
      </w:r>
      <w:r w:rsidRPr="003875F5">
        <w:rPr>
          <w:rFonts w:ascii="Times New Roman" w:hAnsi="Times New Roman" w:cs="Times New Roman"/>
          <w:i/>
          <w:sz w:val="24"/>
          <w:szCs w:val="24"/>
          <w:lang w:val="en-US"/>
        </w:rPr>
        <w:t>Present legislation has established only the concept of derivative instruments and does not define them. The accounting and registration of transactions with derivative securities traded on the organized securities markets are performed in accordance with the rules for securities exchange trading established by the trader.  The foreign exchange legislation regulates operations in underlying assets of financial instruments, but it does not directly regulate derivative financial instruments.</w:t>
      </w:r>
      <w:r w:rsidRPr="003875F5">
        <w:rPr>
          <w:rFonts w:ascii="Times New Roman" w:hAnsi="Times New Roman" w:cs="Times New Roman"/>
          <w:sz w:val="24"/>
          <w:szCs w:val="24"/>
          <w:lang w:val="en-US"/>
        </w:rPr>
        <w:t xml:space="preserve">” </w:t>
      </w:r>
      <w:r w:rsidR="00DB3C7A" w:rsidRPr="003875F5">
        <w:rPr>
          <w:rFonts w:ascii="Times New Roman" w:hAnsi="Times New Roman" w:cs="Times New Roman"/>
          <w:sz w:val="24"/>
          <w:szCs w:val="24"/>
          <w:lang w:val="en-US"/>
        </w:rPr>
        <w:t>Subcategories were coded in accordance with rule 3(i).</w:t>
      </w:r>
    </w:p>
    <w:p w:rsidR="00647DDA" w:rsidRPr="003875F5" w:rsidRDefault="00647DDA" w:rsidP="00B252C6">
      <w:pPr>
        <w:pStyle w:val="Estilo2"/>
      </w:pPr>
      <w:bookmarkStart w:id="45" w:name="_Toc402472344"/>
      <w:r w:rsidRPr="003875F5">
        <w:t>Kenya</w:t>
      </w:r>
      <w:bookmarkEnd w:id="45"/>
    </w:p>
    <w:p w:rsidR="00647DDA" w:rsidRPr="003875F5" w:rsidRDefault="00647DDA" w:rsidP="00647DD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r w:rsidR="00010985" w:rsidRPr="003875F5">
        <w:rPr>
          <w:rFonts w:ascii="Times New Roman" w:hAnsi="Times New Roman" w:cs="Times New Roman"/>
          <w:sz w:val="24"/>
          <w:szCs w:val="24"/>
          <w:lang w:val="en-US"/>
        </w:rPr>
        <w:t>2003-</w:t>
      </w:r>
      <w:r w:rsidRPr="003875F5">
        <w:rPr>
          <w:rFonts w:ascii="Times New Roman" w:hAnsi="Times New Roman" w:cs="Times New Roman"/>
          <w:sz w:val="24"/>
          <w:szCs w:val="24"/>
          <w:lang w:val="en-US"/>
        </w:rPr>
        <w:t xml:space="preserve">2005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the following must be considered as a control, since it is a clear quantity restriction</w:t>
      </w:r>
      <w:r w:rsidR="00010985" w:rsidRPr="003875F5">
        <w:rPr>
          <w:rFonts w:ascii="Times New Roman" w:hAnsi="Times New Roman" w:cs="Times New Roman"/>
          <w:sz w:val="24"/>
          <w:szCs w:val="24"/>
          <w:lang w:val="en-US"/>
        </w:rPr>
        <w:t xml:space="preserve"> (rule 6)</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A minimum of 25% of the share capital of a listed company must be held by domestic investors</w:t>
      </w:r>
      <w:r w:rsidRPr="003875F5">
        <w:rPr>
          <w:rFonts w:ascii="Times New Roman" w:hAnsi="Times New Roman" w:cs="Times New Roman"/>
          <w:sz w:val="24"/>
          <w:szCs w:val="24"/>
          <w:lang w:val="en-US"/>
        </w:rPr>
        <w:t>”</w:t>
      </w:r>
      <w:r w:rsidR="00010985" w:rsidRPr="003875F5">
        <w:rPr>
          <w:rFonts w:ascii="Times New Roman" w:hAnsi="Times New Roman" w:cs="Times New Roman"/>
          <w:sz w:val="24"/>
          <w:szCs w:val="24"/>
          <w:lang w:val="en-US"/>
        </w:rPr>
        <w:t xml:space="preserve"> This narrative continues until 2006 (nonetheless, we coded it with a one).</w:t>
      </w:r>
    </w:p>
    <w:p w:rsidR="00152960" w:rsidRPr="003875F5" w:rsidRDefault="00C81B75" w:rsidP="00B252C6">
      <w:pPr>
        <w:pStyle w:val="Estilo2"/>
      </w:pPr>
      <w:bookmarkStart w:id="46" w:name="_Toc402472345"/>
      <w:r w:rsidRPr="003875F5">
        <w:t>Korea</w:t>
      </w:r>
      <w:bookmarkEnd w:id="46"/>
    </w:p>
    <w:p w:rsidR="002E15DD" w:rsidRPr="003875F5" w:rsidRDefault="00C36839"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in 2006 we noticed that there were controls, as per our set of criteria, between January and February of 2006, but they were removed ever since and there were only allusions to controls on a very small sector. So we decided to code it as 0 for that year.</w:t>
      </w:r>
    </w:p>
    <w:p w:rsidR="00C36839" w:rsidRPr="003875F5" w:rsidRDefault="002E15DD"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2000-2012 we decided to code with zeros, as there was only a notification requirement (rule 14). Please note that we changed Schindler’s original coding in 2000-2005.</w:t>
      </w:r>
    </w:p>
    <w:p w:rsidR="008251F5" w:rsidRPr="003875F5" w:rsidRDefault="008251F5" w:rsidP="008251F5">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w:t>
      </w:r>
      <w:r w:rsidR="00406753" w:rsidRPr="003875F5">
        <w:rPr>
          <w:rFonts w:ascii="Times New Roman" w:hAnsi="Times New Roman" w:cs="Times New Roman"/>
          <w:sz w:val="24"/>
          <w:szCs w:val="24"/>
          <w:lang w:val="en-US"/>
        </w:rPr>
        <w:t>siln</w:t>
      </w:r>
      <w:proofErr w:type="spellEnd"/>
      <w:r w:rsidR="00406753" w:rsidRPr="003875F5">
        <w:rPr>
          <w:rFonts w:ascii="Times New Roman" w:hAnsi="Times New Roman" w:cs="Times New Roman"/>
          <w:sz w:val="24"/>
          <w:szCs w:val="24"/>
          <w:lang w:val="en-US"/>
        </w:rPr>
        <w:t xml:space="preserve"> 2006-2007</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Foreign institutions may issue collective investment securities in the domestic market, provided they establish themselves in Korea and submit a notification to the FSC. However, if collective investment securities are sold through a domestic distributor, a notification to the FSC is not required</w:t>
      </w:r>
      <w:r w:rsidRPr="003875F5">
        <w:rPr>
          <w:rFonts w:ascii="Times New Roman" w:hAnsi="Times New Roman" w:cs="Times New Roman"/>
          <w:sz w:val="24"/>
          <w:szCs w:val="24"/>
          <w:lang w:val="en-US"/>
        </w:rPr>
        <w:t xml:space="preserve">.” This is </w:t>
      </w:r>
      <w:r w:rsidR="00406753" w:rsidRPr="003875F5">
        <w:rPr>
          <w:rFonts w:ascii="Times New Roman" w:hAnsi="Times New Roman" w:cs="Times New Roman"/>
          <w:sz w:val="24"/>
          <w:szCs w:val="24"/>
          <w:lang w:val="en-US"/>
        </w:rPr>
        <w:t>a control, considering the requirement that the foreign institutions must establish themselves in Korea.</w:t>
      </w:r>
    </w:p>
    <w:p w:rsidR="00357ED5" w:rsidRPr="003875F5" w:rsidRDefault="00357ED5" w:rsidP="00357ED5">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dii 200</w:t>
      </w:r>
      <w:r w:rsidR="0039478A" w:rsidRPr="003875F5">
        <w:rPr>
          <w:rFonts w:ascii="Times New Roman" w:hAnsi="Times New Roman" w:cs="Times New Roman"/>
          <w:sz w:val="24"/>
          <w:szCs w:val="24"/>
          <w:lang w:val="en-US"/>
        </w:rPr>
        <w:t>4</w:t>
      </w:r>
      <w:r w:rsidR="007F2456"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Nonresidents are free to invest in Korea as long as they meet the requirements specified by the relevant laws. Controls apply to (1) investment in primary sectors, as follows: (a) the growing of rice and barley; (b) cattle husbandry and the wholesale selling of meat if foreign investors hold 50% or more of the share capital; (c) coastal and inshore fishery if foreign investors hold 50% or more of the share capital; (d) production and provision of fuel for nuclear electric power generation; (e) electric power generation if nuclear power is used or if foreign investors purchase more than 30% of the total amount of electric power generation facilities in Korea from Korea Electric Power Corporation; and (f) electric power transmission, and electric power distribution and supply if foreign investors hold 50% or more of the share capital or if a foreign investor would become the single largest shareholder; (2) establishment of financial institutions, as follows: (a) domestic banks, except commercial banks and regional banks; and (b) investment trust companies; (3) investment in the transport sector, as follows: (a) airline companies if foreign investors hold 50% or more of the share capital; and (b) shipping companies engaged in </w:t>
      </w:r>
      <w:proofErr w:type="spellStart"/>
      <w:r w:rsidRPr="003875F5">
        <w:rPr>
          <w:rFonts w:ascii="Times New Roman" w:hAnsi="Times New Roman" w:cs="Times New Roman"/>
          <w:i/>
          <w:sz w:val="24"/>
          <w:szCs w:val="24"/>
          <w:lang w:val="en-US"/>
        </w:rPr>
        <w:t>cabotage</w:t>
      </w:r>
      <w:proofErr w:type="spellEnd"/>
      <w:r w:rsidRPr="003875F5">
        <w:rPr>
          <w:rFonts w:ascii="Times New Roman" w:hAnsi="Times New Roman" w:cs="Times New Roman"/>
          <w:i/>
          <w:sz w:val="24"/>
          <w:szCs w:val="24"/>
          <w:lang w:val="en-US"/>
        </w:rPr>
        <w:t xml:space="preserve">, except those transporting passengers or cargo between the Republic of Korea and the Democratic People’s Republic of Korea in partnership with shipping companies of the Republic of Korea if foreign investors hold less than 50% of the share capital; (4) investment in the communications sector, as follows: (a) news agencies if foreign investors hold 25% or more of the share capital; (b) enterprises publishing newspapers if foreign investors hold 30% or more of the share capital; (c) enterprises publishing periodicals if foreign investors hold 50% or more of the share capital; (d) broadcasting companies, except if foreign investors hold 33% or less of the share capital in the case of satellite broadcasters or 49% or less of the share capital in the case of general cable broadcasters; (e) businesses using broadcasting channels if foreign investors hold more than 49% of the share capital; and (f) telecommunications (including services leasing related facilities) if foreign investors hold more than 49% of the share capital; and (5) investment in designated resident public sector utilities in the process of privatization, in cases in which the investment in question would bring individual or </w:t>
      </w:r>
      <w:r w:rsidRPr="003875F5">
        <w:rPr>
          <w:rFonts w:ascii="Times New Roman" w:hAnsi="Times New Roman" w:cs="Times New Roman"/>
          <w:i/>
          <w:sz w:val="24"/>
          <w:szCs w:val="24"/>
          <w:lang w:val="en-US"/>
        </w:rPr>
        <w:lastRenderedPageBreak/>
        <w:t>aggregate holdings of foreign investors above the respective percentages of the firms’ outstanding shares allowed by the relevant laws.</w:t>
      </w:r>
      <w:r w:rsidRPr="003875F5">
        <w:rPr>
          <w:rFonts w:ascii="Times New Roman" w:hAnsi="Times New Roman" w:cs="Times New Roman"/>
          <w:sz w:val="24"/>
          <w:szCs w:val="24"/>
          <w:lang w:val="en-US"/>
        </w:rPr>
        <w:t xml:space="preserve">” </w:t>
      </w:r>
      <w:r w:rsidR="00AD6F76" w:rsidRPr="003875F5">
        <w:rPr>
          <w:rFonts w:ascii="Times New Roman" w:hAnsi="Times New Roman" w:cs="Times New Roman"/>
          <w:sz w:val="24"/>
          <w:szCs w:val="24"/>
          <w:lang w:val="en-US"/>
        </w:rPr>
        <w:t>Although the composition of the restricted sectors changes throughout the years, in all cases we deem that there is a significant macro impact that must be reflected with ones (rule 7(ii)).</w:t>
      </w:r>
    </w:p>
    <w:p w:rsidR="00A00C77" w:rsidRPr="003875F5" w:rsidRDefault="00984181" w:rsidP="0098418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2008</w:t>
      </w:r>
      <w:r w:rsidR="007F2456"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Residents are free to invest abroad on notification to designated foreign exchange banks. Effective July 25, 2008, overseas investment by financial institutions and insurance companies requires FSC (previously, MOSF) notification and approval. Certain examination requirements, such as financing and appropriateness, are applicable only for investments in the banking and insurance businesses</w:t>
      </w:r>
      <w:r w:rsidRPr="003875F5">
        <w:rPr>
          <w:rFonts w:ascii="Times New Roman" w:hAnsi="Times New Roman" w:cs="Times New Roman"/>
          <w:sz w:val="24"/>
          <w:szCs w:val="24"/>
          <w:lang w:val="en-US"/>
        </w:rPr>
        <w:t>”</w:t>
      </w:r>
      <w:r w:rsidR="00406753" w:rsidRPr="003875F5">
        <w:rPr>
          <w:rFonts w:ascii="Times New Roman" w:hAnsi="Times New Roman" w:cs="Times New Roman"/>
          <w:sz w:val="24"/>
          <w:szCs w:val="24"/>
          <w:lang w:val="en-US"/>
        </w:rPr>
        <w:t xml:space="preserve"> </w:t>
      </w:r>
      <w:r w:rsidR="00AD6F76" w:rsidRPr="003875F5">
        <w:rPr>
          <w:rFonts w:ascii="Times New Roman" w:hAnsi="Times New Roman" w:cs="Times New Roman"/>
          <w:sz w:val="24"/>
          <w:szCs w:val="24"/>
          <w:lang w:val="en-US"/>
        </w:rPr>
        <w:t>We do not consider this measure to be a control, since it affects the bank’s own position and not its intermediary position.</w:t>
      </w:r>
    </w:p>
    <w:p w:rsidR="00E561D2" w:rsidRPr="003875F5" w:rsidRDefault="00E561D2" w:rsidP="00B252C6">
      <w:pPr>
        <w:pStyle w:val="Estilo2"/>
      </w:pPr>
      <w:bookmarkStart w:id="47" w:name="_Toc402472346"/>
      <w:r w:rsidRPr="003875F5">
        <w:t>Kuwait</w:t>
      </w:r>
      <w:bookmarkEnd w:id="47"/>
    </w:p>
    <w:p w:rsidR="00E561D2" w:rsidRPr="003875F5" w:rsidRDefault="00801667"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2006-2012, the following narrative is present:</w:t>
      </w:r>
      <w:r w:rsidR="00E561D2" w:rsidRPr="003875F5">
        <w:rPr>
          <w:rFonts w:ascii="Times New Roman" w:hAnsi="Times New Roman" w:cs="Times New Roman"/>
          <w:sz w:val="24"/>
          <w:szCs w:val="24"/>
          <w:lang w:val="en-US"/>
        </w:rPr>
        <w:t xml:space="preserve"> “Controls apply to banks and financing companies subject to CBK supervision” </w:t>
      </w:r>
      <w:r w:rsidRPr="003875F5">
        <w:rPr>
          <w:rFonts w:ascii="Times New Roman" w:hAnsi="Times New Roman" w:cs="Times New Roman"/>
          <w:sz w:val="24"/>
          <w:szCs w:val="24"/>
          <w:lang w:val="en-US"/>
        </w:rPr>
        <w:t>We interpret that this restriction is intended to apply to nonresidents purchasing equity, therefore, this is taken to be a control.</w:t>
      </w:r>
    </w:p>
    <w:p w:rsidR="00C81B75" w:rsidRPr="003875F5" w:rsidRDefault="003833BA" w:rsidP="00B252C6">
      <w:pPr>
        <w:pStyle w:val="Estilo2"/>
      </w:pPr>
      <w:bookmarkStart w:id="48" w:name="_Toc402472347"/>
      <w:r w:rsidRPr="003875F5">
        <w:t>Kyrgyz Republic</w:t>
      </w:r>
      <w:bookmarkEnd w:id="48"/>
    </w:p>
    <w:p w:rsidR="001936F7" w:rsidRPr="003875F5" w:rsidRDefault="007940AD" w:rsidP="001669DD">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1998-1999: “</w:t>
      </w:r>
      <w:r w:rsidRPr="003875F5">
        <w:rPr>
          <w:rFonts w:ascii="Times New Roman" w:hAnsi="Times New Roman" w:cs="Times New Roman"/>
          <w:i/>
          <w:sz w:val="24"/>
          <w:szCs w:val="24"/>
          <w:lang w:val="en-US"/>
        </w:rPr>
        <w:t>The same regulations apply as for purchases in the country by nonresidents</w:t>
      </w:r>
      <w:r w:rsidRPr="003875F5">
        <w:rPr>
          <w:rFonts w:ascii="Times New Roman" w:hAnsi="Times New Roman" w:cs="Times New Roman"/>
          <w:sz w:val="24"/>
          <w:szCs w:val="24"/>
          <w:lang w:val="en-US"/>
        </w:rPr>
        <w:t xml:space="preserve">.” Keeping this in mind, we decided to change Schindler’s original coding since </w:t>
      </w:r>
      <w:proofErr w:type="spellStart"/>
      <w:r w:rsidRPr="003875F5">
        <w:rPr>
          <w:rFonts w:ascii="Times New Roman" w:hAnsi="Times New Roman" w:cs="Times New Roman"/>
          <w:sz w:val="24"/>
          <w:szCs w:val="24"/>
          <w:lang w:val="en-US"/>
        </w:rPr>
        <w:t>plbn</w:t>
      </w:r>
      <w:proofErr w:type="spellEnd"/>
      <w:r w:rsidRPr="003875F5">
        <w:rPr>
          <w:rFonts w:ascii="Times New Roman" w:hAnsi="Times New Roman" w:cs="Times New Roman"/>
          <w:sz w:val="24"/>
          <w:szCs w:val="24"/>
          <w:lang w:val="en-US"/>
        </w:rPr>
        <w:t xml:space="preserve"> has only a registration requirement. </w:t>
      </w:r>
    </w:p>
    <w:p w:rsidR="007940AD" w:rsidRPr="003875F5" w:rsidRDefault="001936F7" w:rsidP="001669DD">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bo_plbn</w:t>
      </w:r>
      <w:proofErr w:type="spellEnd"/>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bo_siln</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bo_siar</w:t>
      </w:r>
      <w:proofErr w:type="spellEnd"/>
      <w:r w:rsidRPr="003875F5">
        <w:rPr>
          <w:rFonts w:ascii="Times New Roman" w:hAnsi="Times New Roman" w:cs="Times New Roman"/>
          <w:sz w:val="24"/>
          <w:szCs w:val="24"/>
          <w:lang w:val="en-US"/>
        </w:rPr>
        <w:t xml:space="preserve"> (2002-2004) and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(2003): we changed Schindler’s original coding, pursuant rule 3(i).</w:t>
      </w:r>
    </w:p>
    <w:p w:rsidR="001669DD" w:rsidRPr="003875F5" w:rsidRDefault="001936F7" w:rsidP="001669DD">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There were t</w:t>
      </w:r>
      <w:r w:rsidR="001669DD" w:rsidRPr="003875F5">
        <w:rPr>
          <w:rFonts w:ascii="Times New Roman" w:hAnsi="Times New Roman" w:cs="Times New Roman"/>
          <w:sz w:val="24"/>
          <w:szCs w:val="24"/>
          <w:lang w:val="en-US"/>
        </w:rPr>
        <w:t>ypo</w:t>
      </w:r>
      <w:r w:rsidRPr="003875F5">
        <w:rPr>
          <w:rFonts w:ascii="Times New Roman" w:hAnsi="Times New Roman" w:cs="Times New Roman"/>
          <w:sz w:val="24"/>
          <w:szCs w:val="24"/>
          <w:lang w:val="en-US"/>
        </w:rPr>
        <w:t>s</w:t>
      </w:r>
      <w:r w:rsidR="001669DD" w:rsidRPr="003875F5">
        <w:rPr>
          <w:rFonts w:ascii="Times New Roman" w:hAnsi="Times New Roman" w:cs="Times New Roman"/>
          <w:sz w:val="24"/>
          <w:szCs w:val="24"/>
          <w:lang w:val="en-US"/>
        </w:rPr>
        <w:t xml:space="preserve"> in </w:t>
      </w:r>
      <w:proofErr w:type="spellStart"/>
      <w:r w:rsidR="001669DD" w:rsidRPr="003875F5">
        <w:rPr>
          <w:rFonts w:ascii="Times New Roman" w:hAnsi="Times New Roman" w:cs="Times New Roman"/>
          <w:sz w:val="24"/>
          <w:szCs w:val="24"/>
          <w:lang w:val="en-US"/>
        </w:rPr>
        <w:t>bo_siar</w:t>
      </w:r>
      <w:proofErr w:type="spellEnd"/>
      <w:r w:rsidR="001669DD" w:rsidRPr="003875F5">
        <w:rPr>
          <w:rFonts w:ascii="Times New Roman" w:hAnsi="Times New Roman" w:cs="Times New Roman"/>
          <w:sz w:val="24"/>
          <w:szCs w:val="24"/>
          <w:lang w:val="en-US"/>
        </w:rPr>
        <w:t xml:space="preserve"> 2007-2012</w:t>
      </w:r>
      <w:r w:rsidRPr="003875F5">
        <w:rPr>
          <w:rFonts w:ascii="Times New Roman" w:hAnsi="Times New Roman" w:cs="Times New Roman"/>
          <w:sz w:val="24"/>
          <w:szCs w:val="24"/>
          <w:lang w:val="en-US"/>
        </w:rPr>
        <w:t>.</w:t>
      </w:r>
      <w:r w:rsidR="001669DD" w:rsidRPr="003875F5">
        <w:rPr>
          <w:rFonts w:ascii="Times New Roman" w:hAnsi="Times New Roman" w:cs="Times New Roman"/>
          <w:sz w:val="24"/>
          <w:szCs w:val="24"/>
          <w:lang w:val="en-US"/>
        </w:rPr>
        <w:t xml:space="preserve"> There is a “</w:t>
      </w:r>
      <w:r w:rsidR="001669DD" w:rsidRPr="003875F5">
        <w:rPr>
          <w:rFonts w:ascii="Times New Roman" w:hAnsi="Times New Roman" w:cs="Times New Roman"/>
          <w:i/>
          <w:sz w:val="24"/>
          <w:szCs w:val="24"/>
          <w:lang w:val="en-US"/>
        </w:rPr>
        <w:t>no</w:t>
      </w:r>
      <w:r w:rsidR="001669DD" w:rsidRPr="003875F5">
        <w:rPr>
          <w:rFonts w:ascii="Times New Roman" w:hAnsi="Times New Roman" w:cs="Times New Roman"/>
          <w:sz w:val="24"/>
          <w:szCs w:val="24"/>
          <w:lang w:val="en-US"/>
        </w:rPr>
        <w:t xml:space="preserve">” with </w:t>
      </w:r>
      <w:proofErr w:type="gramStart"/>
      <w:r w:rsidR="001669DD" w:rsidRPr="003875F5">
        <w:rPr>
          <w:rFonts w:ascii="Times New Roman" w:hAnsi="Times New Roman" w:cs="Times New Roman"/>
          <w:sz w:val="24"/>
          <w:szCs w:val="24"/>
          <w:lang w:val="en-US"/>
        </w:rPr>
        <w:t>no</w:t>
      </w:r>
      <w:proofErr w:type="gramEnd"/>
      <w:r w:rsidR="001669DD" w:rsidRPr="003875F5">
        <w:rPr>
          <w:rFonts w:ascii="Times New Roman" w:hAnsi="Times New Roman" w:cs="Times New Roman"/>
          <w:sz w:val="24"/>
          <w:szCs w:val="24"/>
          <w:lang w:val="en-US"/>
        </w:rPr>
        <w:t xml:space="preserve"> further information.</w:t>
      </w:r>
    </w:p>
    <w:p w:rsidR="001669DD" w:rsidRPr="003875F5" w:rsidRDefault="001669DD" w:rsidP="001669DD">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dii 2007-201</w:t>
      </w:r>
      <w:r w:rsidR="003435F8">
        <w:rPr>
          <w:rFonts w:ascii="Times New Roman" w:hAnsi="Times New Roman" w:cs="Times New Roman"/>
          <w:sz w:val="24"/>
          <w:szCs w:val="24"/>
          <w:lang w:val="en-US"/>
        </w:rPr>
        <w:t>3</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All direct investment enterprises must be registered with the Ministry of Justice, statistical agencies, the social fund, and the tax inspectorate. Acquisition of more than 10% of the shares of a bank is subject to approval by the NBKR. Legal entities not engaged in financial activity may not own more than 20% of a bank’s voting shares.</w:t>
      </w:r>
      <w:r w:rsidRPr="003875F5">
        <w:rPr>
          <w:rFonts w:ascii="Times New Roman" w:hAnsi="Times New Roman" w:cs="Times New Roman"/>
          <w:sz w:val="24"/>
          <w:szCs w:val="24"/>
          <w:lang w:val="en-US"/>
        </w:rPr>
        <w:t xml:space="preserve">” This </w:t>
      </w:r>
      <w:r w:rsidR="001936F7" w:rsidRPr="003875F5">
        <w:rPr>
          <w:rFonts w:ascii="Times New Roman" w:hAnsi="Times New Roman" w:cs="Times New Roman"/>
          <w:sz w:val="24"/>
          <w:szCs w:val="24"/>
          <w:lang w:val="en-US"/>
        </w:rPr>
        <w:t>was not considered a control, in spite of the fact that the restriction affects banks.</w:t>
      </w:r>
    </w:p>
    <w:p w:rsidR="00203BBA" w:rsidRPr="003875F5" w:rsidRDefault="00203BBA" w:rsidP="00203BBA">
      <w:pPr>
        <w:pStyle w:val="Prrafodelista"/>
        <w:numPr>
          <w:ilvl w:val="2"/>
          <w:numId w:val="2"/>
        </w:num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derivatives (header) </w:t>
      </w:r>
      <w:r w:rsidR="00966D17" w:rsidRPr="003875F5">
        <w:rPr>
          <w:rFonts w:ascii="Times New Roman" w:hAnsi="Times New Roman" w:cs="Times New Roman"/>
          <w:sz w:val="24"/>
          <w:szCs w:val="24"/>
          <w:lang w:val="en-US"/>
        </w:rPr>
        <w:t>1996-</w:t>
      </w:r>
      <w:r w:rsidR="004B4723"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Currently these instruments are not regulated, given the lack of such instruments</w:t>
      </w:r>
      <w:r w:rsidRPr="003875F5">
        <w:rPr>
          <w:rFonts w:ascii="Times New Roman" w:hAnsi="Times New Roman" w:cs="Times New Roman"/>
          <w:sz w:val="24"/>
          <w:szCs w:val="24"/>
          <w:lang w:val="en-US"/>
        </w:rPr>
        <w:t>.”</w:t>
      </w:r>
      <w:r w:rsidR="00DB3C7A" w:rsidRPr="003875F5">
        <w:rPr>
          <w:rFonts w:ascii="Times New Roman" w:hAnsi="Times New Roman" w:cs="Times New Roman"/>
          <w:sz w:val="24"/>
          <w:szCs w:val="24"/>
          <w:lang w:val="en-US"/>
        </w:rPr>
        <w:t xml:space="preserve"> </w:t>
      </w:r>
      <w:r w:rsidR="005C435A" w:rsidRPr="003875F5">
        <w:rPr>
          <w:rFonts w:ascii="Times New Roman" w:hAnsi="Times New Roman" w:cs="Times New Roman"/>
          <w:sz w:val="24"/>
          <w:szCs w:val="24"/>
          <w:lang w:val="en-US"/>
        </w:rPr>
        <w:t>In 2000, we decided to set all subcategories as not regulated “</w:t>
      </w:r>
      <w:proofErr w:type="spellStart"/>
      <w:r w:rsidR="005C435A" w:rsidRPr="003875F5">
        <w:rPr>
          <w:rFonts w:ascii="Times New Roman" w:hAnsi="Times New Roman" w:cs="Times New Roman"/>
          <w:i/>
          <w:sz w:val="24"/>
          <w:szCs w:val="24"/>
          <w:lang w:val="en-US"/>
        </w:rPr>
        <w:t>n.r</w:t>
      </w:r>
      <w:proofErr w:type="spellEnd"/>
      <w:r w:rsidR="005C435A" w:rsidRPr="003875F5">
        <w:rPr>
          <w:rFonts w:ascii="Times New Roman" w:hAnsi="Times New Roman" w:cs="Times New Roman"/>
          <w:sz w:val="24"/>
          <w:szCs w:val="24"/>
          <w:lang w:val="en-US"/>
        </w:rPr>
        <w:t>”, despite the fact that there are “yes” in the second column for all subcategories, since this header remains unchanged.</w:t>
      </w:r>
    </w:p>
    <w:p w:rsidR="00750081" w:rsidRPr="003875F5" w:rsidRDefault="00750081" w:rsidP="00B252C6">
      <w:pPr>
        <w:pStyle w:val="Estilo2"/>
      </w:pPr>
      <w:bookmarkStart w:id="49" w:name="_Toc402472348"/>
      <w:r w:rsidRPr="003875F5">
        <w:t>Latvia</w:t>
      </w:r>
      <w:bookmarkEnd w:id="49"/>
    </w:p>
    <w:p w:rsidR="00750081" w:rsidRPr="003875F5" w:rsidRDefault="00750081" w:rsidP="00750081">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1995: “</w:t>
      </w:r>
      <w:r w:rsidRPr="003875F5">
        <w:rPr>
          <w:rFonts w:ascii="Times New Roman" w:hAnsi="Times New Roman" w:cs="Times New Roman"/>
          <w:i/>
          <w:sz w:val="24"/>
          <w:szCs w:val="24"/>
          <w:lang w:val="en-US"/>
        </w:rPr>
        <w:t>No restrictions for purchase of buildings; as to purchase of land some restrictions still exist, though the land market is being gradually liberalized</w:t>
      </w:r>
      <w:r w:rsidRPr="003875F5">
        <w:rPr>
          <w:rFonts w:ascii="Times New Roman" w:hAnsi="Times New Roman" w:cs="Times New Roman"/>
          <w:sz w:val="24"/>
          <w:szCs w:val="24"/>
          <w:lang w:val="en-US"/>
        </w:rPr>
        <w:t xml:space="preserve">.” </w:t>
      </w:r>
      <w:r w:rsidR="00FB4B65" w:rsidRPr="003875F5">
        <w:rPr>
          <w:rFonts w:ascii="Times New Roman" w:hAnsi="Times New Roman" w:cs="Times New Roman"/>
          <w:sz w:val="24"/>
          <w:szCs w:val="24"/>
          <w:lang w:val="en-US"/>
        </w:rPr>
        <w:t>We</w:t>
      </w:r>
      <w:r w:rsidR="0099114F" w:rsidRPr="003875F5">
        <w:rPr>
          <w:rFonts w:ascii="Times New Roman" w:hAnsi="Times New Roman" w:cs="Times New Roman"/>
          <w:sz w:val="24"/>
          <w:szCs w:val="24"/>
          <w:lang w:val="en-US"/>
        </w:rPr>
        <w:t xml:space="preserve"> coded with ones.</w:t>
      </w:r>
    </w:p>
    <w:p w:rsidR="00B33B45" w:rsidRPr="003875F5" w:rsidRDefault="00C442CF" w:rsidP="00B252C6">
      <w:pPr>
        <w:pStyle w:val="Estilo2"/>
      </w:pPr>
      <w:bookmarkStart w:id="50" w:name="_Toc402472349"/>
      <w:r w:rsidRPr="003875F5">
        <w:t>Lebanon</w:t>
      </w:r>
      <w:bookmarkEnd w:id="50"/>
    </w:p>
    <w:p w:rsidR="00B33B45" w:rsidRPr="003875F5" w:rsidRDefault="00D813AE" w:rsidP="00D73385">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r w:rsidR="00CC0DCA" w:rsidRPr="003875F5">
        <w:rPr>
          <w:rFonts w:ascii="Times New Roman" w:hAnsi="Times New Roman" w:cs="Times New Roman"/>
          <w:sz w:val="24"/>
          <w:szCs w:val="24"/>
          <w:lang w:val="en-US"/>
        </w:rPr>
        <w:t xml:space="preserve">2002, </w:t>
      </w:r>
      <w:r w:rsidRPr="003875F5">
        <w:rPr>
          <w:rFonts w:ascii="Times New Roman" w:hAnsi="Times New Roman" w:cs="Times New Roman"/>
          <w:sz w:val="24"/>
          <w:szCs w:val="24"/>
          <w:lang w:val="en-US"/>
        </w:rPr>
        <w:t>2004-</w:t>
      </w:r>
      <w:r w:rsidR="009B636E"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eq_siar</w:t>
      </w:r>
      <w:proofErr w:type="spellEnd"/>
      <w:r w:rsidR="00AC7D77" w:rsidRPr="003875F5">
        <w:rPr>
          <w:rFonts w:ascii="Times New Roman" w:hAnsi="Times New Roman" w:cs="Times New Roman"/>
          <w:sz w:val="24"/>
          <w:szCs w:val="24"/>
          <w:lang w:val="en-US"/>
        </w:rPr>
        <w:t xml:space="preserve"> and </w:t>
      </w:r>
      <w:proofErr w:type="spellStart"/>
      <w:r w:rsidR="00AC7D77" w:rsidRPr="003875F5">
        <w:rPr>
          <w:rFonts w:ascii="Times New Roman" w:hAnsi="Times New Roman" w:cs="Times New Roman"/>
          <w:sz w:val="24"/>
          <w:szCs w:val="24"/>
          <w:lang w:val="en-US"/>
        </w:rPr>
        <w:t>bo_siar</w:t>
      </w:r>
      <w:proofErr w:type="spellEnd"/>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Banks and financial institutions require prior BDL approval to issue shares locally or abroad</w:t>
      </w:r>
      <w:r w:rsidRPr="003875F5">
        <w:rPr>
          <w:rFonts w:ascii="Times New Roman" w:hAnsi="Times New Roman" w:cs="Times New Roman"/>
          <w:sz w:val="24"/>
          <w:szCs w:val="24"/>
          <w:lang w:val="en-US"/>
        </w:rPr>
        <w:t xml:space="preserve">” </w:t>
      </w:r>
      <w:r w:rsidR="00B33B45" w:rsidRPr="003875F5">
        <w:rPr>
          <w:rFonts w:ascii="Times New Roman" w:hAnsi="Times New Roman" w:cs="Times New Roman"/>
          <w:sz w:val="24"/>
          <w:szCs w:val="24"/>
          <w:lang w:val="en-US"/>
        </w:rPr>
        <w:t>Banking sector is assumed to have an important macroeconomic impact. Therefore, a restriction in that sector is coded with ones.</w:t>
      </w:r>
    </w:p>
    <w:p w:rsidR="00B33B45" w:rsidRPr="003875F5" w:rsidRDefault="009B636E" w:rsidP="00D73385">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2004-2012</w:t>
      </w:r>
      <w:r w:rsidR="00AC7D77" w:rsidRPr="003875F5">
        <w:rPr>
          <w:rFonts w:ascii="Times New Roman" w:hAnsi="Times New Roman" w:cs="Times New Roman"/>
          <w:sz w:val="24"/>
          <w:szCs w:val="24"/>
          <w:lang w:val="en-US"/>
        </w:rPr>
        <w:t xml:space="preserve"> </w:t>
      </w:r>
      <w:proofErr w:type="spellStart"/>
      <w:r w:rsidR="00AC7D77" w:rsidRPr="003875F5">
        <w:rPr>
          <w:rFonts w:ascii="Times New Roman" w:hAnsi="Times New Roman" w:cs="Times New Roman"/>
          <w:sz w:val="24"/>
          <w:szCs w:val="24"/>
          <w:lang w:val="en-US"/>
        </w:rPr>
        <w:t>ci_pabr</w:t>
      </w:r>
      <w:proofErr w:type="spellEnd"/>
      <w:r w:rsidR="00AC7D77" w:rsidRPr="003875F5">
        <w:rPr>
          <w:rFonts w:ascii="Times New Roman" w:hAnsi="Times New Roman" w:cs="Times New Roman"/>
          <w:sz w:val="24"/>
          <w:szCs w:val="24"/>
          <w:lang w:val="en-US"/>
        </w:rPr>
        <w:t>: “</w:t>
      </w:r>
      <w:r w:rsidR="00AC7D77" w:rsidRPr="003875F5">
        <w:rPr>
          <w:rFonts w:ascii="Times New Roman" w:hAnsi="Times New Roman" w:cs="Times New Roman"/>
          <w:i/>
          <w:sz w:val="24"/>
          <w:szCs w:val="24"/>
          <w:lang w:val="en-US"/>
        </w:rPr>
        <w:t>The limit for banks is set by Article 153 of the Code of Money and Credit</w:t>
      </w:r>
      <w:r w:rsidR="00AC7D77" w:rsidRPr="003875F5">
        <w:rPr>
          <w:rFonts w:ascii="Times New Roman" w:hAnsi="Times New Roman" w:cs="Times New Roman"/>
          <w:sz w:val="24"/>
          <w:szCs w:val="24"/>
          <w:lang w:val="en-US"/>
        </w:rPr>
        <w:t>.”</w:t>
      </w:r>
      <w:r w:rsidR="00A543C6" w:rsidRPr="003875F5">
        <w:rPr>
          <w:rFonts w:ascii="Times New Roman" w:hAnsi="Times New Roman" w:cs="Times New Roman"/>
          <w:sz w:val="24"/>
          <w:szCs w:val="24"/>
          <w:lang w:val="en-US"/>
        </w:rPr>
        <w:t xml:space="preserve"> </w:t>
      </w:r>
      <w:r w:rsidR="00B33B45" w:rsidRPr="003875F5">
        <w:rPr>
          <w:rFonts w:ascii="Times New Roman" w:hAnsi="Times New Roman" w:cs="Times New Roman"/>
          <w:sz w:val="24"/>
          <w:szCs w:val="24"/>
          <w:lang w:val="en-US"/>
        </w:rPr>
        <w:t>Idem as above.</w:t>
      </w:r>
    </w:p>
    <w:p w:rsidR="00D813AE" w:rsidRPr="003875F5" w:rsidRDefault="00D813AE" w:rsidP="00D73385">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2004-</w:t>
      </w:r>
      <w:r w:rsidR="00384252" w:rsidRPr="003875F5">
        <w:rPr>
          <w:rFonts w:ascii="Times New Roman" w:hAnsi="Times New Roman" w:cs="Times New Roman"/>
          <w:sz w:val="24"/>
          <w:szCs w:val="24"/>
          <w:lang w:val="en-US"/>
        </w:rPr>
        <w:t>20</w:t>
      </w:r>
      <w:r w:rsidR="00CA5894">
        <w:rPr>
          <w:rFonts w:ascii="Times New Roman" w:hAnsi="Times New Roman" w:cs="Times New Roman"/>
          <w:sz w:val="24"/>
          <w:szCs w:val="24"/>
          <w:lang w:val="en-US"/>
        </w:rPr>
        <w:t>13</w:t>
      </w:r>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Direct investments abroad by banks require prior BDL approval and are subject to the limit set by Article 153 of the Code of Money and Credit.</w:t>
      </w:r>
      <w:r w:rsidRPr="003875F5">
        <w:rPr>
          <w:rFonts w:ascii="Times New Roman" w:hAnsi="Times New Roman" w:cs="Times New Roman"/>
          <w:sz w:val="24"/>
          <w:szCs w:val="24"/>
          <w:lang w:val="en-US"/>
        </w:rPr>
        <w:t xml:space="preserve">” </w:t>
      </w:r>
      <w:r w:rsidR="00B33B45" w:rsidRPr="003875F5">
        <w:rPr>
          <w:rFonts w:ascii="Times New Roman" w:hAnsi="Times New Roman" w:cs="Times New Roman"/>
          <w:sz w:val="24"/>
          <w:szCs w:val="24"/>
          <w:lang w:val="en-US"/>
        </w:rPr>
        <w:t>Idem as above.</w:t>
      </w:r>
    </w:p>
    <w:p w:rsidR="00B33B45" w:rsidRPr="003875F5" w:rsidRDefault="00E81856" w:rsidP="00A969E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w:t>
      </w:r>
      <w:r w:rsidR="00A543C6" w:rsidRPr="003875F5">
        <w:rPr>
          <w:rFonts w:ascii="Times New Roman" w:hAnsi="Times New Roman" w:cs="Times New Roman"/>
          <w:sz w:val="24"/>
          <w:szCs w:val="24"/>
          <w:lang w:val="en-US"/>
        </w:rPr>
        <w:t xml:space="preserve"> 2008</w:t>
      </w:r>
      <w:r w:rsidRPr="003875F5">
        <w:rPr>
          <w:rFonts w:ascii="Times New Roman" w:hAnsi="Times New Roman" w:cs="Times New Roman"/>
          <w:sz w:val="24"/>
          <w:szCs w:val="24"/>
          <w:lang w:val="en-US"/>
        </w:rPr>
        <w:t>-</w:t>
      </w:r>
      <w:r w:rsidR="00384252" w:rsidRPr="003875F5">
        <w:rPr>
          <w:rFonts w:ascii="Times New Roman" w:hAnsi="Times New Roman" w:cs="Times New Roman"/>
          <w:sz w:val="24"/>
          <w:szCs w:val="24"/>
          <w:lang w:val="en-US"/>
        </w:rPr>
        <w:t>20</w:t>
      </w:r>
      <w:r w:rsidR="00A1445C">
        <w:rPr>
          <w:rFonts w:ascii="Times New Roman" w:hAnsi="Times New Roman" w:cs="Times New Roman"/>
          <w:sz w:val="24"/>
          <w:szCs w:val="24"/>
          <w:lang w:val="en-US"/>
        </w:rPr>
        <w:t>13</w:t>
      </w:r>
      <w:r w:rsidR="00A543C6" w:rsidRPr="003875F5">
        <w:rPr>
          <w:rFonts w:ascii="Times New Roman" w:hAnsi="Times New Roman" w:cs="Times New Roman"/>
          <w:sz w:val="24"/>
          <w:szCs w:val="24"/>
          <w:lang w:val="en-US"/>
        </w:rPr>
        <w:t xml:space="preserve"> </w:t>
      </w:r>
      <w:proofErr w:type="spellStart"/>
      <w:r w:rsidR="00A543C6" w:rsidRPr="003875F5">
        <w:rPr>
          <w:rFonts w:ascii="Times New Roman" w:hAnsi="Times New Roman" w:cs="Times New Roman"/>
          <w:sz w:val="24"/>
          <w:szCs w:val="24"/>
          <w:lang w:val="en-US"/>
        </w:rPr>
        <w:t>eq_plbn</w:t>
      </w:r>
      <w:proofErr w:type="spellEnd"/>
      <w:r w:rsidR="00A543C6" w:rsidRPr="003875F5">
        <w:rPr>
          <w:rFonts w:ascii="Times New Roman" w:hAnsi="Times New Roman" w:cs="Times New Roman"/>
          <w:sz w:val="24"/>
          <w:szCs w:val="24"/>
          <w:lang w:val="en-US"/>
        </w:rPr>
        <w:t>: “</w:t>
      </w:r>
      <w:r w:rsidR="00A543C6" w:rsidRPr="003875F5">
        <w:rPr>
          <w:rFonts w:ascii="Times New Roman" w:hAnsi="Times New Roman" w:cs="Times New Roman"/>
          <w:i/>
          <w:sz w:val="24"/>
          <w:szCs w:val="24"/>
          <w:lang w:val="en-US"/>
        </w:rPr>
        <w:t xml:space="preserve">Limits are imposed on the acquisition of shares in real estate companies. Effective June 10, 2008, acquisition of shares in financial institutions (other than banks) is subject to the prior approval of BDL Central Council if (1) the shares to be acquired exceed 10% of the financial institution’s total shares; (2) the purchaser already holds 10% or more of the financial institution’s shares; or (3) the purchaser is a member of the board of directors, irrespective of the number of shares to be sold. The 10% limit is applicable to spouses, minors, and any economic group. Previously, approval was required in the following cases: (1) the shares to be acquired represented more than 5% of total shares or voting rights. (2) </w:t>
      </w:r>
      <w:proofErr w:type="gramStart"/>
      <w:r w:rsidR="00A543C6" w:rsidRPr="003875F5">
        <w:rPr>
          <w:rFonts w:ascii="Times New Roman" w:hAnsi="Times New Roman" w:cs="Times New Roman"/>
          <w:i/>
          <w:sz w:val="24"/>
          <w:szCs w:val="24"/>
          <w:lang w:val="en-US"/>
        </w:rPr>
        <w:t>the</w:t>
      </w:r>
      <w:proofErr w:type="gramEnd"/>
      <w:r w:rsidR="00A543C6" w:rsidRPr="003875F5">
        <w:rPr>
          <w:rFonts w:ascii="Times New Roman" w:hAnsi="Times New Roman" w:cs="Times New Roman"/>
          <w:i/>
          <w:sz w:val="24"/>
          <w:szCs w:val="24"/>
          <w:lang w:val="en-US"/>
        </w:rPr>
        <w:t xml:space="preserve"> purchaser already held more than 5% of total shares or voting rights. (3) </w:t>
      </w:r>
      <w:proofErr w:type="gramStart"/>
      <w:r w:rsidR="00A543C6" w:rsidRPr="003875F5">
        <w:rPr>
          <w:rFonts w:ascii="Times New Roman" w:hAnsi="Times New Roman" w:cs="Times New Roman"/>
          <w:i/>
          <w:sz w:val="24"/>
          <w:szCs w:val="24"/>
          <w:lang w:val="en-US"/>
        </w:rPr>
        <w:t>the</w:t>
      </w:r>
      <w:proofErr w:type="gramEnd"/>
      <w:r w:rsidR="00A543C6" w:rsidRPr="003875F5">
        <w:rPr>
          <w:rFonts w:ascii="Times New Roman" w:hAnsi="Times New Roman" w:cs="Times New Roman"/>
          <w:i/>
          <w:sz w:val="24"/>
          <w:szCs w:val="24"/>
          <w:lang w:val="en-US"/>
        </w:rPr>
        <w:t xml:space="preserve"> purchaser or seller of the shares was a member of the senior management of the bank involved. (4) </w:t>
      </w:r>
      <w:proofErr w:type="gramStart"/>
      <w:r w:rsidR="00A543C6" w:rsidRPr="003875F5">
        <w:rPr>
          <w:rFonts w:ascii="Times New Roman" w:hAnsi="Times New Roman" w:cs="Times New Roman"/>
          <w:i/>
          <w:sz w:val="24"/>
          <w:szCs w:val="24"/>
          <w:lang w:val="en-US"/>
        </w:rPr>
        <w:t>the</w:t>
      </w:r>
      <w:proofErr w:type="gramEnd"/>
      <w:r w:rsidR="00A543C6" w:rsidRPr="003875F5">
        <w:rPr>
          <w:rFonts w:ascii="Times New Roman" w:hAnsi="Times New Roman" w:cs="Times New Roman"/>
          <w:i/>
          <w:sz w:val="24"/>
          <w:szCs w:val="24"/>
          <w:lang w:val="en-US"/>
        </w:rPr>
        <w:t xml:space="preserve"> purchaser or seller of the listed shares was a member of senior management or an employee of the bank involved and held more than 1% of the total shares. Prior authorization and regulations applied also to the ascendants and descendants of the bank employee</w:t>
      </w:r>
      <w:r w:rsidR="00A543C6"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w:t>
      </w:r>
      <w:r w:rsidR="00B33B45" w:rsidRPr="003875F5">
        <w:rPr>
          <w:rFonts w:ascii="Times New Roman" w:hAnsi="Times New Roman" w:cs="Times New Roman"/>
          <w:sz w:val="24"/>
          <w:szCs w:val="24"/>
          <w:lang w:val="en-US"/>
        </w:rPr>
        <w:t>Idem as above.</w:t>
      </w:r>
    </w:p>
    <w:p w:rsidR="00B33B45" w:rsidRPr="003875F5" w:rsidRDefault="00386F0F" w:rsidP="00A969E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1998-200</w:t>
      </w:r>
      <w:r w:rsidR="002A37F1" w:rsidRPr="003875F5">
        <w:rPr>
          <w:rFonts w:ascii="Times New Roman" w:hAnsi="Times New Roman" w:cs="Times New Roman"/>
          <w:sz w:val="24"/>
          <w:szCs w:val="24"/>
          <w:lang w:val="en-US"/>
        </w:rPr>
        <w:t>3</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is no control on purchasing derivatives or any financial instruments from abroad. Banks, however, unlike financial institutions and brokerage firms, need the prior approval of the central bank to engage in derivative transactions for their own account.</w:t>
      </w:r>
      <w:r w:rsidRPr="003875F5">
        <w:rPr>
          <w:rFonts w:ascii="Times New Roman" w:hAnsi="Times New Roman" w:cs="Times New Roman"/>
          <w:sz w:val="24"/>
          <w:szCs w:val="24"/>
          <w:lang w:val="en-US"/>
        </w:rPr>
        <w:t xml:space="preserve">” </w:t>
      </w:r>
      <w:r w:rsidR="00B33B45" w:rsidRPr="003875F5">
        <w:rPr>
          <w:rFonts w:ascii="Times New Roman" w:hAnsi="Times New Roman" w:cs="Times New Roman"/>
          <w:sz w:val="24"/>
          <w:szCs w:val="24"/>
          <w:lang w:val="en-US"/>
        </w:rPr>
        <w:t>Idem as above.</w:t>
      </w:r>
    </w:p>
    <w:p w:rsidR="00B33B45" w:rsidRPr="003875F5" w:rsidRDefault="002A37F1" w:rsidP="00A969E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2004</w:t>
      </w:r>
      <w:r w:rsidR="0025684D" w:rsidRPr="003875F5">
        <w:rPr>
          <w:rFonts w:ascii="Times New Roman" w:hAnsi="Times New Roman" w:cs="Times New Roman"/>
          <w:sz w:val="24"/>
          <w:szCs w:val="24"/>
          <w:lang w:val="en-US"/>
        </w:rPr>
        <w:t>-2005</w:t>
      </w:r>
      <w:r w:rsidRPr="003875F5">
        <w:rPr>
          <w:rFonts w:ascii="Times New Roman" w:hAnsi="Times New Roman" w:cs="Times New Roman"/>
          <w:sz w:val="24"/>
          <w:szCs w:val="24"/>
          <w:lang w:val="en-US"/>
        </w:rPr>
        <w:t xml:space="preserve"> (narrative in 200</w:t>
      </w:r>
      <w:r w:rsidR="0025684D" w:rsidRPr="003875F5">
        <w:rPr>
          <w:rFonts w:ascii="Times New Roman" w:hAnsi="Times New Roman" w:cs="Times New Roman"/>
          <w:sz w:val="24"/>
          <w:szCs w:val="24"/>
          <w:lang w:val="en-US"/>
        </w:rPr>
        <w:t>4</w:t>
      </w:r>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pdf</w:t>
      </w:r>
      <w:proofErr w:type="spellEnd"/>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are no controls on purchases of derivatives or any financial instruments from abroad. However, effective March 8, 2004, banks, unlike other financial institutions and brokerage firms, may engage in derivative transactions locally or abroad for hedging purposes only</w:t>
      </w:r>
      <w:r w:rsidRPr="003875F5">
        <w:rPr>
          <w:rFonts w:ascii="Times New Roman" w:hAnsi="Times New Roman" w:cs="Times New Roman"/>
          <w:sz w:val="24"/>
          <w:szCs w:val="24"/>
          <w:lang w:val="en-US"/>
        </w:rPr>
        <w:t xml:space="preserve">.” </w:t>
      </w:r>
      <w:r w:rsidR="00B33B45" w:rsidRPr="003875F5">
        <w:rPr>
          <w:rFonts w:ascii="Times New Roman" w:hAnsi="Times New Roman" w:cs="Times New Roman"/>
          <w:sz w:val="24"/>
          <w:szCs w:val="24"/>
          <w:lang w:val="en-US"/>
        </w:rPr>
        <w:t>Idem as above.</w:t>
      </w:r>
    </w:p>
    <w:p w:rsidR="00B33B45" w:rsidRPr="003875F5" w:rsidRDefault="0025684D" w:rsidP="00A969E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2006-2007: “</w:t>
      </w:r>
      <w:r w:rsidRPr="003875F5">
        <w:rPr>
          <w:rFonts w:ascii="Times New Roman" w:hAnsi="Times New Roman" w:cs="Times New Roman"/>
          <w:i/>
          <w:sz w:val="24"/>
          <w:szCs w:val="24"/>
          <w:lang w:val="en-US"/>
        </w:rPr>
        <w:t>There are no controls on purchases of derivatives or any financial instruments from abroad. However banks, unlike other financial institutions and brokerage firms, may engage, for their own accounts, in derivative transactions locally or abroad for hedging purposes only. Banks and financial institutions are prohibited from carrying out for their own account, with nonresident sectors and in any currency, operations on structured financial instruments, except for capital-guaranteed structured financial instruments rated A and above, provided their total nominal value does not exceed 25% of Tier I capital of the concerned banks and financial institutions. When the structured financial products are issued by companies, the latter should be supervised by countries rated at least BBB. Moreover, the total value of corporate bonds and structured financial instruments carried out with one issuer should not exceed 10% of Tier I capital</w:t>
      </w:r>
      <w:r w:rsidRPr="003875F5">
        <w:rPr>
          <w:rFonts w:ascii="Times New Roman" w:hAnsi="Times New Roman" w:cs="Times New Roman"/>
          <w:sz w:val="24"/>
          <w:szCs w:val="24"/>
          <w:lang w:val="en-US"/>
        </w:rPr>
        <w:t xml:space="preserve">.” </w:t>
      </w:r>
      <w:r w:rsidR="00B33B45" w:rsidRPr="003875F5">
        <w:rPr>
          <w:rFonts w:ascii="Times New Roman" w:hAnsi="Times New Roman" w:cs="Times New Roman"/>
          <w:sz w:val="24"/>
          <w:szCs w:val="24"/>
          <w:lang w:val="en-US"/>
        </w:rPr>
        <w:t>Idem as above.</w:t>
      </w:r>
    </w:p>
    <w:p w:rsidR="0025684D" w:rsidRPr="005F0DB2" w:rsidRDefault="0025684D" w:rsidP="00A969E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de_siar</w:t>
      </w:r>
      <w:proofErr w:type="spellEnd"/>
      <w:r w:rsidRPr="003875F5">
        <w:rPr>
          <w:rFonts w:ascii="Times New Roman" w:hAnsi="Times New Roman" w:cs="Times New Roman"/>
          <w:sz w:val="24"/>
          <w:szCs w:val="24"/>
          <w:lang w:val="en-US"/>
        </w:rPr>
        <w:t xml:space="preserve"> 2008</w:t>
      </w:r>
      <w:r w:rsidR="00073BFE" w:rsidRPr="003875F5">
        <w:rPr>
          <w:rFonts w:ascii="Times New Roman" w:hAnsi="Times New Roman" w:cs="Times New Roman"/>
          <w:sz w:val="24"/>
          <w:szCs w:val="24"/>
          <w:lang w:val="en-US"/>
        </w:rPr>
        <w:t>-2010</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are no controls on purchases of derivatives or any financial instruments from abroad. However, banks, unlike other financial institutions and brokerage firms, may engage, for their own accounts, in derivative transactions locally or abroad, for hedging purposes only. Banks and financial institutions are prohibited from carrying out for their own accounts, with nonresident sectors and in any currency, operations in structured financial instruments, except for capital-guaranteed structured financial instruments rated A or higher, with returns not linked to a barrier, provided their total nominal value does not exceed 25% of tier 1 capital of the banks and financial institutions involved. When the structured financial products are issued by companies, the companies should be supervised by countries with a sovereign rating of at least BBB. Moreover, the total value of corporate bonds and structured financial instruments from a single issuer should not exceed 10% of tier 1 capital. Furthermore, banks and financial institutions are prohibited from dealing, for their own account, with nonresident entities, in credit-linked notes related to Lebanese Eurobonds and BDL CDs denominated in foreign currencies, except for (1) notes that are capital guaranteed in the case of a credit event, such as default on Eurobonds or BDL CDs, and (2) notes issued or guaranteed by an at least A-rated issuer or guarantor, on condition of mandatory payment and delivery of the Eurobonds and BDL CDs to clients when the credit event occurs. The nominal value of these credit-linked notes should not exceed 10% of the capital of the bank or financial institution</w:t>
      </w:r>
      <w:r w:rsidRPr="003875F5">
        <w:rPr>
          <w:rFonts w:ascii="Times New Roman" w:hAnsi="Times New Roman" w:cs="Times New Roman"/>
          <w:sz w:val="24"/>
          <w:szCs w:val="24"/>
          <w:lang w:val="en-US"/>
        </w:rPr>
        <w:t>.” This is even more</w:t>
      </w:r>
      <w:r w:rsidR="00B33B45" w:rsidRPr="003875F5">
        <w:rPr>
          <w:rFonts w:ascii="Times New Roman" w:hAnsi="Times New Roman" w:cs="Times New Roman"/>
          <w:sz w:val="24"/>
          <w:szCs w:val="24"/>
          <w:lang w:val="en-US"/>
        </w:rPr>
        <w:t xml:space="preserve"> restrictive. For this reason, we</w:t>
      </w:r>
      <w:r w:rsidRPr="003875F5">
        <w:rPr>
          <w:rFonts w:ascii="Times New Roman" w:hAnsi="Times New Roman" w:cs="Times New Roman"/>
          <w:sz w:val="24"/>
          <w:szCs w:val="24"/>
          <w:lang w:val="en-US"/>
        </w:rPr>
        <w:t xml:space="preserve"> keep on coding with ones. Please note that </w:t>
      </w:r>
      <w:proofErr w:type="spellStart"/>
      <w:r w:rsidRPr="003875F5">
        <w:rPr>
          <w:rFonts w:ascii="Times New Roman" w:hAnsi="Times New Roman" w:cs="Times New Roman"/>
          <w:sz w:val="24"/>
          <w:szCs w:val="24"/>
          <w:lang w:val="en-US"/>
        </w:rPr>
        <w:t>de_siar</w:t>
      </w:r>
      <w:proofErr w:type="spellEnd"/>
      <w:r w:rsidRPr="003875F5">
        <w:rPr>
          <w:rFonts w:ascii="Times New Roman" w:hAnsi="Times New Roman" w:cs="Times New Roman"/>
          <w:sz w:val="24"/>
          <w:szCs w:val="24"/>
          <w:lang w:val="en-US"/>
        </w:rPr>
        <w:t xml:space="preserve"> has its own narrative, but it is identical to the one 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w:t>
      </w:r>
    </w:p>
    <w:p w:rsidR="005F0DB2" w:rsidRPr="005F0DB2" w:rsidRDefault="005F0DB2" w:rsidP="005F0DB2">
      <w:pPr>
        <w:pStyle w:val="Prrafodelista"/>
        <w:numPr>
          <w:ilvl w:val="2"/>
          <w:numId w:val="2"/>
        </w:numPr>
        <w:spacing w:line="240" w:lineRule="auto"/>
        <w:jc w:val="both"/>
        <w:rPr>
          <w:rFonts w:ascii="Times New Roman" w:hAnsi="Times New Roman" w:cs="Times New Roman"/>
          <w:b/>
          <w:color w:val="00B050"/>
          <w:sz w:val="24"/>
          <w:szCs w:val="24"/>
          <w:lang w:val="en-US"/>
        </w:rPr>
      </w:pPr>
      <w:r w:rsidRPr="005F0DB2">
        <w:rPr>
          <w:rFonts w:ascii="Times New Roman" w:hAnsi="Times New Roman" w:cs="Times New Roman"/>
          <w:color w:val="00B050"/>
          <w:sz w:val="24"/>
          <w:szCs w:val="24"/>
          <w:lang w:val="en-US"/>
        </w:rPr>
        <w:t xml:space="preserve">In </w:t>
      </w:r>
      <w:proofErr w:type="spellStart"/>
      <w:r w:rsidRPr="005F0DB2">
        <w:rPr>
          <w:rFonts w:ascii="Times New Roman" w:hAnsi="Times New Roman" w:cs="Times New Roman"/>
          <w:color w:val="00B050"/>
          <w:sz w:val="24"/>
          <w:szCs w:val="24"/>
          <w:lang w:val="en-US"/>
        </w:rPr>
        <w:t>eq_siln</w:t>
      </w:r>
      <w:proofErr w:type="spellEnd"/>
      <w:r w:rsidRPr="005F0DB2">
        <w:rPr>
          <w:rFonts w:ascii="Times New Roman" w:hAnsi="Times New Roman" w:cs="Times New Roman"/>
          <w:color w:val="00B050"/>
          <w:sz w:val="24"/>
          <w:szCs w:val="24"/>
          <w:lang w:val="en-US"/>
        </w:rPr>
        <w:t xml:space="preserve"> 2012 (not in 2011): “</w:t>
      </w:r>
      <w:r w:rsidRPr="005F0DB2">
        <w:rPr>
          <w:rFonts w:ascii="Times New Roman" w:hAnsi="Times New Roman" w:cs="Times New Roman"/>
          <w:i/>
          <w:color w:val="00B050"/>
          <w:sz w:val="24"/>
          <w:szCs w:val="24"/>
          <w:lang w:val="en-US"/>
        </w:rPr>
        <w:t xml:space="preserve">Operations with financial instruments must be authorized by the CMA. Principal or secondary </w:t>
      </w:r>
      <w:r w:rsidRPr="005F0DB2">
        <w:rPr>
          <w:rFonts w:ascii="Times New Roman" w:hAnsi="Times New Roman" w:cs="Times New Roman"/>
          <w:i/>
          <w:color w:val="00B050"/>
          <w:sz w:val="24"/>
          <w:szCs w:val="24"/>
          <w:lang w:val="en-US"/>
        </w:rPr>
        <w:lastRenderedPageBreak/>
        <w:t>professional activity that involves solicitation of clients for subscription, purchase, swap, or sale of securities or financial instruments also requires CMA authorization. Legal entities may not undertake a public subscription without CMA approval. Issuance, sale, or offer to sell financial instruments for public subscription is also prohibited. Invitations to potential investors concerning such financial instruments are prohibited without CMA approval (Law No. 161). Effective February 13, 2014, banks, financial institutions, financial intermediation companies, and collective investment plans, resident or not, may not issue or market the following products without authorization from the CMA: (1) securities and financial products, including those with revenue linked to stock, shares, and CDs, including their financial flows; commercial debt, bonds, certificates, government bonds and debt securities, including their financial flows; currency exchange rates; precious metals; interest rates; commodity prices; indexes and financial derivatives; the occurrence of events and rights belonging to the issuer of whatever nature; and (2) securities and financial products resulting from securitization operations of any kind (CMA Decision No. 16 of February 13, 2014).</w:t>
      </w:r>
      <w:r w:rsidRPr="005F0DB2">
        <w:rPr>
          <w:rFonts w:ascii="Times New Roman" w:hAnsi="Times New Roman" w:cs="Times New Roman"/>
          <w:color w:val="00B050"/>
          <w:sz w:val="24"/>
          <w:szCs w:val="24"/>
          <w:lang w:val="en-US"/>
        </w:rPr>
        <w:t>” Does this narrative only apply to 2014? Please note that this narrative was not present in previous years.</w:t>
      </w:r>
      <w:r w:rsidR="001C0589">
        <w:rPr>
          <w:rFonts w:ascii="Times New Roman" w:hAnsi="Times New Roman" w:cs="Times New Roman"/>
          <w:color w:val="00B050"/>
          <w:sz w:val="24"/>
          <w:szCs w:val="24"/>
          <w:lang w:val="en-US"/>
        </w:rPr>
        <w:t xml:space="preserve"> I coded with one.</w:t>
      </w:r>
    </w:p>
    <w:p w:rsidR="00CF28F8" w:rsidRPr="003875F5" w:rsidRDefault="00CF28F8" w:rsidP="00B252C6">
      <w:pPr>
        <w:pStyle w:val="Estilo2"/>
      </w:pPr>
      <w:bookmarkStart w:id="51" w:name="_Toc402472350"/>
      <w:r w:rsidRPr="003875F5">
        <w:t>Malaysia</w:t>
      </w:r>
      <w:bookmarkEnd w:id="51"/>
    </w:p>
    <w:p w:rsidR="007D5CAE" w:rsidRPr="003875F5" w:rsidRDefault="007D5CAE" w:rsidP="007D5C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proofErr w:type="gramStart"/>
      <w:r w:rsidRPr="003875F5">
        <w:rPr>
          <w:rFonts w:ascii="Times New Roman" w:hAnsi="Times New Roman" w:cs="Times New Roman"/>
          <w:sz w:val="24"/>
          <w:szCs w:val="24"/>
          <w:lang w:val="en-US"/>
        </w:rPr>
        <w:t>gso</w:t>
      </w:r>
      <w:proofErr w:type="spellEnd"/>
      <w:proofErr w:type="gramEnd"/>
      <w:r w:rsidRPr="003875F5">
        <w:rPr>
          <w:rFonts w:ascii="Times New Roman" w:hAnsi="Times New Roman" w:cs="Times New Roman"/>
          <w:sz w:val="24"/>
          <w:szCs w:val="24"/>
          <w:lang w:val="en-US"/>
        </w:rPr>
        <w:t xml:space="preserve"> </w:t>
      </w:r>
      <w:r w:rsidR="006B727A" w:rsidRPr="003875F5">
        <w:rPr>
          <w:rFonts w:ascii="Times New Roman" w:hAnsi="Times New Roman" w:cs="Times New Roman"/>
          <w:sz w:val="24"/>
          <w:szCs w:val="24"/>
          <w:lang w:val="en-US"/>
        </w:rPr>
        <w:t>1995-</w:t>
      </w:r>
      <w:r w:rsidR="00107DCC" w:rsidRPr="003875F5">
        <w:rPr>
          <w:rFonts w:ascii="Times New Roman" w:hAnsi="Times New Roman" w:cs="Times New Roman"/>
          <w:sz w:val="24"/>
          <w:szCs w:val="24"/>
          <w:lang w:val="en-US"/>
        </w:rPr>
        <w:t>2001</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These transactions are permitted. However, any payment to a nonresident in relation to or consequential to the guarantee must be made in foreign currency</w:t>
      </w:r>
      <w:r w:rsidR="00614203" w:rsidRPr="003875F5">
        <w:rPr>
          <w:rFonts w:ascii="Times New Roman" w:hAnsi="Times New Roman" w:cs="Times New Roman"/>
          <w:i/>
          <w:sz w:val="24"/>
          <w:szCs w:val="24"/>
          <w:lang w:val="en-US"/>
        </w:rPr>
        <w:t xml:space="preserve">” </w:t>
      </w:r>
      <w:r w:rsidR="00614203" w:rsidRPr="003875F5">
        <w:rPr>
          <w:rFonts w:ascii="Times New Roman" w:hAnsi="Times New Roman" w:cs="Times New Roman"/>
          <w:sz w:val="24"/>
          <w:szCs w:val="24"/>
          <w:lang w:val="en-US"/>
        </w:rPr>
        <w:t>We</w:t>
      </w:r>
      <w:r w:rsidRPr="003875F5">
        <w:rPr>
          <w:rFonts w:ascii="Times New Roman" w:hAnsi="Times New Roman" w:cs="Times New Roman"/>
          <w:sz w:val="24"/>
          <w:szCs w:val="24"/>
          <w:lang w:val="en-US"/>
        </w:rPr>
        <w:t xml:space="preserve"> coded with zeros.</w:t>
      </w:r>
    </w:p>
    <w:p w:rsidR="009B50AF" w:rsidRPr="003875F5" w:rsidRDefault="001B04C3" w:rsidP="00B252C6">
      <w:pPr>
        <w:pStyle w:val="Estilo2"/>
      </w:pPr>
      <w:bookmarkStart w:id="52" w:name="_Toc402472351"/>
      <w:r w:rsidRPr="003875F5">
        <w:t>Malta</w:t>
      </w:r>
      <w:bookmarkEnd w:id="52"/>
    </w:p>
    <w:p w:rsidR="007B4765" w:rsidRPr="003875F5" w:rsidRDefault="007B4765" w:rsidP="009B50A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2005-2011 we coded in accordance with rule 3(i). Please note that this means that we changed Schindler’s original coding in 2005.</w:t>
      </w:r>
    </w:p>
    <w:p w:rsidR="00CF28F8" w:rsidRPr="003875F5" w:rsidRDefault="009B50AF" w:rsidP="00BD57D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1997: “</w:t>
      </w:r>
      <w:r w:rsidRPr="003875F5">
        <w:rPr>
          <w:rFonts w:ascii="Times New Roman" w:hAnsi="Times New Roman" w:cs="Times New Roman"/>
          <w:i/>
          <w:sz w:val="24"/>
          <w:szCs w:val="24"/>
          <w:lang w:val="en-US"/>
        </w:rPr>
        <w:t>Such instruments have not been introduced or issued</w:t>
      </w:r>
      <w:r w:rsidRPr="003875F5">
        <w:rPr>
          <w:rFonts w:ascii="Times New Roman" w:hAnsi="Times New Roman" w:cs="Times New Roman"/>
          <w:sz w:val="24"/>
          <w:szCs w:val="24"/>
          <w:lang w:val="en-US"/>
        </w:rPr>
        <w:t xml:space="preserve">” </w:t>
      </w:r>
      <w:r w:rsidR="005C435A" w:rsidRPr="003875F5">
        <w:rPr>
          <w:rFonts w:ascii="Times New Roman" w:hAnsi="Times New Roman" w:cs="Times New Roman"/>
          <w:sz w:val="24"/>
          <w:szCs w:val="24"/>
          <w:lang w:val="en-US"/>
        </w:rPr>
        <w:t>Subcategories were coded</w:t>
      </w:r>
      <w:r w:rsidRPr="003875F5">
        <w:rPr>
          <w:rFonts w:ascii="Times New Roman" w:hAnsi="Times New Roman" w:cs="Times New Roman"/>
          <w:sz w:val="24"/>
          <w:szCs w:val="24"/>
          <w:lang w:val="en-US"/>
        </w:rPr>
        <w:t xml:space="preserve"> pursuant rule 3(i).</w:t>
      </w:r>
    </w:p>
    <w:p w:rsidR="00776BA6" w:rsidRPr="003875F5" w:rsidRDefault="001B04C3" w:rsidP="00B252C6">
      <w:pPr>
        <w:pStyle w:val="Estilo2"/>
      </w:pPr>
      <w:bookmarkStart w:id="53" w:name="_Toc402472352"/>
      <w:r w:rsidRPr="003875F5">
        <w:t>Mexico</w:t>
      </w:r>
      <w:bookmarkEnd w:id="53"/>
    </w:p>
    <w:p w:rsidR="001B04C3" w:rsidRPr="003875F5" w:rsidRDefault="00776BA6" w:rsidP="00776BA6">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w:t>
      </w:r>
      <w:r w:rsidR="001B04C3" w:rsidRPr="003875F5">
        <w:rPr>
          <w:rFonts w:ascii="Times New Roman" w:hAnsi="Times New Roman" w:cs="Times New Roman"/>
          <w:sz w:val="24"/>
          <w:szCs w:val="24"/>
          <w:lang w:val="en-US"/>
        </w:rPr>
        <w:t xml:space="preserve"> </w:t>
      </w:r>
      <w:proofErr w:type="spellStart"/>
      <w:r w:rsidR="001B04C3" w:rsidRPr="003875F5">
        <w:rPr>
          <w:rFonts w:ascii="Times New Roman" w:hAnsi="Times New Roman" w:cs="Times New Roman"/>
          <w:sz w:val="24"/>
          <w:szCs w:val="24"/>
          <w:lang w:val="en-US"/>
        </w:rPr>
        <w:t>ci_pabr</w:t>
      </w:r>
      <w:proofErr w:type="spellEnd"/>
      <w:r w:rsidRPr="003875F5">
        <w:rPr>
          <w:rFonts w:ascii="Times New Roman" w:hAnsi="Times New Roman" w:cs="Times New Roman"/>
          <w:sz w:val="24"/>
          <w:szCs w:val="24"/>
          <w:lang w:val="en-US"/>
        </w:rPr>
        <w:t xml:space="preserve"> 2005-2012</w:t>
      </w:r>
      <w:r w:rsidR="001B04C3"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we coded it with ones, as there are restrictions in pension funds and other sectors.</w:t>
      </w:r>
    </w:p>
    <w:p w:rsidR="004F60D4" w:rsidRPr="003875F5" w:rsidRDefault="004F60D4" w:rsidP="0007178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1997-2012: “</w:t>
      </w:r>
      <w:r w:rsidRPr="003875F5">
        <w:rPr>
          <w:rFonts w:ascii="Times New Roman" w:hAnsi="Times New Roman" w:cs="Times New Roman"/>
          <w:i/>
          <w:sz w:val="24"/>
          <w:szCs w:val="24"/>
          <w:lang w:val="en-US"/>
        </w:rPr>
        <w:t xml:space="preserve">Purchase of shares and other securities of a participating nature may be affected by the laws on inward direct investment and establishment. Such laws specify activities where investment is reserved to the government or Mexican investors. Notwithstanding these restrictions, if certain requirements are met, the Foreign Investment Law allows foreign investors to purchase equity securities traded on the Mexican Stock Exchange (MSE). </w:t>
      </w:r>
      <w:r w:rsidRPr="003875F5">
        <w:rPr>
          <w:rFonts w:ascii="Times New Roman" w:hAnsi="Times New Roman" w:cs="Times New Roman"/>
          <w:i/>
          <w:sz w:val="24"/>
          <w:szCs w:val="24"/>
          <w:lang w:val="en-US"/>
        </w:rPr>
        <w:lastRenderedPageBreak/>
        <w:t>Thus, with the authorization of the MOE, investment trusts may be established by Mexican banks acting as trustees. These trusts issue ordinary participation certificates that may be acquired by foreign investors; the certificates grant only economic rights to their holders and do not confer voting rights in the companies whose stock is held by the trusts (such voting rights being exercisable only by the trustee).</w:t>
      </w:r>
      <w:r w:rsidRPr="003875F5">
        <w:rPr>
          <w:rFonts w:ascii="Times New Roman" w:hAnsi="Times New Roman" w:cs="Times New Roman"/>
          <w:sz w:val="24"/>
          <w:szCs w:val="24"/>
          <w:lang w:val="en-US"/>
        </w:rPr>
        <w:t>” This is considered to be a control, bearing in mind that there is an authorization requirement and nonresidents may not purchase shares with voting rights.</w:t>
      </w:r>
    </w:p>
    <w:p w:rsidR="00E013DC" w:rsidRPr="003875F5" w:rsidRDefault="00E013DC" w:rsidP="0007178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(2005-2012),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(2005-2007) and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 xml:space="preserve"> (2005-2008): “</w:t>
      </w:r>
      <w:r w:rsidRPr="003875F5">
        <w:rPr>
          <w:rFonts w:ascii="Times New Roman" w:hAnsi="Times New Roman" w:cs="Times New Roman"/>
          <w:i/>
          <w:sz w:val="24"/>
          <w:szCs w:val="24"/>
          <w:lang w:val="en-US"/>
        </w:rPr>
        <w:t>MOF authorization is required for banks and securities firms to purchase shares of foreign financial intermediaries. Controls apply to the purchase (1) of foreign securities by securities firms on their own account and on the account of their clients; and (2) by an insurance company or a privately managed pension fund of securities denominated in foreign currency, with the exceptions of capital market instruments registered in the NRS and of securities issued in foreign currency by the federal government or payable abroad by Mexican financial institutions or by foreign financial entities that are affiliates of these</w:t>
      </w:r>
      <w:r w:rsidRPr="003875F5">
        <w:rPr>
          <w:rFonts w:ascii="Times New Roman" w:hAnsi="Times New Roman" w:cs="Times New Roman"/>
          <w:sz w:val="24"/>
          <w:szCs w:val="24"/>
          <w:lang w:val="en-US"/>
        </w:rPr>
        <w:t>.” This is considered to be a control for two reasons. First, we believe that the controls described in the second sentence apply as a general restriction and not only to the purchase of shares of foreign financial intermediaries; and, second, there is a restriction on pension funds, which we deem to have an important macro impact.</w:t>
      </w:r>
    </w:p>
    <w:p w:rsidR="0007178E" w:rsidRPr="003875F5" w:rsidRDefault="0007178E" w:rsidP="0007178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bo_siar</w:t>
      </w:r>
      <w:proofErr w:type="spellEnd"/>
      <w:r w:rsidRPr="003875F5">
        <w:rPr>
          <w:rFonts w:ascii="Times New Roman" w:hAnsi="Times New Roman" w:cs="Times New Roman"/>
          <w:sz w:val="24"/>
          <w:szCs w:val="24"/>
          <w:lang w:val="en-US"/>
        </w:rPr>
        <w:t xml:space="preserve"> 2008: “</w:t>
      </w:r>
      <w:r w:rsidRPr="003875F5">
        <w:rPr>
          <w:rFonts w:ascii="Times New Roman" w:hAnsi="Times New Roman" w:cs="Times New Roman"/>
          <w:i/>
          <w:sz w:val="24"/>
          <w:szCs w:val="24"/>
          <w:lang w:val="en-US"/>
        </w:rPr>
        <w:t>The rules applicable to shares or other securities of a participating nature apply. Controls apply to the purchase (1) of foreign securities by banks and securities firms on their own behalf and on behalf of their clients; and (2) by an insurance company or a privately managed pension fund of securities denominated in foreign currency, with the exceptions of capital market instruments registered in the NRS and of securities issued in foreign currency by the federal government or payable abroad by Mexican financial institutions or their foreign affiliates.</w:t>
      </w:r>
      <w:r w:rsidRPr="003875F5">
        <w:rPr>
          <w:rFonts w:ascii="Times New Roman" w:hAnsi="Times New Roman" w:cs="Times New Roman"/>
          <w:sz w:val="24"/>
          <w:szCs w:val="24"/>
          <w:lang w:val="en-US"/>
        </w:rPr>
        <w:t xml:space="preserve">” I believe that this might have been a mistake in the report, as this narrative does not make any sense in “sale </w:t>
      </w:r>
      <w:r w:rsidR="00981D7D" w:rsidRPr="003875F5">
        <w:rPr>
          <w:rFonts w:ascii="Times New Roman" w:hAnsi="Times New Roman" w:cs="Times New Roman"/>
          <w:sz w:val="24"/>
          <w:szCs w:val="24"/>
          <w:lang w:val="en-US"/>
        </w:rPr>
        <w:t>or issue abroad by residents”. We</w:t>
      </w:r>
      <w:r w:rsidRPr="003875F5">
        <w:rPr>
          <w:rFonts w:ascii="Times New Roman" w:hAnsi="Times New Roman" w:cs="Times New Roman"/>
          <w:sz w:val="24"/>
          <w:szCs w:val="24"/>
          <w:lang w:val="en-US"/>
        </w:rPr>
        <w:t xml:space="preserve"> consider that this belonged to </w:t>
      </w:r>
      <w:proofErr w:type="spellStart"/>
      <w:r w:rsidRPr="003875F5">
        <w:rPr>
          <w:rFonts w:ascii="Times New Roman" w:hAnsi="Times New Roman" w:cs="Times New Roman"/>
          <w:sz w:val="24"/>
          <w:szCs w:val="24"/>
          <w:lang w:val="en-US"/>
        </w:rPr>
        <w:t>pabr</w:t>
      </w:r>
      <w:proofErr w:type="spellEnd"/>
      <w:r w:rsidRPr="003875F5">
        <w:rPr>
          <w:rFonts w:ascii="Times New Roman" w:hAnsi="Times New Roman" w:cs="Times New Roman"/>
          <w:sz w:val="24"/>
          <w:szCs w:val="24"/>
          <w:lang w:val="en-US"/>
        </w:rPr>
        <w:t xml:space="preserve">, which in 2009 incorporates this narrative, and in that year it disappears from </w:t>
      </w:r>
      <w:proofErr w:type="spellStart"/>
      <w:r w:rsidRPr="003875F5">
        <w:rPr>
          <w:rFonts w:ascii="Times New Roman" w:hAnsi="Times New Roman" w:cs="Times New Roman"/>
          <w:sz w:val="24"/>
          <w:szCs w:val="24"/>
          <w:lang w:val="en-US"/>
        </w:rPr>
        <w:t>siar</w:t>
      </w:r>
      <w:proofErr w:type="spellEnd"/>
      <w:r w:rsidRPr="003875F5">
        <w:rPr>
          <w:rFonts w:ascii="Times New Roman" w:hAnsi="Times New Roman" w:cs="Times New Roman"/>
          <w:sz w:val="24"/>
          <w:szCs w:val="24"/>
          <w:lang w:val="en-US"/>
        </w:rPr>
        <w:t>.</w:t>
      </w:r>
      <w:r w:rsidR="00981D7D" w:rsidRPr="003875F5">
        <w:rPr>
          <w:rFonts w:ascii="Times New Roman" w:hAnsi="Times New Roman" w:cs="Times New Roman"/>
          <w:sz w:val="24"/>
          <w:szCs w:val="24"/>
          <w:lang w:val="en-US"/>
        </w:rPr>
        <w:t xml:space="preserve"> In consequence, we code it with a zero, as we think that it is a mistake in the report.</w:t>
      </w:r>
    </w:p>
    <w:p w:rsidR="00881492" w:rsidRPr="003875F5" w:rsidRDefault="00881492" w:rsidP="0007178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mm_siar</w:t>
      </w:r>
      <w:proofErr w:type="spellEnd"/>
      <w:r w:rsidRPr="003875F5">
        <w:rPr>
          <w:rFonts w:ascii="Times New Roman" w:hAnsi="Times New Roman" w:cs="Times New Roman"/>
          <w:sz w:val="24"/>
          <w:szCs w:val="24"/>
          <w:lang w:val="en-US"/>
        </w:rPr>
        <w:t xml:space="preserve"> 2008 idem to </w:t>
      </w:r>
      <w:proofErr w:type="spellStart"/>
      <w:r w:rsidRPr="003875F5">
        <w:rPr>
          <w:rFonts w:ascii="Times New Roman" w:hAnsi="Times New Roman" w:cs="Times New Roman"/>
          <w:sz w:val="24"/>
          <w:szCs w:val="24"/>
          <w:lang w:val="en-US"/>
        </w:rPr>
        <w:t>bo_siar</w:t>
      </w:r>
      <w:proofErr w:type="spellEnd"/>
      <w:r w:rsidRPr="003875F5">
        <w:rPr>
          <w:rFonts w:ascii="Times New Roman" w:hAnsi="Times New Roman" w:cs="Times New Roman"/>
          <w:sz w:val="24"/>
          <w:szCs w:val="24"/>
          <w:lang w:val="en-US"/>
        </w:rPr>
        <w:t>.</w:t>
      </w:r>
    </w:p>
    <w:p w:rsidR="005C435A" w:rsidRPr="003875F5" w:rsidRDefault="005C435A" w:rsidP="005C435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de_siln</w:t>
      </w:r>
      <w:proofErr w:type="spellEnd"/>
      <w:r w:rsidRPr="003875F5">
        <w:rPr>
          <w:rFonts w:ascii="Times New Roman" w:hAnsi="Times New Roman" w:cs="Times New Roman"/>
          <w:sz w:val="24"/>
          <w:szCs w:val="24"/>
          <w:lang w:val="en-US"/>
        </w:rPr>
        <w:t xml:space="preserve"> 1995-1997: “</w:t>
      </w:r>
      <w:r w:rsidRPr="003875F5">
        <w:rPr>
          <w:rFonts w:ascii="Times New Roman" w:hAnsi="Times New Roman" w:cs="Times New Roman"/>
          <w:i/>
          <w:sz w:val="24"/>
          <w:szCs w:val="24"/>
          <w:lang w:val="en-US"/>
        </w:rPr>
        <w:t>The warrants should be issued referred to shares registered at the Mexican Stock Exchange and portfolio of representatives shares of the capital of corporations registered at the mentioned Stock Exchange. In addition, it is required by the provisions issued by the NBSC that the issuer of the mentioned derivative be a corporation with shares registered at the National Registry of Securities and Intermediaries</w:t>
      </w:r>
      <w:r w:rsidRPr="003875F5">
        <w:rPr>
          <w:rFonts w:ascii="Times New Roman" w:hAnsi="Times New Roman" w:cs="Times New Roman"/>
          <w:sz w:val="24"/>
          <w:szCs w:val="24"/>
          <w:lang w:val="en-US"/>
        </w:rPr>
        <w:t xml:space="preserve">” Although there is </w:t>
      </w:r>
      <w:r w:rsidRPr="003875F5">
        <w:rPr>
          <w:rFonts w:ascii="Times New Roman" w:hAnsi="Times New Roman" w:cs="Times New Roman"/>
          <w:sz w:val="24"/>
          <w:szCs w:val="24"/>
          <w:lang w:val="en-US"/>
        </w:rPr>
        <w:lastRenderedPageBreak/>
        <w:t>apparently only a registration requirement, it seems like there is an underlying control since companies wishing to issue derivatives in Mexico must trade their shares in the Mexican Stock Exchange. We coded with ones.</w:t>
      </w:r>
    </w:p>
    <w:p w:rsidR="00776BA6" w:rsidRPr="003875F5" w:rsidRDefault="002273E1" w:rsidP="00A969E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1995: “</w:t>
      </w:r>
      <w:r w:rsidRPr="003875F5">
        <w:rPr>
          <w:rFonts w:ascii="Times New Roman" w:hAnsi="Times New Roman" w:cs="Times New Roman"/>
          <w:i/>
          <w:sz w:val="24"/>
          <w:szCs w:val="24"/>
          <w:lang w:val="en-US"/>
        </w:rPr>
        <w:t>Purchases by securities firms for their own account and by financial institutions, if the security is denominated in domestic currency, are not allowed</w:t>
      </w:r>
      <w:r w:rsidRPr="003875F5">
        <w:rPr>
          <w:rFonts w:ascii="Times New Roman" w:hAnsi="Times New Roman" w:cs="Times New Roman"/>
          <w:sz w:val="24"/>
          <w:szCs w:val="24"/>
          <w:lang w:val="en-US"/>
        </w:rPr>
        <w:t xml:space="preserve">.” </w:t>
      </w:r>
      <w:r w:rsidR="005C435A" w:rsidRPr="003875F5">
        <w:rPr>
          <w:rFonts w:ascii="Times New Roman" w:hAnsi="Times New Roman" w:cs="Times New Roman"/>
          <w:sz w:val="24"/>
          <w:szCs w:val="24"/>
          <w:lang w:val="en-US"/>
        </w:rPr>
        <w:t>We coded this with ones.</w:t>
      </w:r>
    </w:p>
    <w:p w:rsidR="00DA1052" w:rsidRPr="003875F5" w:rsidRDefault="00DA1052" w:rsidP="00A969E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2005: “</w:t>
      </w:r>
      <w:r w:rsidRPr="003875F5">
        <w:rPr>
          <w:rFonts w:ascii="Times New Roman" w:hAnsi="Times New Roman" w:cs="Times New Roman"/>
          <w:i/>
          <w:sz w:val="24"/>
          <w:szCs w:val="24"/>
          <w:lang w:val="en-US"/>
        </w:rPr>
        <w:t>Controls apply to purchase of or swap operations in instruments and claims on a foreign financial market by an insurance company or a private pension fund</w:t>
      </w:r>
      <w:r w:rsidRPr="003875F5">
        <w:rPr>
          <w:rFonts w:ascii="Times New Roman" w:hAnsi="Times New Roman" w:cs="Times New Roman"/>
          <w:sz w:val="24"/>
          <w:szCs w:val="24"/>
          <w:lang w:val="en-US"/>
        </w:rPr>
        <w:t xml:space="preserve">.” </w:t>
      </w:r>
      <w:r w:rsidR="00776BA6" w:rsidRPr="003875F5">
        <w:rPr>
          <w:rFonts w:ascii="Times New Roman" w:hAnsi="Times New Roman" w:cs="Times New Roman"/>
          <w:sz w:val="24"/>
          <w:szCs w:val="24"/>
          <w:lang w:val="en-US"/>
        </w:rPr>
        <w:t>Idem as (iii) above.</w:t>
      </w:r>
    </w:p>
    <w:p w:rsidR="004A30E1" w:rsidRPr="003875F5" w:rsidRDefault="004A30E1" w:rsidP="004A30E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gsi</w:t>
      </w:r>
      <w:proofErr w:type="spellEnd"/>
      <w:r w:rsidRPr="003875F5">
        <w:rPr>
          <w:rFonts w:ascii="Times New Roman" w:hAnsi="Times New Roman" w:cs="Times New Roman"/>
          <w:sz w:val="24"/>
          <w:szCs w:val="24"/>
          <w:lang w:val="en-US"/>
        </w:rPr>
        <w:t xml:space="preserve"> 1995: “</w:t>
      </w:r>
      <w:r w:rsidRPr="003875F5">
        <w:rPr>
          <w:rFonts w:ascii="Times New Roman" w:hAnsi="Times New Roman" w:cs="Times New Roman"/>
          <w:i/>
          <w:sz w:val="24"/>
          <w:szCs w:val="24"/>
          <w:lang w:val="en-US"/>
        </w:rPr>
        <w:t>The BOM has recommended that residents not receive sureties, guarantees or financial back-up facilities denominated in domestic currency from nonresident entities. Nevertheless there is no regulation prohibiting these operations</w:t>
      </w:r>
      <w:r w:rsidRPr="003875F5">
        <w:rPr>
          <w:rFonts w:ascii="Times New Roman" w:hAnsi="Times New Roman" w:cs="Times New Roman"/>
          <w:sz w:val="24"/>
          <w:szCs w:val="24"/>
          <w:lang w:val="en-US"/>
        </w:rPr>
        <w:t xml:space="preserve">.” </w:t>
      </w:r>
      <w:r w:rsidR="00614203" w:rsidRPr="003875F5">
        <w:rPr>
          <w:rFonts w:ascii="Times New Roman" w:hAnsi="Times New Roman" w:cs="Times New Roman"/>
          <w:sz w:val="24"/>
          <w:szCs w:val="24"/>
          <w:lang w:val="en-US"/>
        </w:rPr>
        <w:t xml:space="preserve">We </w:t>
      </w:r>
      <w:r w:rsidRPr="003875F5">
        <w:rPr>
          <w:rFonts w:ascii="Times New Roman" w:hAnsi="Times New Roman" w:cs="Times New Roman"/>
          <w:sz w:val="24"/>
          <w:szCs w:val="24"/>
          <w:lang w:val="en-US"/>
        </w:rPr>
        <w:t>coded with ones.</w:t>
      </w:r>
    </w:p>
    <w:p w:rsidR="004A30E1" w:rsidRPr="003875F5" w:rsidRDefault="004A30E1" w:rsidP="004A30E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1995</w:t>
      </w:r>
      <w:r w:rsidR="000C0BF1" w:rsidRPr="003875F5">
        <w:rPr>
          <w:rFonts w:ascii="Times New Roman" w:hAnsi="Times New Roman" w:cs="Times New Roman"/>
          <w:sz w:val="24"/>
          <w:szCs w:val="24"/>
          <w:lang w:val="en-US"/>
        </w:rPr>
        <w:t>-</w:t>
      </w:r>
      <w:r w:rsidR="006813E9"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 restrictions are the following: (1) The acquisition by foreign nonresidents of real estate outside a 100-kilometer strip alongside the Mexican land border and a 50-kilometer strip inland from the Mexican coast, provided the investor agrees to consider himself Mexican and to refrain from invoking the protection of his government regarding the property thus acquired; (2) The acquisition by foreign nonresidents of real estate through a real estate trust within the zone defined above</w:t>
      </w:r>
      <w:r w:rsidRPr="003875F5">
        <w:rPr>
          <w:rFonts w:ascii="Times New Roman" w:hAnsi="Times New Roman" w:cs="Times New Roman"/>
          <w:sz w:val="24"/>
          <w:szCs w:val="24"/>
          <w:lang w:val="en-US"/>
        </w:rPr>
        <w:t xml:space="preserve">.” </w:t>
      </w:r>
      <w:r w:rsidR="00614203" w:rsidRPr="003875F5">
        <w:rPr>
          <w:rFonts w:ascii="Times New Roman" w:hAnsi="Times New Roman" w:cs="Times New Roman"/>
          <w:sz w:val="24"/>
          <w:szCs w:val="24"/>
          <w:lang w:val="en-US"/>
        </w:rPr>
        <w:t>We</w:t>
      </w:r>
      <w:r w:rsidRPr="003875F5">
        <w:rPr>
          <w:rFonts w:ascii="Times New Roman" w:hAnsi="Times New Roman" w:cs="Times New Roman"/>
          <w:sz w:val="24"/>
          <w:szCs w:val="24"/>
          <w:lang w:val="en-US"/>
        </w:rPr>
        <w:t xml:space="preserve"> coded with ones.</w:t>
      </w:r>
    </w:p>
    <w:p w:rsidR="001B3650" w:rsidRPr="003875F5" w:rsidRDefault="00CA4EDC" w:rsidP="00B252C6">
      <w:pPr>
        <w:pStyle w:val="Estilo2"/>
      </w:pPr>
      <w:bookmarkStart w:id="54" w:name="_Toc402472353"/>
      <w:r w:rsidRPr="003875F5">
        <w:t>Moldova</w:t>
      </w:r>
      <w:bookmarkEnd w:id="54"/>
    </w:p>
    <w:p w:rsidR="001B3650" w:rsidRPr="003875F5" w:rsidRDefault="001B3650" w:rsidP="001B365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bo_plbn</w:t>
      </w:r>
      <w:proofErr w:type="spellEnd"/>
      <w:r w:rsidRPr="003875F5">
        <w:rPr>
          <w:rFonts w:ascii="Times New Roman" w:hAnsi="Times New Roman" w:cs="Times New Roman"/>
          <w:sz w:val="24"/>
          <w:szCs w:val="24"/>
          <w:lang w:val="en-US"/>
        </w:rPr>
        <w:t xml:space="preserve"> 2003-2006 we decided to code it as a control, despite the fact that there is no narrative, since the information that we use in 2007 to set it as a control, is available in previous years in the “Controls on capital and money market instruments” header.</w:t>
      </w:r>
    </w:p>
    <w:p w:rsidR="001B04C3" w:rsidRPr="003875F5" w:rsidRDefault="001B3650" w:rsidP="001B365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xml:space="preserve"> 2004-2008: “</w:t>
      </w:r>
      <w:r w:rsidRPr="003875F5">
        <w:rPr>
          <w:rFonts w:ascii="Times New Roman" w:hAnsi="Times New Roman" w:cs="Times New Roman"/>
          <w:i/>
          <w:sz w:val="24"/>
          <w:szCs w:val="24"/>
          <w:lang w:val="en-US"/>
        </w:rPr>
        <w:t>Foreign investors may transfer abroad funds obtained domestically as a result of liquidation of direct investment after having fulfilled all fiscal obligations. Proceeds from the liquidation or sale of investments abroad must be repatriated to Moldova, except for proceeds that are reinvested abroad in investments not subject to NBM approval.”</w:t>
      </w:r>
      <w:r w:rsidRPr="003875F5">
        <w:rPr>
          <w:rFonts w:ascii="Times New Roman" w:hAnsi="Times New Roman" w:cs="Times New Roman"/>
          <w:sz w:val="24"/>
          <w:szCs w:val="24"/>
          <w:lang w:val="en-US"/>
        </w:rPr>
        <w:t xml:space="preserve"> We think that this is a control for the reason that a NBM approval is required (rule 6) and there are controls to the repatriation of capitals (rule 11).</w:t>
      </w:r>
    </w:p>
    <w:p w:rsidR="0040232F" w:rsidRPr="003875F5" w:rsidRDefault="0040232F" w:rsidP="00B252C6">
      <w:pPr>
        <w:pStyle w:val="Estilo2"/>
      </w:pPr>
      <w:bookmarkStart w:id="55" w:name="_Toc402472354"/>
      <w:r w:rsidRPr="003875F5">
        <w:t>Morocco</w:t>
      </w:r>
      <w:bookmarkEnd w:id="55"/>
    </w:p>
    <w:p w:rsidR="0040232F" w:rsidRPr="003875F5" w:rsidRDefault="00B61A3A"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xml:space="preserve"> 2006-201</w:t>
      </w:r>
      <w:r w:rsidR="000160B5">
        <w:rPr>
          <w:rFonts w:ascii="Times New Roman" w:hAnsi="Times New Roman" w:cs="Times New Roman"/>
          <w:sz w:val="24"/>
          <w:szCs w:val="24"/>
          <w:lang w:val="en-US"/>
        </w:rPr>
        <w:t>3</w:t>
      </w:r>
      <w:r w:rsidRPr="003875F5">
        <w:rPr>
          <w:rFonts w:ascii="Times New Roman" w:hAnsi="Times New Roman" w:cs="Times New Roman"/>
          <w:sz w:val="24"/>
          <w:szCs w:val="24"/>
          <w:lang w:val="en-US"/>
        </w:rPr>
        <w:t>, pursuant rule 2, we decided to code it with zeros.</w:t>
      </w:r>
      <w:r w:rsidR="0040232F" w:rsidRPr="003875F5">
        <w:rPr>
          <w:rFonts w:ascii="Times New Roman" w:hAnsi="Times New Roman" w:cs="Times New Roman"/>
          <w:sz w:val="24"/>
          <w:szCs w:val="24"/>
          <w:lang w:val="en-US"/>
        </w:rPr>
        <w:t xml:space="preserve"> </w:t>
      </w:r>
    </w:p>
    <w:p w:rsidR="00253F92" w:rsidRPr="003875F5" w:rsidRDefault="00253F92"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ci_plbn</w:t>
      </w:r>
      <w:proofErr w:type="spellEnd"/>
      <w:r w:rsidRPr="003875F5">
        <w:rPr>
          <w:rFonts w:ascii="Times New Roman" w:hAnsi="Times New Roman" w:cs="Times New Roman"/>
          <w:sz w:val="24"/>
          <w:szCs w:val="24"/>
          <w:lang w:val="en-US"/>
        </w:rPr>
        <w:t xml:space="preserve"> </w:t>
      </w:r>
      <w:r w:rsidR="008C2513" w:rsidRPr="003875F5">
        <w:rPr>
          <w:rFonts w:ascii="Times New Roman" w:hAnsi="Times New Roman" w:cs="Times New Roman"/>
          <w:sz w:val="24"/>
          <w:szCs w:val="24"/>
          <w:lang w:val="en-US"/>
        </w:rPr>
        <w:t>2005-</w:t>
      </w:r>
      <w:r w:rsidRPr="003875F5">
        <w:rPr>
          <w:rFonts w:ascii="Times New Roman" w:hAnsi="Times New Roman" w:cs="Times New Roman"/>
          <w:sz w:val="24"/>
          <w:szCs w:val="24"/>
          <w:lang w:val="en-US"/>
        </w:rPr>
        <w:t xml:space="preserve">2006, a conflict of rules arises: On the one hand, the header states that collective investments follow the same rules as money market instruments (i.e. </w:t>
      </w:r>
      <w:proofErr w:type="spellStart"/>
      <w:r w:rsidRPr="003875F5">
        <w:rPr>
          <w:rFonts w:ascii="Times New Roman" w:hAnsi="Times New Roman" w:cs="Times New Roman"/>
          <w:sz w:val="24"/>
          <w:szCs w:val="24"/>
          <w:lang w:val="en-US"/>
        </w:rPr>
        <w:t>mm_plbn</w:t>
      </w:r>
      <w:proofErr w:type="spellEnd"/>
      <w:r w:rsidRPr="003875F5">
        <w:rPr>
          <w:rFonts w:ascii="Times New Roman" w:hAnsi="Times New Roman" w:cs="Times New Roman"/>
          <w:sz w:val="24"/>
          <w:szCs w:val="24"/>
          <w:lang w:val="en-US"/>
        </w:rPr>
        <w:t xml:space="preserve">=0) –rule 3(iii)-. On the other hand, </w:t>
      </w:r>
      <w:proofErr w:type="spellStart"/>
      <w:r w:rsidRPr="003875F5">
        <w:rPr>
          <w:rFonts w:ascii="Times New Roman" w:hAnsi="Times New Roman" w:cs="Times New Roman"/>
          <w:sz w:val="24"/>
          <w:szCs w:val="24"/>
          <w:lang w:val="en-US"/>
        </w:rPr>
        <w:t>ci_plbn</w:t>
      </w:r>
      <w:proofErr w:type="spellEnd"/>
      <w:r w:rsidRPr="003875F5">
        <w:rPr>
          <w:rFonts w:ascii="Times New Roman" w:hAnsi="Times New Roman" w:cs="Times New Roman"/>
          <w:sz w:val="24"/>
          <w:szCs w:val="24"/>
          <w:lang w:val="en-US"/>
        </w:rPr>
        <w:t xml:space="preserve"> has a “</w:t>
      </w:r>
      <w:r w:rsidRPr="003875F5">
        <w:rPr>
          <w:rFonts w:ascii="Times New Roman" w:hAnsi="Times New Roman" w:cs="Times New Roman"/>
          <w:i/>
          <w:sz w:val="24"/>
          <w:szCs w:val="24"/>
          <w:lang w:val="en-US"/>
        </w:rPr>
        <w:t>yes</w:t>
      </w:r>
      <w:r w:rsidRPr="003875F5">
        <w:rPr>
          <w:rFonts w:ascii="Times New Roman" w:hAnsi="Times New Roman" w:cs="Times New Roman"/>
          <w:sz w:val="24"/>
          <w:szCs w:val="24"/>
          <w:lang w:val="en-US"/>
        </w:rPr>
        <w:t>” with no further information –rule 3(i)-. I</w:t>
      </w:r>
      <w:r w:rsidR="00DA0B3E" w:rsidRPr="003875F5">
        <w:rPr>
          <w:rFonts w:ascii="Times New Roman" w:hAnsi="Times New Roman" w:cs="Times New Roman"/>
          <w:sz w:val="24"/>
          <w:szCs w:val="24"/>
          <w:lang w:val="en-US"/>
        </w:rPr>
        <w:t>n this case,</w:t>
      </w:r>
      <w:r w:rsidRPr="003875F5">
        <w:rPr>
          <w:rFonts w:ascii="Times New Roman" w:hAnsi="Times New Roman" w:cs="Times New Roman"/>
          <w:sz w:val="24"/>
          <w:szCs w:val="24"/>
          <w:lang w:val="en-US"/>
        </w:rPr>
        <w:t xml:space="preserve"> it should </w:t>
      </w:r>
      <w:proofErr w:type="gramStart"/>
      <w:r w:rsidRPr="003875F5">
        <w:rPr>
          <w:rFonts w:ascii="Times New Roman" w:hAnsi="Times New Roman" w:cs="Times New Roman"/>
          <w:sz w:val="24"/>
          <w:szCs w:val="24"/>
          <w:lang w:val="en-US"/>
        </w:rPr>
        <w:t>prevail</w:t>
      </w:r>
      <w:proofErr w:type="gramEnd"/>
      <w:r w:rsidRPr="003875F5">
        <w:rPr>
          <w:rFonts w:ascii="Times New Roman" w:hAnsi="Times New Roman" w:cs="Times New Roman"/>
          <w:sz w:val="24"/>
          <w:szCs w:val="24"/>
          <w:lang w:val="en-US"/>
        </w:rPr>
        <w:t xml:space="preserve"> rule 3(i). </w:t>
      </w:r>
    </w:p>
    <w:p w:rsidR="005F5E21" w:rsidRPr="003875F5" w:rsidRDefault="005F5E21"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w:t>
      </w:r>
      <w:r w:rsidR="00F16756"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1995</w:t>
      </w:r>
      <w:r w:rsidR="0007790C" w:rsidRPr="003875F5">
        <w:rPr>
          <w:rFonts w:ascii="Times New Roman" w:hAnsi="Times New Roman" w:cs="Times New Roman"/>
          <w:sz w:val="24"/>
          <w:szCs w:val="24"/>
          <w:lang w:val="en-US"/>
        </w:rPr>
        <w:t>-</w:t>
      </w:r>
      <w:r w:rsidR="00F16756" w:rsidRPr="003875F5">
        <w:rPr>
          <w:rFonts w:ascii="Times New Roman" w:hAnsi="Times New Roman" w:cs="Times New Roman"/>
          <w:sz w:val="24"/>
          <w:szCs w:val="24"/>
          <w:lang w:val="en-US"/>
        </w:rPr>
        <w:t xml:space="preserve">2004) and </w:t>
      </w:r>
      <w:proofErr w:type="spellStart"/>
      <w:r w:rsidR="00F16756" w:rsidRPr="003875F5">
        <w:rPr>
          <w:rFonts w:ascii="Times New Roman" w:hAnsi="Times New Roman" w:cs="Times New Roman"/>
          <w:sz w:val="24"/>
          <w:szCs w:val="24"/>
          <w:lang w:val="en-US"/>
        </w:rPr>
        <w:t>de_siln</w:t>
      </w:r>
      <w:proofErr w:type="spellEnd"/>
      <w:r w:rsidR="00F16756" w:rsidRPr="003875F5">
        <w:rPr>
          <w:rFonts w:ascii="Times New Roman" w:hAnsi="Times New Roman" w:cs="Times New Roman"/>
          <w:sz w:val="24"/>
          <w:szCs w:val="24"/>
          <w:lang w:val="en-US"/>
        </w:rPr>
        <w:t xml:space="preserve"> (2002-2004)</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These instruments have not been developed in Morocco</w:t>
      </w:r>
      <w:r w:rsidRPr="003875F5">
        <w:rPr>
          <w:rFonts w:ascii="Times New Roman" w:hAnsi="Times New Roman" w:cs="Times New Roman"/>
          <w:sz w:val="24"/>
          <w:szCs w:val="24"/>
          <w:lang w:val="en-US"/>
        </w:rPr>
        <w:t xml:space="preserve">” </w:t>
      </w:r>
      <w:r w:rsidR="005C435A" w:rsidRPr="003875F5">
        <w:rPr>
          <w:rFonts w:ascii="Times New Roman" w:hAnsi="Times New Roman" w:cs="Times New Roman"/>
          <w:sz w:val="24"/>
          <w:szCs w:val="24"/>
          <w:lang w:val="en-US"/>
        </w:rPr>
        <w:t>It was coded in accordance with rule 3(i).</w:t>
      </w:r>
    </w:p>
    <w:p w:rsidR="00FD7EC2" w:rsidRPr="003875F5" w:rsidRDefault="00FD7EC2" w:rsidP="00B252C6">
      <w:pPr>
        <w:pStyle w:val="Estilo2"/>
      </w:pPr>
      <w:bookmarkStart w:id="56" w:name="_Toc402472355"/>
      <w:r w:rsidRPr="003875F5">
        <w:t>New Zealand</w:t>
      </w:r>
      <w:bookmarkEnd w:id="56"/>
    </w:p>
    <w:p w:rsidR="00CA6255" w:rsidRPr="003875F5" w:rsidRDefault="00FD7EC2" w:rsidP="00CA6255">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dii in 2009, 2010 and 2011 we decided to impose controls based on one sentence that repeated in each report that alluded to the requirement that “consent is needed“ (which we take as authorization) for “the establishment by an overseas person of a business in New Zealand if the business operates for more than 90 days in any year”.  </w:t>
      </w:r>
    </w:p>
    <w:p w:rsidR="00BA0115" w:rsidRPr="003875F5" w:rsidRDefault="00BA0115" w:rsidP="00B252C6">
      <w:pPr>
        <w:pStyle w:val="Estilo2"/>
      </w:pPr>
      <w:bookmarkStart w:id="57" w:name="_Toc402472356"/>
      <w:r w:rsidRPr="003875F5">
        <w:t>Nicaragua</w:t>
      </w:r>
      <w:bookmarkEnd w:id="57"/>
    </w:p>
    <w:p w:rsidR="00BA0115" w:rsidRPr="003875F5" w:rsidRDefault="00B61A3A"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fci</w:t>
      </w:r>
      <w:proofErr w:type="spellEnd"/>
      <w:r w:rsidRPr="003875F5">
        <w:rPr>
          <w:rFonts w:ascii="Times New Roman" w:hAnsi="Times New Roman" w:cs="Times New Roman"/>
          <w:sz w:val="24"/>
          <w:szCs w:val="24"/>
          <w:lang w:val="en-US"/>
        </w:rPr>
        <w:t xml:space="preserve"> 2009-201, c</w:t>
      </w:r>
      <w:r w:rsidR="00BA0115" w:rsidRPr="003875F5">
        <w:rPr>
          <w:rFonts w:ascii="Times New Roman" w:hAnsi="Times New Roman" w:cs="Times New Roman"/>
          <w:sz w:val="24"/>
          <w:szCs w:val="24"/>
          <w:lang w:val="en-US"/>
        </w:rPr>
        <w:t xml:space="preserve">onsidering that those credits are </w:t>
      </w:r>
      <w:r w:rsidRPr="003875F5">
        <w:rPr>
          <w:rFonts w:ascii="Times New Roman" w:hAnsi="Times New Roman" w:cs="Times New Roman"/>
          <w:sz w:val="24"/>
          <w:szCs w:val="24"/>
          <w:lang w:val="en-US"/>
        </w:rPr>
        <w:t>subject to specific regulation, we believe that this is a control.</w:t>
      </w:r>
    </w:p>
    <w:p w:rsidR="00B33CAB" w:rsidRPr="003875F5" w:rsidRDefault="00B33CAB" w:rsidP="00B33CAB">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dii 2007-2012: “</w:t>
      </w:r>
      <w:r w:rsidRPr="003875F5">
        <w:rPr>
          <w:rFonts w:ascii="Times New Roman" w:hAnsi="Times New Roman" w:cs="Times New Roman"/>
          <w:i/>
          <w:sz w:val="24"/>
          <w:szCs w:val="24"/>
          <w:lang w:val="en-US"/>
        </w:rPr>
        <w:t>Investment related to development of the country’s natural resources require approval from the government institutions responsible for administering such development (Ministry of the Environment and Natural Resources, Ministry of Energy and Mines, MIFIC). Other types of investments also require government approval to benefit from the investment law (National Commission of Free Zones, Nicaraguan Institute of Tourism, other institutions). Under the Foreign Investment Law, investors must report their investments to the CBN, directly or through commercial banks. Foreign investment in the financial system is subject to SIBOIF procedures (General Law on Banks, Nonbank Financial Institutions, and Financial Groups)</w:t>
      </w:r>
      <w:r w:rsidRPr="003875F5">
        <w:rPr>
          <w:rFonts w:ascii="Times New Roman" w:hAnsi="Times New Roman" w:cs="Times New Roman"/>
          <w:sz w:val="24"/>
          <w:szCs w:val="24"/>
          <w:lang w:val="en-US"/>
        </w:rPr>
        <w:t xml:space="preserve">” </w:t>
      </w:r>
      <w:r w:rsidR="009A2F68" w:rsidRPr="003875F5">
        <w:rPr>
          <w:rFonts w:ascii="Times New Roman" w:hAnsi="Times New Roman" w:cs="Times New Roman"/>
          <w:sz w:val="24"/>
          <w:szCs w:val="24"/>
          <w:lang w:val="en-US"/>
        </w:rPr>
        <w:t>We set it as a no-control, because</w:t>
      </w:r>
      <w:r w:rsidRPr="003875F5">
        <w:rPr>
          <w:rFonts w:ascii="Times New Roman" w:hAnsi="Times New Roman" w:cs="Times New Roman"/>
          <w:sz w:val="24"/>
          <w:szCs w:val="24"/>
          <w:lang w:val="en-US"/>
        </w:rPr>
        <w:t xml:space="preserve"> investments in natural resources</w:t>
      </w:r>
      <w:r w:rsidR="009A2F68" w:rsidRPr="003875F5">
        <w:rPr>
          <w:rFonts w:ascii="Times New Roman" w:hAnsi="Times New Roman" w:cs="Times New Roman"/>
          <w:sz w:val="24"/>
          <w:szCs w:val="24"/>
          <w:lang w:val="en-US"/>
        </w:rPr>
        <w:t xml:space="preserve"> do not</w:t>
      </w:r>
      <w:r w:rsidRPr="003875F5">
        <w:rPr>
          <w:rFonts w:ascii="Times New Roman" w:hAnsi="Times New Roman" w:cs="Times New Roman"/>
          <w:sz w:val="24"/>
          <w:szCs w:val="24"/>
          <w:lang w:val="en-US"/>
        </w:rPr>
        <w:t xml:space="preserve"> have sizeable macro impacts.</w:t>
      </w:r>
    </w:p>
    <w:p w:rsidR="00593A9C" w:rsidRPr="003875F5" w:rsidRDefault="00593A9C" w:rsidP="00B252C6">
      <w:pPr>
        <w:pStyle w:val="Estilo2"/>
      </w:pPr>
      <w:bookmarkStart w:id="58" w:name="_Toc402472357"/>
      <w:r w:rsidRPr="003875F5">
        <w:t>Norway</w:t>
      </w:r>
      <w:bookmarkEnd w:id="58"/>
    </w:p>
    <w:p w:rsidR="00593A9C" w:rsidRPr="003875F5" w:rsidRDefault="00593A9C" w:rsidP="00593A9C">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2002-2012: “</w:t>
      </w:r>
      <w:r w:rsidRPr="003875F5">
        <w:rPr>
          <w:rFonts w:ascii="Times New Roman" w:hAnsi="Times New Roman" w:cs="Times New Roman"/>
          <w:i/>
          <w:sz w:val="24"/>
          <w:szCs w:val="24"/>
          <w:lang w:val="en-US"/>
        </w:rPr>
        <w:t>Effective March 6, 2002, collective investment schemes, insurance companies, and private funds are subject to nondiscriminatory limitations on exposure to derivatives</w:t>
      </w:r>
      <w:r w:rsidRPr="003875F5">
        <w:rPr>
          <w:rFonts w:ascii="Times New Roman" w:hAnsi="Times New Roman" w:cs="Times New Roman"/>
          <w:sz w:val="24"/>
          <w:szCs w:val="24"/>
          <w:lang w:val="en-US"/>
        </w:rPr>
        <w:t xml:space="preserve">.” </w:t>
      </w:r>
      <w:r w:rsidR="00433953" w:rsidRPr="003875F5">
        <w:rPr>
          <w:rFonts w:ascii="Times New Roman" w:hAnsi="Times New Roman" w:cs="Times New Roman"/>
          <w:sz w:val="24"/>
          <w:szCs w:val="24"/>
          <w:lang w:val="en-US"/>
        </w:rPr>
        <w:t>This is considered to be a control since there are restrictions for investment schemes and private funds.</w:t>
      </w:r>
    </w:p>
    <w:p w:rsidR="00206989" w:rsidRPr="003875F5" w:rsidRDefault="00206989" w:rsidP="00206989">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2002: “</w:t>
      </w:r>
      <w:r w:rsidRPr="003875F5">
        <w:rPr>
          <w:rFonts w:ascii="Times New Roman" w:hAnsi="Times New Roman" w:cs="Times New Roman"/>
          <w:i/>
          <w:sz w:val="24"/>
          <w:szCs w:val="24"/>
          <w:lang w:val="en-US"/>
        </w:rPr>
        <w:t>There are limitations on nonresidents’ purchases of houses for recreational purposes and on real estate in the agricultural sector.</w:t>
      </w:r>
      <w:r w:rsidRPr="003875F5">
        <w:rPr>
          <w:rFonts w:ascii="Times New Roman" w:hAnsi="Times New Roman" w:cs="Times New Roman"/>
          <w:sz w:val="24"/>
          <w:szCs w:val="24"/>
          <w:lang w:val="en-US"/>
        </w:rPr>
        <w:t xml:space="preserve">” </w:t>
      </w:r>
      <w:r w:rsidR="00614203" w:rsidRPr="003875F5">
        <w:rPr>
          <w:rFonts w:ascii="Times New Roman" w:hAnsi="Times New Roman" w:cs="Times New Roman"/>
          <w:sz w:val="24"/>
          <w:szCs w:val="24"/>
          <w:lang w:val="en-US"/>
        </w:rPr>
        <w:t>We</w:t>
      </w:r>
      <w:r w:rsidRPr="003875F5">
        <w:rPr>
          <w:rFonts w:ascii="Times New Roman" w:hAnsi="Times New Roman" w:cs="Times New Roman"/>
          <w:sz w:val="24"/>
          <w:szCs w:val="24"/>
          <w:lang w:val="en-US"/>
        </w:rPr>
        <w:t xml:space="preserve"> coded with ones</w:t>
      </w:r>
      <w:r w:rsidR="00614203" w:rsidRPr="003875F5">
        <w:rPr>
          <w:rFonts w:ascii="Times New Roman" w:hAnsi="Times New Roman" w:cs="Times New Roman"/>
          <w:sz w:val="24"/>
          <w:szCs w:val="24"/>
          <w:lang w:val="en-US"/>
        </w:rPr>
        <w:t>, since this might be important</w:t>
      </w:r>
      <w:r w:rsidRPr="003875F5">
        <w:rPr>
          <w:rFonts w:ascii="Times New Roman" w:hAnsi="Times New Roman" w:cs="Times New Roman"/>
          <w:sz w:val="24"/>
          <w:szCs w:val="24"/>
          <w:lang w:val="en-US"/>
        </w:rPr>
        <w:t>.</w:t>
      </w:r>
    </w:p>
    <w:p w:rsidR="00C30C75" w:rsidRPr="003875F5" w:rsidRDefault="00C30C75" w:rsidP="00B252C6">
      <w:pPr>
        <w:pStyle w:val="Estilo2"/>
      </w:pPr>
      <w:bookmarkStart w:id="59" w:name="_Toc402472358"/>
      <w:r w:rsidRPr="003875F5">
        <w:t>Oman</w:t>
      </w:r>
      <w:bookmarkEnd w:id="59"/>
    </w:p>
    <w:p w:rsidR="00C30C75" w:rsidRPr="003875F5" w:rsidRDefault="00C30C75" w:rsidP="00C30C75">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1996-2005: “</w:t>
      </w:r>
      <w:r w:rsidRPr="003875F5">
        <w:rPr>
          <w:rFonts w:ascii="Times New Roman" w:hAnsi="Times New Roman" w:cs="Times New Roman"/>
          <w:i/>
          <w:sz w:val="24"/>
          <w:szCs w:val="24"/>
          <w:lang w:val="en-US"/>
        </w:rPr>
        <w:t xml:space="preserve">Foreign share ownership in Omani companies is generally limited to 70%, but it may be raised to 100%. A nonresident portfolio investor may not hold more than 10% of the </w:t>
      </w:r>
      <w:r w:rsidRPr="003875F5">
        <w:rPr>
          <w:rFonts w:ascii="Times New Roman" w:hAnsi="Times New Roman" w:cs="Times New Roman"/>
          <w:i/>
          <w:sz w:val="24"/>
          <w:szCs w:val="24"/>
          <w:lang w:val="en-US"/>
        </w:rPr>
        <w:lastRenderedPageBreak/>
        <w:t>shares in an Omani company</w:t>
      </w:r>
      <w:r w:rsidRPr="003875F5">
        <w:rPr>
          <w:rFonts w:ascii="Times New Roman" w:hAnsi="Times New Roman" w:cs="Times New Roman"/>
          <w:sz w:val="24"/>
          <w:szCs w:val="24"/>
          <w:lang w:val="en-US"/>
        </w:rPr>
        <w:t xml:space="preserve">” Pursuant rule 6, this </w:t>
      </w:r>
      <w:r w:rsidR="009A2F68" w:rsidRPr="003875F5">
        <w:rPr>
          <w:rFonts w:ascii="Times New Roman" w:hAnsi="Times New Roman" w:cs="Times New Roman"/>
          <w:sz w:val="24"/>
          <w:szCs w:val="24"/>
          <w:lang w:val="en-US"/>
        </w:rPr>
        <w:t>was considered</w:t>
      </w:r>
      <w:r w:rsidRPr="003875F5">
        <w:rPr>
          <w:rFonts w:ascii="Times New Roman" w:hAnsi="Times New Roman" w:cs="Times New Roman"/>
          <w:sz w:val="24"/>
          <w:szCs w:val="24"/>
          <w:lang w:val="en-US"/>
        </w:rPr>
        <w:t xml:space="preserve"> a control.</w:t>
      </w:r>
    </w:p>
    <w:p w:rsidR="00237787" w:rsidRPr="003875F5" w:rsidRDefault="00237787" w:rsidP="00B252C6">
      <w:pPr>
        <w:pStyle w:val="Estilo2"/>
      </w:pPr>
      <w:bookmarkStart w:id="60" w:name="_Toc402472359"/>
      <w:r w:rsidRPr="003875F5">
        <w:t>Pakistan</w:t>
      </w:r>
      <w:bookmarkEnd w:id="60"/>
    </w:p>
    <w:p w:rsidR="00CC22BB" w:rsidRPr="003875F5" w:rsidRDefault="00B61A3A"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There is a very strict restriction in</w:t>
      </w:r>
      <w:r w:rsidR="00D75605" w:rsidRPr="003875F5">
        <w:rPr>
          <w:rFonts w:ascii="Times New Roman" w:hAnsi="Times New Roman" w:cs="Times New Roman"/>
          <w:sz w:val="24"/>
          <w:szCs w:val="24"/>
          <w:lang w:val="en-US"/>
        </w:rPr>
        <w:t xml:space="preserve"> </w:t>
      </w:r>
      <w:proofErr w:type="spellStart"/>
      <w:r w:rsidR="00D75605" w:rsidRPr="003875F5">
        <w:rPr>
          <w:rFonts w:ascii="Times New Roman" w:hAnsi="Times New Roman" w:cs="Times New Roman"/>
          <w:sz w:val="24"/>
          <w:szCs w:val="24"/>
          <w:lang w:val="en-US"/>
        </w:rPr>
        <w:t>eq_plbn</w:t>
      </w:r>
      <w:proofErr w:type="spellEnd"/>
      <w:r w:rsidR="00D75605"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2008-2012.</w:t>
      </w:r>
      <w:r w:rsidR="00D75605"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The report shows:</w:t>
      </w:r>
      <w:r w:rsidR="00D75605" w:rsidRPr="003875F5">
        <w:rPr>
          <w:rFonts w:ascii="Times New Roman" w:hAnsi="Times New Roman" w:cs="Times New Roman"/>
          <w:sz w:val="24"/>
          <w:szCs w:val="24"/>
          <w:lang w:val="en-US"/>
        </w:rPr>
        <w:t xml:space="preserve"> “</w:t>
      </w:r>
      <w:r w:rsidR="00D75605" w:rsidRPr="003875F5">
        <w:rPr>
          <w:rFonts w:ascii="Times New Roman" w:hAnsi="Times New Roman" w:cs="Times New Roman"/>
          <w:i/>
          <w:sz w:val="24"/>
          <w:szCs w:val="24"/>
          <w:lang w:val="en-US"/>
        </w:rPr>
        <w:t>A company may allocate up to 20% of a public offering to Pakistanis abroad</w:t>
      </w:r>
      <w:r w:rsidR="00D75605"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Thus, we conclude that persons that nonresidents do not have the Pakistani nationality may not purchase equity in Pakistan; and, that Pakistan nationals have a quantity restriction.</w:t>
      </w:r>
    </w:p>
    <w:p w:rsidR="00776BA6" w:rsidRPr="003875F5" w:rsidRDefault="00C30C75" w:rsidP="00A969E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r w:rsidR="00AC6835" w:rsidRPr="003875F5">
        <w:rPr>
          <w:rFonts w:ascii="Times New Roman" w:hAnsi="Times New Roman" w:cs="Times New Roman"/>
          <w:sz w:val="24"/>
          <w:szCs w:val="24"/>
          <w:lang w:val="en-US"/>
        </w:rPr>
        <w:t>2002-</w:t>
      </w:r>
      <w:r w:rsidRPr="003875F5">
        <w:rPr>
          <w:rFonts w:ascii="Times New Roman" w:hAnsi="Times New Roman" w:cs="Times New Roman"/>
          <w:sz w:val="24"/>
          <w:szCs w:val="24"/>
          <w:lang w:val="en-US"/>
        </w:rPr>
        <w:t xml:space="preserve">2005 </w:t>
      </w:r>
      <w:proofErr w:type="spellStart"/>
      <w:r w:rsidRPr="003875F5">
        <w:rPr>
          <w:rFonts w:ascii="Times New Roman" w:hAnsi="Times New Roman" w:cs="Times New Roman"/>
          <w:sz w:val="24"/>
          <w:szCs w:val="24"/>
          <w:lang w:val="en-US"/>
        </w:rPr>
        <w:t>mm_plbn</w:t>
      </w:r>
      <w:proofErr w:type="spellEnd"/>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No controls apply to the purchase of certificates of investment, PIBs, MTBs, and term finance certificates by nonresidents</w:t>
      </w:r>
      <w:r w:rsidRPr="003875F5">
        <w:rPr>
          <w:rFonts w:ascii="Times New Roman" w:hAnsi="Times New Roman" w:cs="Times New Roman"/>
          <w:sz w:val="24"/>
          <w:szCs w:val="24"/>
          <w:lang w:val="en-US"/>
        </w:rPr>
        <w:t>”</w:t>
      </w:r>
      <w:r w:rsidR="00AC6835" w:rsidRPr="003875F5">
        <w:rPr>
          <w:rFonts w:ascii="Times New Roman" w:hAnsi="Times New Roman" w:cs="Times New Roman"/>
          <w:sz w:val="24"/>
          <w:szCs w:val="24"/>
          <w:lang w:val="en-US"/>
        </w:rPr>
        <w:t xml:space="preserve"> Please note that this narrative is treated differently across the sample, since in years prior to 2002, it was not considered as a control. </w:t>
      </w:r>
      <w:r w:rsidR="002B526A" w:rsidRPr="003875F5">
        <w:rPr>
          <w:rFonts w:ascii="Times New Roman" w:hAnsi="Times New Roman" w:cs="Times New Roman"/>
          <w:sz w:val="24"/>
          <w:szCs w:val="24"/>
          <w:lang w:val="en-US"/>
        </w:rPr>
        <w:t>Therefore,</w:t>
      </w:r>
      <w:r w:rsidR="00AC6835" w:rsidRPr="003875F5">
        <w:rPr>
          <w:rFonts w:ascii="Times New Roman" w:hAnsi="Times New Roman" w:cs="Times New Roman"/>
          <w:sz w:val="24"/>
          <w:szCs w:val="24"/>
          <w:lang w:val="en-US"/>
        </w:rPr>
        <w:t xml:space="preserve"> this should be coded with zeros.</w:t>
      </w:r>
    </w:p>
    <w:p w:rsidR="0047351F" w:rsidRPr="003875F5" w:rsidRDefault="0047351F" w:rsidP="00A969E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1995</w:t>
      </w:r>
      <w:r w:rsidR="0007790C" w:rsidRPr="003875F5">
        <w:rPr>
          <w:rFonts w:ascii="Times New Roman" w:hAnsi="Times New Roman" w:cs="Times New Roman"/>
          <w:sz w:val="24"/>
          <w:szCs w:val="24"/>
          <w:lang w:val="en-US"/>
        </w:rPr>
        <w:t>-</w:t>
      </w:r>
      <w:r w:rsidR="000D3056" w:rsidRPr="003875F5">
        <w:rPr>
          <w:rFonts w:ascii="Times New Roman" w:hAnsi="Times New Roman" w:cs="Times New Roman"/>
          <w:sz w:val="24"/>
          <w:szCs w:val="24"/>
          <w:lang w:val="en-US"/>
        </w:rPr>
        <w:t>2002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Only rights shares exist</w:t>
      </w:r>
      <w:r w:rsidRPr="003875F5">
        <w:rPr>
          <w:rFonts w:ascii="Times New Roman" w:hAnsi="Times New Roman" w:cs="Times New Roman"/>
          <w:sz w:val="24"/>
          <w:szCs w:val="24"/>
          <w:lang w:val="en-US"/>
        </w:rPr>
        <w:t xml:space="preserve">” </w:t>
      </w:r>
      <w:r w:rsidR="00776BA6" w:rsidRPr="003875F5">
        <w:rPr>
          <w:rFonts w:ascii="Times New Roman" w:hAnsi="Times New Roman" w:cs="Times New Roman"/>
          <w:sz w:val="24"/>
          <w:szCs w:val="24"/>
          <w:lang w:val="en-US"/>
        </w:rPr>
        <w:t>We interpret this information to be a control.</w:t>
      </w:r>
    </w:p>
    <w:p w:rsidR="00F10976" w:rsidRPr="003875F5" w:rsidRDefault="00F10976" w:rsidP="00F1097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re_slbn</w:t>
      </w:r>
      <w:proofErr w:type="spellEnd"/>
      <w:r w:rsidRPr="003875F5">
        <w:rPr>
          <w:rFonts w:ascii="Times New Roman" w:hAnsi="Times New Roman" w:cs="Times New Roman"/>
          <w:sz w:val="24"/>
          <w:szCs w:val="24"/>
          <w:lang w:val="en-US"/>
        </w:rPr>
        <w:t xml:space="preserve"> 2001-2003: “</w:t>
      </w:r>
      <w:r w:rsidRPr="003875F5">
        <w:rPr>
          <w:rFonts w:ascii="Times New Roman" w:hAnsi="Times New Roman" w:cs="Times New Roman"/>
          <w:i/>
          <w:sz w:val="24"/>
          <w:szCs w:val="24"/>
          <w:lang w:val="en-US"/>
        </w:rPr>
        <w:t>Sales of real estate by nonresidents engaged in real estate businesses are permitted</w:t>
      </w:r>
      <w:r w:rsidRPr="003875F5">
        <w:rPr>
          <w:rFonts w:ascii="Times New Roman" w:hAnsi="Times New Roman" w:cs="Times New Roman"/>
          <w:sz w:val="24"/>
          <w:szCs w:val="24"/>
          <w:lang w:val="en-US"/>
        </w:rPr>
        <w:t xml:space="preserve">.” </w:t>
      </w:r>
      <w:r w:rsidR="00614203" w:rsidRPr="003875F5">
        <w:rPr>
          <w:rFonts w:ascii="Times New Roman" w:hAnsi="Times New Roman" w:cs="Times New Roman"/>
          <w:sz w:val="24"/>
          <w:szCs w:val="24"/>
          <w:lang w:val="en-US"/>
        </w:rPr>
        <w:t>We do not see that there is a control in place, therefore, we coded with zeros.</w:t>
      </w:r>
    </w:p>
    <w:p w:rsidR="00F37EC9" w:rsidRPr="003875F5" w:rsidRDefault="00F37EC9" w:rsidP="00B252C6">
      <w:pPr>
        <w:pStyle w:val="Estilo2"/>
      </w:pPr>
      <w:bookmarkStart w:id="61" w:name="_Toc402472360"/>
      <w:r w:rsidRPr="003875F5">
        <w:t>Paraguay</w:t>
      </w:r>
      <w:bookmarkEnd w:id="61"/>
    </w:p>
    <w:p w:rsidR="00B26CE3" w:rsidRPr="003875F5" w:rsidRDefault="00977841"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2011 and 2012 several categories have the following narrative: “</w:t>
      </w:r>
      <w:r w:rsidRPr="003875F5">
        <w:rPr>
          <w:rFonts w:ascii="Times New Roman" w:hAnsi="Times New Roman" w:cs="Times New Roman"/>
          <w:i/>
          <w:sz w:val="24"/>
          <w:szCs w:val="24"/>
          <w:lang w:val="en-US"/>
        </w:rPr>
        <w:t xml:space="preserve">Entities supervised by the </w:t>
      </w:r>
      <w:proofErr w:type="spellStart"/>
      <w:r w:rsidRPr="003875F5">
        <w:rPr>
          <w:rFonts w:ascii="Times New Roman" w:hAnsi="Times New Roman" w:cs="Times New Roman"/>
          <w:i/>
          <w:sz w:val="24"/>
          <w:szCs w:val="24"/>
          <w:lang w:val="en-US"/>
        </w:rPr>
        <w:t>Superintendency</w:t>
      </w:r>
      <w:proofErr w:type="spellEnd"/>
      <w:r w:rsidRPr="003875F5">
        <w:rPr>
          <w:rFonts w:ascii="Times New Roman" w:hAnsi="Times New Roman" w:cs="Times New Roman"/>
          <w:i/>
          <w:sz w:val="24"/>
          <w:szCs w:val="24"/>
          <w:lang w:val="en-US"/>
        </w:rPr>
        <w:t xml:space="preserve"> of Banks may not sell, assign, or transfer their shares to individuals or legal entities domiciled in countries deemed to be tax havens</w:t>
      </w:r>
      <w:r w:rsidRPr="003875F5">
        <w:rPr>
          <w:rFonts w:ascii="Times New Roman" w:hAnsi="Times New Roman" w:cs="Times New Roman"/>
          <w:sz w:val="24"/>
          <w:szCs w:val="24"/>
          <w:lang w:val="en-US"/>
        </w:rPr>
        <w:t>.” This not considered being a control because the number of countries deemed to be tax heavens is very limited.</w:t>
      </w:r>
    </w:p>
    <w:p w:rsidR="00F37EC9" w:rsidRPr="003875F5" w:rsidRDefault="00977841"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2007-2011,</w:t>
      </w:r>
      <w:r w:rsidR="00A409F8" w:rsidRPr="003875F5">
        <w:rPr>
          <w:rFonts w:ascii="Times New Roman" w:hAnsi="Times New Roman" w:cs="Times New Roman"/>
          <w:sz w:val="24"/>
          <w:szCs w:val="24"/>
          <w:lang w:val="en-US"/>
        </w:rPr>
        <w:t xml:space="preserve"> </w:t>
      </w:r>
      <w:proofErr w:type="spellStart"/>
      <w:r w:rsidR="00A409F8"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was coded with ones since t</w:t>
      </w:r>
      <w:r w:rsidR="00F37EC9" w:rsidRPr="003875F5">
        <w:rPr>
          <w:rFonts w:ascii="Times New Roman" w:hAnsi="Times New Roman" w:cs="Times New Roman"/>
          <w:sz w:val="24"/>
          <w:szCs w:val="24"/>
          <w:lang w:val="en-US"/>
        </w:rPr>
        <w:t xml:space="preserve">here is an allusion to a ceiling. </w:t>
      </w:r>
    </w:p>
    <w:p w:rsidR="00081DB5" w:rsidRPr="003875F5" w:rsidRDefault="00081DB5" w:rsidP="00081DB5">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2007-2012 </w:t>
      </w:r>
      <w:proofErr w:type="spellStart"/>
      <w:r w:rsidRPr="003875F5">
        <w:rPr>
          <w:rFonts w:ascii="Times New Roman" w:hAnsi="Times New Roman" w:cs="Times New Roman"/>
          <w:sz w:val="24"/>
          <w:szCs w:val="24"/>
          <w:lang w:val="en-US"/>
        </w:rPr>
        <w:t>mm_plbn</w:t>
      </w:r>
      <w:proofErr w:type="spellEnd"/>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are controls on these transactions; however, nonresidents may purchase monetary policy instruments through resident banks</w:t>
      </w:r>
      <w:r w:rsidRPr="003875F5">
        <w:rPr>
          <w:rFonts w:ascii="Times New Roman" w:hAnsi="Times New Roman" w:cs="Times New Roman"/>
          <w:sz w:val="24"/>
          <w:szCs w:val="24"/>
          <w:lang w:val="en-US"/>
        </w:rPr>
        <w:t xml:space="preserve">” </w:t>
      </w:r>
      <w:r w:rsidR="003B3C72" w:rsidRPr="003875F5">
        <w:rPr>
          <w:rFonts w:ascii="Times New Roman" w:hAnsi="Times New Roman" w:cs="Times New Roman"/>
          <w:sz w:val="24"/>
          <w:szCs w:val="24"/>
          <w:lang w:val="en-US"/>
        </w:rPr>
        <w:t>Although nonresidents are permitted to purchase though resident banks, we still believe that this is a restriction.</w:t>
      </w:r>
    </w:p>
    <w:p w:rsidR="00F10976" w:rsidRPr="003875F5" w:rsidRDefault="00F10976" w:rsidP="00F10976">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2007-2012: “</w:t>
      </w:r>
      <w:r w:rsidRPr="003875F5">
        <w:rPr>
          <w:rFonts w:ascii="Times New Roman" w:hAnsi="Times New Roman" w:cs="Times New Roman"/>
          <w:i/>
          <w:sz w:val="24"/>
          <w:szCs w:val="24"/>
          <w:lang w:val="en-US"/>
        </w:rPr>
        <w:t>These transactions are not restricted, except that foreigners may not purchase land within 50 kilometers of the border.</w:t>
      </w:r>
      <w:r w:rsidRPr="003875F5">
        <w:rPr>
          <w:rFonts w:ascii="Times New Roman" w:hAnsi="Times New Roman" w:cs="Times New Roman"/>
          <w:sz w:val="24"/>
          <w:szCs w:val="24"/>
          <w:lang w:val="en-US"/>
        </w:rPr>
        <w:t xml:space="preserve">” </w:t>
      </w:r>
      <w:r w:rsidR="00614203" w:rsidRPr="003875F5">
        <w:rPr>
          <w:rFonts w:ascii="Times New Roman" w:hAnsi="Times New Roman" w:cs="Times New Roman"/>
          <w:sz w:val="24"/>
          <w:szCs w:val="24"/>
          <w:lang w:val="en-US"/>
        </w:rPr>
        <w:t>We</w:t>
      </w:r>
      <w:r w:rsidRPr="003875F5">
        <w:rPr>
          <w:rFonts w:ascii="Times New Roman" w:hAnsi="Times New Roman" w:cs="Times New Roman"/>
          <w:sz w:val="24"/>
          <w:szCs w:val="24"/>
          <w:lang w:val="en-US"/>
        </w:rPr>
        <w:t xml:space="preserve"> coded with zeros</w:t>
      </w:r>
      <w:r w:rsidR="00614203" w:rsidRPr="003875F5">
        <w:rPr>
          <w:rFonts w:ascii="Times New Roman" w:hAnsi="Times New Roman" w:cs="Times New Roman"/>
          <w:sz w:val="24"/>
          <w:szCs w:val="24"/>
          <w:lang w:val="en-US"/>
        </w:rPr>
        <w:t>, since we think that this might be motivated in factors other than economic ones (e.g. national security reasons)</w:t>
      </w:r>
      <w:r w:rsidRPr="003875F5">
        <w:rPr>
          <w:rFonts w:ascii="Times New Roman" w:hAnsi="Times New Roman" w:cs="Times New Roman"/>
          <w:sz w:val="24"/>
          <w:szCs w:val="24"/>
          <w:lang w:val="en-US"/>
        </w:rPr>
        <w:t>.</w:t>
      </w:r>
    </w:p>
    <w:p w:rsidR="000E1683" w:rsidRPr="003875F5" w:rsidRDefault="000E1683" w:rsidP="00B252C6">
      <w:pPr>
        <w:pStyle w:val="Estilo2"/>
      </w:pPr>
      <w:bookmarkStart w:id="62" w:name="_Toc402472361"/>
      <w:r w:rsidRPr="003875F5">
        <w:t>Peru</w:t>
      </w:r>
      <w:bookmarkEnd w:id="62"/>
    </w:p>
    <w:p w:rsidR="000E1683" w:rsidRPr="003875F5" w:rsidRDefault="000E1683" w:rsidP="000E1683">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(2010) and </w:t>
      </w:r>
      <w:proofErr w:type="spellStart"/>
      <w:r w:rsidRPr="003875F5">
        <w:rPr>
          <w:rFonts w:ascii="Times New Roman" w:hAnsi="Times New Roman" w:cs="Times New Roman"/>
          <w:sz w:val="24"/>
          <w:szCs w:val="24"/>
          <w:lang w:val="en-US"/>
        </w:rPr>
        <w:t>de_siln</w:t>
      </w:r>
      <w:proofErr w:type="spellEnd"/>
      <w:r w:rsidRPr="003875F5">
        <w:rPr>
          <w:rFonts w:ascii="Times New Roman" w:hAnsi="Times New Roman" w:cs="Times New Roman"/>
          <w:sz w:val="24"/>
          <w:szCs w:val="24"/>
          <w:lang w:val="en-US"/>
        </w:rPr>
        <w:t xml:space="preserve"> (2010-2012): “</w:t>
      </w:r>
      <w:r w:rsidRPr="003875F5">
        <w:rPr>
          <w:rFonts w:ascii="Times New Roman" w:hAnsi="Times New Roman" w:cs="Times New Roman"/>
          <w:i/>
          <w:sz w:val="24"/>
          <w:szCs w:val="24"/>
          <w:lang w:val="en-US"/>
        </w:rPr>
        <w:t xml:space="preserve">Effective March 22, 2010, income tax at a rate of 30% is levied on earnings from financial derivative operations by </w:t>
      </w:r>
      <w:proofErr w:type="spellStart"/>
      <w:r w:rsidRPr="003875F5">
        <w:rPr>
          <w:rFonts w:ascii="Times New Roman" w:hAnsi="Times New Roman" w:cs="Times New Roman"/>
          <w:i/>
          <w:sz w:val="24"/>
          <w:szCs w:val="24"/>
          <w:lang w:val="en-US"/>
        </w:rPr>
        <w:t>nondomiciled</w:t>
      </w:r>
      <w:proofErr w:type="spellEnd"/>
      <w:r w:rsidRPr="003875F5">
        <w:rPr>
          <w:rFonts w:ascii="Times New Roman" w:hAnsi="Times New Roman" w:cs="Times New Roman"/>
          <w:i/>
          <w:sz w:val="24"/>
          <w:szCs w:val="24"/>
          <w:lang w:val="en-US"/>
        </w:rPr>
        <w:t xml:space="preserve"> operators, quoting </w:t>
      </w:r>
      <w:r w:rsidRPr="003875F5">
        <w:rPr>
          <w:rFonts w:ascii="Times New Roman" w:hAnsi="Times New Roman" w:cs="Times New Roman"/>
          <w:i/>
          <w:sz w:val="24"/>
          <w:szCs w:val="24"/>
          <w:lang w:val="en-US"/>
        </w:rPr>
        <w:lastRenderedPageBreak/>
        <w:t>the underlying asset at the exchange rate of the domestic currency to a foreign currency, provided its effective maturity is less than 60 calendar days (DS 011-2010-EF). This equates the income tax treatment of nonresidents with that of residents.</w:t>
      </w:r>
      <w:r w:rsidRPr="003875F5">
        <w:rPr>
          <w:rFonts w:ascii="Times New Roman" w:hAnsi="Times New Roman" w:cs="Times New Roman"/>
          <w:sz w:val="24"/>
          <w:szCs w:val="24"/>
          <w:lang w:val="en-US"/>
        </w:rPr>
        <w:t>” This was coded with ones.</w:t>
      </w:r>
    </w:p>
    <w:p w:rsidR="001B04C3" w:rsidRPr="003875F5" w:rsidRDefault="00CA4EDC" w:rsidP="00B252C6">
      <w:pPr>
        <w:pStyle w:val="Estilo2"/>
      </w:pPr>
      <w:bookmarkStart w:id="63" w:name="_Toc402472362"/>
      <w:r w:rsidRPr="003875F5">
        <w:t>Philippines</w:t>
      </w:r>
      <w:bookmarkEnd w:id="63"/>
    </w:p>
    <w:p w:rsidR="001B04C3" w:rsidRPr="003875F5" w:rsidRDefault="00CA4EDC"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2006 onwards we decided to have a 1 because it alluded to a requirement for a third party to held onto the purchased security by the non-resident as a custodian. We have never encountered this form but considered it as a control that is intended to “put sands in the wheels of capital markets”.</w:t>
      </w:r>
    </w:p>
    <w:p w:rsidR="00C571DA" w:rsidRPr="003875F5" w:rsidRDefault="00C571DA"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2007, </w:t>
      </w:r>
      <w:proofErr w:type="spellStart"/>
      <w:r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xml:space="preserve"> was coded to match </w:t>
      </w:r>
      <w:proofErr w:type="spellStart"/>
      <w:r w:rsidRPr="003875F5">
        <w:rPr>
          <w:rFonts w:ascii="Times New Roman" w:hAnsi="Times New Roman" w:cs="Times New Roman"/>
          <w:sz w:val="24"/>
          <w:szCs w:val="24"/>
          <w:lang w:val="en-US"/>
        </w:rPr>
        <w:t>bo_plbn</w:t>
      </w:r>
      <w:proofErr w:type="spellEnd"/>
      <w:r w:rsidRPr="003875F5">
        <w:rPr>
          <w:rFonts w:ascii="Times New Roman" w:hAnsi="Times New Roman" w:cs="Times New Roman"/>
          <w:sz w:val="24"/>
          <w:szCs w:val="24"/>
          <w:lang w:val="en-US"/>
        </w:rPr>
        <w:t>, since: “</w:t>
      </w:r>
      <w:r w:rsidRPr="003875F5">
        <w:rPr>
          <w:rFonts w:ascii="Times New Roman" w:hAnsi="Times New Roman" w:cs="Times New Roman"/>
          <w:i/>
          <w:sz w:val="24"/>
          <w:szCs w:val="24"/>
          <w:lang w:val="en-US"/>
        </w:rPr>
        <w:t>The regulations governing purchase locally by nonresidents of bonds or other securities apply</w:t>
      </w:r>
      <w:r w:rsidRPr="003875F5">
        <w:rPr>
          <w:rFonts w:ascii="Times New Roman" w:hAnsi="Times New Roman" w:cs="Times New Roman"/>
          <w:sz w:val="24"/>
          <w:szCs w:val="24"/>
          <w:lang w:val="en-US"/>
        </w:rPr>
        <w:t>.”</w:t>
      </w:r>
    </w:p>
    <w:p w:rsidR="003E73C9" w:rsidRPr="003875F5" w:rsidRDefault="003E73C9" w:rsidP="003E73C9">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2002-2008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These transactions may be freely undertaken if they do not involve foreign exchange purchased from the domestic banking system</w:t>
      </w:r>
      <w:r w:rsidRPr="003875F5">
        <w:rPr>
          <w:rFonts w:ascii="Times New Roman" w:hAnsi="Times New Roman" w:cs="Times New Roman"/>
          <w:sz w:val="24"/>
          <w:szCs w:val="24"/>
          <w:lang w:val="en-US"/>
        </w:rPr>
        <w:t>” In 2009-2012 (change first recorded in 2008 report): “</w:t>
      </w:r>
      <w:r w:rsidRPr="003875F5">
        <w:rPr>
          <w:rFonts w:ascii="Times New Roman" w:hAnsi="Times New Roman" w:cs="Times New Roman"/>
          <w:i/>
          <w:sz w:val="24"/>
          <w:szCs w:val="24"/>
          <w:lang w:val="en-US"/>
        </w:rPr>
        <w:t xml:space="preserve">These transactions may be freely undertaken if these do not involve foreign exchange purchased from AABs and </w:t>
      </w:r>
      <w:proofErr w:type="spellStart"/>
      <w:r w:rsidRPr="003875F5">
        <w:rPr>
          <w:rFonts w:ascii="Times New Roman" w:hAnsi="Times New Roman" w:cs="Times New Roman"/>
          <w:i/>
          <w:sz w:val="24"/>
          <w:szCs w:val="24"/>
          <w:lang w:val="en-US"/>
        </w:rPr>
        <w:t>AABforex</w:t>
      </w:r>
      <w:proofErr w:type="spellEnd"/>
      <w:r w:rsidRPr="003875F5">
        <w:rPr>
          <w:rFonts w:ascii="Times New Roman" w:hAnsi="Times New Roman" w:cs="Times New Roman"/>
          <w:i/>
          <w:sz w:val="24"/>
          <w:szCs w:val="24"/>
          <w:lang w:val="en-US"/>
        </w:rPr>
        <w:t xml:space="preserve"> corporations</w:t>
      </w:r>
      <w:r w:rsidRPr="003875F5">
        <w:rPr>
          <w:rFonts w:ascii="Times New Roman" w:hAnsi="Times New Roman" w:cs="Times New Roman"/>
          <w:sz w:val="24"/>
          <w:szCs w:val="24"/>
          <w:lang w:val="en-US"/>
        </w:rPr>
        <w:t>”</w:t>
      </w:r>
      <w:r w:rsidR="003B3C72" w:rsidRPr="003875F5">
        <w:rPr>
          <w:rFonts w:ascii="Times New Roman" w:hAnsi="Times New Roman" w:cs="Times New Roman"/>
          <w:sz w:val="24"/>
          <w:szCs w:val="24"/>
          <w:lang w:val="en-US"/>
        </w:rPr>
        <w:t xml:space="preserve"> This was taken as a control, since there probably was an important effect on currency exchange regulation.</w:t>
      </w:r>
    </w:p>
    <w:p w:rsidR="00473813" w:rsidRPr="003875F5" w:rsidRDefault="00473813" w:rsidP="00473813">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1997-1998: “</w:t>
      </w:r>
      <w:r w:rsidRPr="003875F5">
        <w:rPr>
          <w:rFonts w:ascii="Times New Roman" w:hAnsi="Times New Roman" w:cs="Times New Roman"/>
          <w:i/>
          <w:sz w:val="24"/>
          <w:szCs w:val="24"/>
          <w:lang w:val="en-US"/>
        </w:rPr>
        <w:t>Effective July 22, 1997, per Circular No. 135, all forward contracts to sell foreign exchange to nonresidents (including offshore banking units) with no full delivery of principal, including cancellations, rollovers/renewals thereof, shall be submitted for prior clearance to the BSP.”</w:t>
      </w:r>
      <w:r w:rsidR="005E6ED5" w:rsidRPr="003875F5">
        <w:rPr>
          <w:rFonts w:ascii="Times New Roman" w:hAnsi="Times New Roman" w:cs="Times New Roman"/>
          <w:sz w:val="24"/>
          <w:szCs w:val="24"/>
          <w:lang w:val="en-US"/>
        </w:rPr>
        <w:t xml:space="preserve"> This is a control </w:t>
      </w:r>
      <w:r w:rsidR="00004908" w:rsidRPr="003875F5">
        <w:rPr>
          <w:rFonts w:ascii="Times New Roman" w:hAnsi="Times New Roman" w:cs="Times New Roman"/>
          <w:sz w:val="24"/>
          <w:szCs w:val="24"/>
          <w:lang w:val="en-US"/>
        </w:rPr>
        <w:t xml:space="preserve">for the clearance requirement (rule 5). </w:t>
      </w:r>
    </w:p>
    <w:p w:rsidR="00E634F3" w:rsidRPr="003875F5" w:rsidRDefault="00E634F3" w:rsidP="00E634F3">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cco</w:t>
      </w:r>
      <w:proofErr w:type="spellEnd"/>
      <w:r w:rsidRPr="003875F5">
        <w:rPr>
          <w:rFonts w:ascii="Times New Roman" w:hAnsi="Times New Roman" w:cs="Times New Roman"/>
          <w:sz w:val="24"/>
          <w:szCs w:val="24"/>
          <w:lang w:val="en-US"/>
        </w:rPr>
        <w:t xml:space="preserve"> 1995</w:t>
      </w:r>
      <w:r w:rsidR="00614203"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w:t>
      </w:r>
      <w:r w:rsidRPr="003875F5">
        <w:rPr>
          <w:rFonts w:ascii="Times New Roman" w:hAnsi="Times New Roman" w:cs="Times New Roman"/>
          <w:i/>
          <w:sz w:val="24"/>
          <w:szCs w:val="24"/>
          <w:lang w:val="en-US"/>
        </w:rPr>
        <w:t>No restrictions are applied except when credit involves the export of regulated or prohibited commodities. No prior BSP approval is required for specified commercial transactions</w:t>
      </w:r>
      <w:r w:rsidRPr="003875F5">
        <w:rPr>
          <w:rFonts w:ascii="Times New Roman" w:hAnsi="Times New Roman" w:cs="Times New Roman"/>
          <w:sz w:val="24"/>
          <w:szCs w:val="24"/>
          <w:lang w:val="en-US"/>
        </w:rPr>
        <w:t xml:space="preserve">.” </w:t>
      </w:r>
      <w:r w:rsidR="00614203" w:rsidRPr="003875F5">
        <w:rPr>
          <w:rFonts w:ascii="Times New Roman" w:hAnsi="Times New Roman" w:cs="Times New Roman"/>
          <w:sz w:val="24"/>
          <w:szCs w:val="24"/>
          <w:lang w:val="en-US"/>
        </w:rPr>
        <w:t>We coded this as a control, in consideration that there is a restriction on a certain set of goods.</w:t>
      </w:r>
    </w:p>
    <w:p w:rsidR="005D5F8F" w:rsidRPr="003875F5" w:rsidRDefault="005D5F8F" w:rsidP="005D5F8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re_slbn</w:t>
      </w:r>
      <w:proofErr w:type="spellEnd"/>
      <w:r w:rsidRPr="003875F5">
        <w:rPr>
          <w:rFonts w:ascii="Times New Roman" w:hAnsi="Times New Roman" w:cs="Times New Roman"/>
          <w:sz w:val="24"/>
          <w:szCs w:val="24"/>
          <w:lang w:val="en-US"/>
        </w:rPr>
        <w:t xml:space="preserve"> 1996</w:t>
      </w:r>
      <w:r w:rsidR="004F7DB7" w:rsidRPr="003875F5">
        <w:rPr>
          <w:rFonts w:ascii="Times New Roman" w:hAnsi="Times New Roman" w:cs="Times New Roman"/>
          <w:sz w:val="24"/>
          <w:szCs w:val="24"/>
          <w:lang w:val="en-US"/>
        </w:rPr>
        <w:t>-</w:t>
      </w:r>
      <w:r w:rsidR="000616A8" w:rsidRPr="003875F5">
        <w:rPr>
          <w:rFonts w:ascii="Times New Roman" w:hAnsi="Times New Roman" w:cs="Times New Roman"/>
          <w:sz w:val="24"/>
          <w:szCs w:val="24"/>
          <w:lang w:val="en-US"/>
        </w:rPr>
        <w:t>1998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For sale of real estate by nonresidents not pertaining to BSP registered investments, they may purchase only as much foreign exchange as they sold to AABs for pesos</w:t>
      </w:r>
      <w:r w:rsidRPr="003875F5">
        <w:rPr>
          <w:rFonts w:ascii="Times New Roman" w:hAnsi="Times New Roman" w:cs="Times New Roman"/>
          <w:sz w:val="24"/>
          <w:szCs w:val="24"/>
          <w:lang w:val="en-US"/>
        </w:rPr>
        <w:t xml:space="preserve">.” </w:t>
      </w:r>
      <w:r w:rsidR="00614203" w:rsidRPr="003875F5">
        <w:rPr>
          <w:rFonts w:ascii="Times New Roman" w:hAnsi="Times New Roman" w:cs="Times New Roman"/>
          <w:sz w:val="24"/>
          <w:szCs w:val="24"/>
          <w:lang w:val="en-US"/>
        </w:rPr>
        <w:t>We coded with ones.</w:t>
      </w:r>
    </w:p>
    <w:p w:rsidR="001B6FDA" w:rsidRPr="003875F5" w:rsidRDefault="001B6FDA" w:rsidP="001B6FD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cco</w:t>
      </w:r>
      <w:proofErr w:type="spellEnd"/>
      <w:r w:rsidRPr="003875F5">
        <w:rPr>
          <w:rFonts w:ascii="Times New Roman" w:hAnsi="Times New Roman" w:cs="Times New Roman"/>
          <w:sz w:val="24"/>
          <w:szCs w:val="24"/>
          <w:lang w:val="en-US"/>
        </w:rPr>
        <w:t xml:space="preserve"> 2004</w:t>
      </w:r>
      <w:r w:rsidR="00C74143" w:rsidRPr="003875F5">
        <w:rPr>
          <w:rFonts w:ascii="Times New Roman" w:hAnsi="Times New Roman" w:cs="Times New Roman"/>
          <w:sz w:val="24"/>
          <w:szCs w:val="24"/>
          <w:lang w:val="en-US"/>
        </w:rPr>
        <w:t>-2008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These transactions may be freely conducted provided they do not involve foreign exchange purchased from the banking system</w:t>
      </w:r>
      <w:r w:rsidRPr="003875F5">
        <w:rPr>
          <w:rFonts w:ascii="Times New Roman" w:hAnsi="Times New Roman" w:cs="Times New Roman"/>
          <w:sz w:val="24"/>
          <w:szCs w:val="24"/>
          <w:lang w:val="en-US"/>
        </w:rPr>
        <w:t xml:space="preserve">.” </w:t>
      </w:r>
    </w:p>
    <w:p w:rsidR="001B6FDA" w:rsidRPr="003875F5" w:rsidRDefault="001B6FDA" w:rsidP="001B6FDA">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2009</w:t>
      </w:r>
      <w:r w:rsidR="00C74143"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xml:space="preserve"> the narrative changes: “</w:t>
      </w:r>
      <w:r w:rsidRPr="003875F5">
        <w:rPr>
          <w:rFonts w:ascii="Times New Roman" w:hAnsi="Times New Roman" w:cs="Times New Roman"/>
          <w:i/>
          <w:sz w:val="24"/>
          <w:szCs w:val="24"/>
          <w:lang w:val="en-US"/>
        </w:rPr>
        <w:t>These transactions may be freely undertaken, provided they do not involve foreign exchange purchased from AABs and AAB-</w:t>
      </w:r>
      <w:proofErr w:type="spellStart"/>
      <w:r w:rsidRPr="003875F5">
        <w:rPr>
          <w:rFonts w:ascii="Times New Roman" w:hAnsi="Times New Roman" w:cs="Times New Roman"/>
          <w:i/>
          <w:sz w:val="24"/>
          <w:szCs w:val="24"/>
          <w:lang w:val="en-US"/>
        </w:rPr>
        <w:t>forex</w:t>
      </w:r>
      <w:proofErr w:type="spellEnd"/>
      <w:r w:rsidRPr="003875F5">
        <w:rPr>
          <w:rFonts w:ascii="Times New Roman" w:hAnsi="Times New Roman" w:cs="Times New Roman"/>
          <w:i/>
          <w:sz w:val="24"/>
          <w:szCs w:val="24"/>
          <w:lang w:val="en-US"/>
        </w:rPr>
        <w:t xml:space="preserve"> corporations (effective March 8, 2009; previously, from the domestic banking system)</w:t>
      </w:r>
      <w:r w:rsidRPr="003875F5">
        <w:rPr>
          <w:rFonts w:ascii="Times New Roman" w:hAnsi="Times New Roman" w:cs="Times New Roman"/>
          <w:sz w:val="24"/>
          <w:szCs w:val="24"/>
          <w:lang w:val="en-US"/>
        </w:rPr>
        <w:t>.”</w:t>
      </w:r>
      <w:r w:rsidR="00614203" w:rsidRPr="003875F5">
        <w:rPr>
          <w:rFonts w:ascii="Times New Roman" w:hAnsi="Times New Roman" w:cs="Times New Roman"/>
          <w:sz w:val="24"/>
          <w:szCs w:val="24"/>
          <w:lang w:val="en-US"/>
        </w:rPr>
        <w:t xml:space="preserve"> We code with ones, in spite of the fac</w:t>
      </w:r>
      <w:r w:rsidR="007C37F0" w:rsidRPr="003875F5">
        <w:rPr>
          <w:rFonts w:ascii="Times New Roman" w:hAnsi="Times New Roman" w:cs="Times New Roman"/>
          <w:sz w:val="24"/>
          <w:szCs w:val="24"/>
          <w:lang w:val="en-US"/>
        </w:rPr>
        <w:t xml:space="preserve">t that there might have been </w:t>
      </w:r>
      <w:r w:rsidR="00614203" w:rsidRPr="003875F5">
        <w:rPr>
          <w:rFonts w:ascii="Times New Roman" w:hAnsi="Times New Roman" w:cs="Times New Roman"/>
          <w:sz w:val="24"/>
          <w:szCs w:val="24"/>
          <w:lang w:val="en-US"/>
        </w:rPr>
        <w:t xml:space="preserve">exchange </w:t>
      </w:r>
      <w:r w:rsidR="007C37F0" w:rsidRPr="003875F5">
        <w:rPr>
          <w:rFonts w:ascii="Times New Roman" w:hAnsi="Times New Roman" w:cs="Times New Roman"/>
          <w:sz w:val="24"/>
          <w:szCs w:val="24"/>
          <w:lang w:val="en-US"/>
        </w:rPr>
        <w:t>controls reasons</w:t>
      </w:r>
      <w:r w:rsidRPr="003875F5">
        <w:rPr>
          <w:rFonts w:ascii="Times New Roman" w:hAnsi="Times New Roman" w:cs="Times New Roman"/>
          <w:sz w:val="24"/>
          <w:szCs w:val="24"/>
          <w:lang w:val="en-US"/>
        </w:rPr>
        <w:t>.</w:t>
      </w:r>
    </w:p>
    <w:p w:rsidR="00776BA6" w:rsidRPr="003875F5" w:rsidRDefault="00FB6465" w:rsidP="00B252C6">
      <w:pPr>
        <w:pStyle w:val="Estilo2"/>
      </w:pPr>
      <w:bookmarkStart w:id="64" w:name="_Toc402472363"/>
      <w:r w:rsidRPr="003875F5">
        <w:lastRenderedPageBreak/>
        <w:t>Poland</w:t>
      </w:r>
      <w:bookmarkEnd w:id="64"/>
    </w:p>
    <w:p w:rsidR="00776BA6" w:rsidRPr="003875F5" w:rsidRDefault="00FB6465" w:rsidP="00FC5584">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ci_pabr</w:t>
      </w:r>
      <w:proofErr w:type="spellEnd"/>
      <w:r w:rsidRPr="003875F5">
        <w:rPr>
          <w:rFonts w:ascii="Times New Roman" w:hAnsi="Times New Roman" w:cs="Times New Roman"/>
          <w:sz w:val="24"/>
          <w:szCs w:val="24"/>
          <w:lang w:val="en-US"/>
        </w:rPr>
        <w:t xml:space="preserve"> 2005</w:t>
      </w:r>
      <w:r w:rsidR="003744A6" w:rsidRPr="003875F5">
        <w:rPr>
          <w:rFonts w:ascii="Times New Roman" w:hAnsi="Times New Roman" w:cs="Times New Roman"/>
          <w:sz w:val="24"/>
          <w:szCs w:val="24"/>
          <w:lang w:val="en-US"/>
        </w:rPr>
        <w:t>-200</w:t>
      </w:r>
      <w:r w:rsidR="00D1688E" w:rsidRPr="003875F5">
        <w:rPr>
          <w:rFonts w:ascii="Times New Roman" w:hAnsi="Times New Roman" w:cs="Times New Roman"/>
          <w:sz w:val="24"/>
          <w:szCs w:val="24"/>
          <w:lang w:val="en-US"/>
        </w:rPr>
        <w:t>7</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Controls apply to the purchase of securities issued by nonresidents (1) from third countries (other than EU, EEA, and OECD countries) with which Poland has not entered into agreements for the promotion and protection of investments; and (2) if these assets are to form more than 5% of the cover of the technical reserves of an insurance company, or of the assets representative of the liabilities of a privately managed occupational pension fund</w:t>
      </w:r>
      <w:r w:rsidRPr="003875F5">
        <w:rPr>
          <w:rFonts w:ascii="Times New Roman" w:hAnsi="Times New Roman" w:cs="Times New Roman"/>
          <w:sz w:val="24"/>
          <w:szCs w:val="24"/>
          <w:lang w:val="en-US"/>
        </w:rPr>
        <w:t xml:space="preserve">.” </w:t>
      </w:r>
      <w:r w:rsidR="00776BA6" w:rsidRPr="003875F5">
        <w:rPr>
          <w:rFonts w:ascii="Times New Roman" w:hAnsi="Times New Roman" w:cs="Times New Roman"/>
          <w:sz w:val="24"/>
          <w:szCs w:val="24"/>
          <w:lang w:val="en-US"/>
        </w:rPr>
        <w:t>This is coded as a control as it affects pension funds and insurance companies.</w:t>
      </w:r>
    </w:p>
    <w:p w:rsidR="00FB6465" w:rsidRPr="003875F5" w:rsidRDefault="00FB6465" w:rsidP="00FC5584">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 xml:space="preserve"> 2005</w:t>
      </w:r>
      <w:r w:rsidR="003744A6" w:rsidRPr="003875F5">
        <w:rPr>
          <w:rFonts w:ascii="Times New Roman" w:hAnsi="Times New Roman" w:cs="Times New Roman"/>
          <w:sz w:val="24"/>
          <w:szCs w:val="24"/>
          <w:lang w:val="en-US"/>
        </w:rPr>
        <w:t>-200</w:t>
      </w:r>
      <w:r w:rsidR="00D1688E" w:rsidRPr="003875F5">
        <w:rPr>
          <w:rFonts w:ascii="Times New Roman" w:hAnsi="Times New Roman" w:cs="Times New Roman"/>
          <w:sz w:val="24"/>
          <w:szCs w:val="24"/>
          <w:lang w:val="en-US"/>
        </w:rPr>
        <w:t>7</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Controls apply to the purchase of securities issued by nonresidents if these assets are to form more than 5% of the cover of the technical reserves of an insurance company, or of the assets representative of the liabilities of a privately managed occupational pension fund</w:t>
      </w:r>
      <w:r w:rsidRPr="003875F5">
        <w:rPr>
          <w:rFonts w:ascii="Times New Roman" w:hAnsi="Times New Roman" w:cs="Times New Roman"/>
          <w:sz w:val="24"/>
          <w:szCs w:val="24"/>
          <w:lang w:val="en-US"/>
        </w:rPr>
        <w:t>.” Idem as above.</w:t>
      </w:r>
    </w:p>
    <w:p w:rsidR="005D5C4B" w:rsidRPr="003875F5" w:rsidRDefault="005D5C4B" w:rsidP="00C80018">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dii 1995-1998: “</w:t>
      </w:r>
      <w:r w:rsidR="00C80018" w:rsidRPr="003875F5">
        <w:rPr>
          <w:rFonts w:ascii="Times New Roman" w:hAnsi="Times New Roman" w:cs="Times New Roman"/>
          <w:i/>
          <w:sz w:val="24"/>
          <w:szCs w:val="24"/>
          <w:lang w:val="en-US"/>
        </w:rPr>
        <w:t xml:space="preserve">New businesses need to register only with local courts, with the exception of (1) mergers with state-owned companies if state assets are to be used for more than six months or if state assets will become part of the capital, and (2) investments in the areas of air transport, broadcasting, insurance, domestic long distance or mobile telecommunications, and gambling and betting. Imports of capital goods for new joint ventures are exempt from customs duties. Although the law does not stipulate a minimum amount of capital that foreign nationals must invest in Poland, the minimum capital requirement set forth in the Polish commercial code for a limited liability or </w:t>
      </w:r>
      <w:proofErr w:type="gramStart"/>
      <w:r w:rsidR="00C80018" w:rsidRPr="003875F5">
        <w:rPr>
          <w:rFonts w:ascii="Times New Roman" w:hAnsi="Times New Roman" w:cs="Times New Roman"/>
          <w:i/>
          <w:sz w:val="24"/>
          <w:szCs w:val="24"/>
          <w:lang w:val="en-US"/>
        </w:rPr>
        <w:t>equity company</w:t>
      </w:r>
      <w:proofErr w:type="gramEnd"/>
      <w:r w:rsidR="00C80018" w:rsidRPr="003875F5">
        <w:rPr>
          <w:rFonts w:ascii="Times New Roman" w:hAnsi="Times New Roman" w:cs="Times New Roman"/>
          <w:i/>
          <w:sz w:val="24"/>
          <w:szCs w:val="24"/>
          <w:lang w:val="en-US"/>
        </w:rPr>
        <w:t xml:space="preserve"> is in effect and is applied to foreign investment</w:t>
      </w:r>
      <w:r w:rsidR="00C80018"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w:t>
      </w:r>
      <w:r w:rsidR="00C80018" w:rsidRPr="003875F5">
        <w:rPr>
          <w:rFonts w:ascii="Times New Roman" w:hAnsi="Times New Roman" w:cs="Times New Roman"/>
          <w:sz w:val="24"/>
          <w:szCs w:val="24"/>
          <w:lang w:val="en-US"/>
        </w:rPr>
        <w:t xml:space="preserve"> This is considered to be a control since there are restrictions for several sector and also because there is a minimum requirement of capital in accordance with the commercial code.</w:t>
      </w:r>
    </w:p>
    <w:p w:rsidR="005D5C4B" w:rsidRPr="003875F5" w:rsidRDefault="005D5C4B" w:rsidP="005D5C4B">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dii 1999-2004: “</w:t>
      </w:r>
      <w:r w:rsidRPr="003875F5">
        <w:rPr>
          <w:rFonts w:ascii="Times New Roman" w:hAnsi="Times New Roman" w:cs="Times New Roman"/>
          <w:i/>
          <w:sz w:val="24"/>
          <w:szCs w:val="24"/>
          <w:lang w:val="en-US"/>
        </w:rPr>
        <w:t xml:space="preserve">There are no controls in the foreign exchange law, but there are </w:t>
      </w:r>
      <w:proofErr w:type="spellStart"/>
      <w:r w:rsidRPr="003875F5">
        <w:rPr>
          <w:rFonts w:ascii="Times New Roman" w:hAnsi="Times New Roman" w:cs="Times New Roman"/>
          <w:i/>
          <w:sz w:val="24"/>
          <w:szCs w:val="24"/>
          <w:lang w:val="en-US"/>
        </w:rPr>
        <w:t>sectoral</w:t>
      </w:r>
      <w:proofErr w:type="spellEnd"/>
      <w:r w:rsidRPr="003875F5">
        <w:rPr>
          <w:rFonts w:ascii="Times New Roman" w:hAnsi="Times New Roman" w:cs="Times New Roman"/>
          <w:i/>
          <w:sz w:val="24"/>
          <w:szCs w:val="24"/>
          <w:lang w:val="en-US"/>
        </w:rPr>
        <w:t xml:space="preserve"> restrictions</w:t>
      </w:r>
      <w:r w:rsidRPr="003875F5">
        <w:rPr>
          <w:rFonts w:ascii="Times New Roman" w:hAnsi="Times New Roman" w:cs="Times New Roman"/>
          <w:sz w:val="24"/>
          <w:szCs w:val="24"/>
          <w:lang w:val="en-US"/>
        </w:rPr>
        <w:t>.” This is considered to be a control, pursuant the second sentence of rule 7(ii) for “</w:t>
      </w:r>
      <w:proofErr w:type="spellStart"/>
      <w:r w:rsidRPr="003875F5">
        <w:rPr>
          <w:rFonts w:ascii="Times New Roman" w:hAnsi="Times New Roman" w:cs="Times New Roman"/>
          <w:sz w:val="24"/>
          <w:szCs w:val="24"/>
          <w:lang w:val="en-US"/>
        </w:rPr>
        <w:t>sectoral</w:t>
      </w:r>
      <w:proofErr w:type="spellEnd"/>
      <w:r w:rsidRPr="003875F5">
        <w:rPr>
          <w:rFonts w:ascii="Times New Roman" w:hAnsi="Times New Roman" w:cs="Times New Roman"/>
          <w:sz w:val="24"/>
          <w:szCs w:val="24"/>
          <w:lang w:val="en-US"/>
        </w:rPr>
        <w:t xml:space="preserve"> restrictions”</w:t>
      </w:r>
    </w:p>
    <w:p w:rsidR="00C66A2B" w:rsidRPr="003875F5" w:rsidRDefault="00C66A2B" w:rsidP="00C66A2B">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In dii 2005</w:t>
      </w:r>
      <w:r w:rsidR="005D5C4B"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Controls apply to (1) the operation of a branch as a “mortgage bank” to the extent that a “mortgage bank” is defined under Polish law as an institution authorized to issue mortgage securities on domestic markets, and thereby reserved to financial institutions incorporated under domestic law; (2) the provision of asset management services by branches of nonresident investors to domestic pension funds; (3) the acquisition of land reserved for agriculture or forests, and acquisition of water areas, unless authorization is granted; (4) investment in an enterprise operating an airline, exceeding 49% of the share capital; (5) investment in a broadcasting company bringing foreign ownership of the share capital above 33%; (6) investment in an enterprise operating in the </w:t>
      </w:r>
      <w:r w:rsidRPr="003875F5">
        <w:rPr>
          <w:rFonts w:ascii="Times New Roman" w:hAnsi="Times New Roman" w:cs="Times New Roman"/>
          <w:i/>
          <w:sz w:val="24"/>
          <w:szCs w:val="24"/>
          <w:lang w:val="en-US"/>
        </w:rPr>
        <w:lastRenderedPageBreak/>
        <w:t>gambling and betting sector, except through an enterprise incorporated in Poland in which foreign ownership of the capital is 49% or less; and (7) investment in a registered vessel, except through an enterprise incorporated in Poland</w:t>
      </w:r>
      <w:r w:rsidRPr="003875F5">
        <w:rPr>
          <w:rFonts w:ascii="Times New Roman" w:hAnsi="Times New Roman" w:cs="Times New Roman"/>
          <w:sz w:val="24"/>
          <w:szCs w:val="24"/>
          <w:lang w:val="en-US"/>
        </w:rPr>
        <w:t xml:space="preserve">.” </w:t>
      </w:r>
    </w:p>
    <w:p w:rsidR="0003004A" w:rsidRPr="003875F5" w:rsidRDefault="003744A6" w:rsidP="0003004A">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2006</w:t>
      </w:r>
      <w:r w:rsidR="00D1688E" w:rsidRPr="003875F5">
        <w:rPr>
          <w:rFonts w:ascii="Times New Roman" w:hAnsi="Times New Roman" w:cs="Times New Roman"/>
          <w:sz w:val="24"/>
          <w:szCs w:val="24"/>
          <w:lang w:val="en-US"/>
        </w:rPr>
        <w:t>-20</w:t>
      </w:r>
      <w:r w:rsidR="00DF22A9" w:rsidRPr="003875F5">
        <w:rPr>
          <w:rFonts w:ascii="Times New Roman" w:hAnsi="Times New Roman" w:cs="Times New Roman"/>
          <w:sz w:val="24"/>
          <w:szCs w:val="24"/>
          <w:lang w:val="en-US"/>
        </w:rPr>
        <w:t>12</w:t>
      </w:r>
      <w:r w:rsidRPr="003875F5">
        <w:rPr>
          <w:rFonts w:ascii="Times New Roman" w:hAnsi="Times New Roman" w:cs="Times New Roman"/>
          <w:sz w:val="24"/>
          <w:szCs w:val="24"/>
          <w:lang w:val="en-US"/>
        </w:rPr>
        <w:t>, the narrative is similar: “</w:t>
      </w:r>
      <w:r w:rsidRPr="003875F5">
        <w:rPr>
          <w:rFonts w:ascii="Times New Roman" w:hAnsi="Times New Roman" w:cs="Times New Roman"/>
          <w:i/>
          <w:sz w:val="24"/>
          <w:szCs w:val="24"/>
          <w:lang w:val="en-US"/>
        </w:rPr>
        <w:t>Controls apply to (1) the provision of asset management services by branches of nonresident investors to domestic pension funds; (2) the acquisition of land reserved for agriculture or forests, and acquisition of water areas, unless authorization is granted; (3) investment in an enterprise operating an airline exceeding 49% of the share capital; (4) investment in a broadcasting company bringing foreign ownership of the share capital above 33%; (5) investment in an enterprise operating in the gambling and betting sector, except through an enterprise incorporated in Poland in which foreign ownership of the capital is 49% or less; and (6) investment in a registered vessel, except through an enterprise incorporated in Poland. In addition, (7) mortgage banks are not authorized to open cross-border branches; the single EU passport principle does not apply to them. A bank may open a branch in Poland, however, if it does not have the ability to issue mortgage bonds on the territory of the host country</w:t>
      </w:r>
      <w:r w:rsidRPr="003875F5">
        <w:rPr>
          <w:rFonts w:ascii="Times New Roman" w:hAnsi="Times New Roman" w:cs="Times New Roman"/>
          <w:sz w:val="24"/>
          <w:szCs w:val="24"/>
          <w:lang w:val="en-US"/>
        </w:rPr>
        <w:t>”</w:t>
      </w:r>
      <w:r w:rsidR="005D5C4B" w:rsidRPr="003875F5">
        <w:rPr>
          <w:rFonts w:ascii="Times New Roman" w:hAnsi="Times New Roman" w:cs="Times New Roman"/>
          <w:sz w:val="24"/>
          <w:szCs w:val="24"/>
          <w:lang w:val="en-US"/>
        </w:rPr>
        <w:t xml:space="preserve"> We do believe that this is a control because even though the sector affected are not constant throughout the years, in all cases, the restrictions in place have might have a significant macro impact.</w:t>
      </w:r>
    </w:p>
    <w:p w:rsidR="0003004A" w:rsidRPr="003875F5" w:rsidRDefault="0003004A" w:rsidP="0056662F">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2009-2012: “</w:t>
      </w:r>
      <w:r w:rsidRPr="003875F5">
        <w:rPr>
          <w:rFonts w:ascii="Times New Roman" w:hAnsi="Times New Roman" w:cs="Times New Roman"/>
          <w:i/>
          <w:sz w:val="24"/>
          <w:szCs w:val="24"/>
          <w:lang w:val="en-US"/>
        </w:rPr>
        <w:t>Privately managed occupational pension funds are not allowed to grant credits and loans to nonresidents. Assets of insurance companies may be placed solely in the territory of EU member countries when the risk is situated in the territory of an EU member country, and a general permission issued by the minister responsible for financial institutions is required for the acquisition of assets located outside EU member countries that cover the technical provisions of an insurance company</w:t>
      </w:r>
      <w:r w:rsidRPr="003875F5">
        <w:rPr>
          <w:rFonts w:ascii="Times New Roman" w:hAnsi="Times New Roman" w:cs="Times New Roman"/>
          <w:sz w:val="24"/>
          <w:szCs w:val="24"/>
          <w:lang w:val="en-US"/>
        </w:rPr>
        <w:t>” Idem as above.</w:t>
      </w:r>
    </w:p>
    <w:p w:rsidR="0056662F" w:rsidRPr="003875F5" w:rsidRDefault="0056662F" w:rsidP="0056662F">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2007: “</w:t>
      </w:r>
      <w:r w:rsidRPr="003875F5">
        <w:rPr>
          <w:rFonts w:ascii="Times New Roman" w:hAnsi="Times New Roman" w:cs="Times New Roman"/>
          <w:i/>
          <w:sz w:val="24"/>
          <w:szCs w:val="24"/>
          <w:lang w:val="en-US"/>
        </w:rPr>
        <w:t>Controls apply to credits and loans granted by an insurance company, if these assets are to form more than 5% of the cover of its technical reserves, or of the assets representative of the liabilities of a privately managed occupational pension fund</w:t>
      </w:r>
      <w:r w:rsidRPr="003875F5">
        <w:rPr>
          <w:rFonts w:ascii="Times New Roman" w:hAnsi="Times New Roman" w:cs="Times New Roman"/>
          <w:sz w:val="24"/>
          <w:szCs w:val="24"/>
          <w:lang w:val="en-US"/>
        </w:rPr>
        <w:t>.”</w:t>
      </w:r>
      <w:r w:rsidR="0003004A" w:rsidRPr="003875F5">
        <w:rPr>
          <w:rFonts w:ascii="Times New Roman" w:hAnsi="Times New Roman" w:cs="Times New Roman"/>
          <w:sz w:val="24"/>
          <w:szCs w:val="24"/>
          <w:lang w:val="en-US"/>
        </w:rPr>
        <w:t xml:space="preserve"> Idem as above.</w:t>
      </w:r>
    </w:p>
    <w:p w:rsidR="005D5F8F" w:rsidRPr="003875F5" w:rsidRDefault="005D5F8F" w:rsidP="005D5F8F">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1996</w:t>
      </w:r>
      <w:r w:rsidR="000616A8" w:rsidRPr="003875F5">
        <w:rPr>
          <w:rFonts w:ascii="Times New Roman" w:hAnsi="Times New Roman" w:cs="Times New Roman"/>
          <w:sz w:val="24"/>
          <w:szCs w:val="24"/>
          <w:lang w:val="en-US"/>
        </w:rPr>
        <w:t>-1998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Until recently, nonresidents could acquire real estate or other immovable property in Poland only with permission from the Ministry of the Interior, except in the form of an inheritance. The amended Law on Acquisition of Real Estate by Foreigners, which went into effect on May 4, 1996, maintained this general rule, but introduced several important exemptions. Foreigners may acquire real estate without permit if (1) it is a separate apartment; (2) they have lived in Poland for at least 5 years after getting a permanent residence visa; (3) they are married to a Polish citizen for at least 2 years (purchased real estate must form a part of matrimonial community of property); or (4) real estate is </w:t>
      </w:r>
      <w:r w:rsidRPr="003875F5">
        <w:rPr>
          <w:rFonts w:ascii="Times New Roman" w:hAnsi="Times New Roman" w:cs="Times New Roman"/>
          <w:i/>
          <w:sz w:val="24"/>
          <w:szCs w:val="24"/>
          <w:lang w:val="en-US"/>
        </w:rPr>
        <w:lastRenderedPageBreak/>
        <w:t>purchased by nonresident legal persons for statutory purposes, and the area of real estate does not exceed 4,000 square meters in urban areas. The Council of Ministers may issue a regulation defining other cases where a permit is not required, providing that the area of acquired real estate does not exceed 4,000 square meters in urban and 10,000 square meters in rural areas. The Council of Ministers may also extend the area to be acquired without permit to 12,000 square meters in urban and 30,000 square meters in rural areas</w:t>
      </w:r>
      <w:r w:rsidR="007C37F0" w:rsidRPr="003875F5">
        <w:rPr>
          <w:rFonts w:ascii="Times New Roman" w:hAnsi="Times New Roman" w:cs="Times New Roman"/>
          <w:sz w:val="24"/>
          <w:szCs w:val="24"/>
          <w:lang w:val="en-US"/>
        </w:rPr>
        <w:t>.” We</w:t>
      </w:r>
      <w:r w:rsidRPr="003875F5">
        <w:rPr>
          <w:rFonts w:ascii="Times New Roman" w:hAnsi="Times New Roman" w:cs="Times New Roman"/>
          <w:sz w:val="24"/>
          <w:szCs w:val="24"/>
          <w:lang w:val="en-US"/>
        </w:rPr>
        <w:t xml:space="preserve"> still consider that this must be coded with ones, pursuant rule 5 (permit).</w:t>
      </w:r>
    </w:p>
    <w:p w:rsidR="00E7167F" w:rsidRPr="001E09E1" w:rsidRDefault="00E7167F" w:rsidP="00E7167F">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proofErr w:type="gramStart"/>
      <w:r w:rsidRPr="003875F5">
        <w:rPr>
          <w:rFonts w:ascii="Times New Roman" w:hAnsi="Times New Roman" w:cs="Times New Roman"/>
          <w:sz w:val="24"/>
          <w:szCs w:val="24"/>
          <w:lang w:val="en-US"/>
        </w:rPr>
        <w:t>gso</w:t>
      </w:r>
      <w:proofErr w:type="spellEnd"/>
      <w:proofErr w:type="gramEnd"/>
      <w:r w:rsidRPr="003875F5">
        <w:rPr>
          <w:rFonts w:ascii="Times New Roman" w:hAnsi="Times New Roman" w:cs="Times New Roman"/>
          <w:sz w:val="24"/>
          <w:szCs w:val="24"/>
          <w:lang w:val="en-US"/>
        </w:rPr>
        <w:t xml:space="preserve"> 1999</w:t>
      </w:r>
      <w:r w:rsidR="00D263BB" w:rsidRPr="003875F5">
        <w:rPr>
          <w:rFonts w:ascii="Times New Roman" w:hAnsi="Times New Roman" w:cs="Times New Roman"/>
          <w:sz w:val="24"/>
          <w:szCs w:val="24"/>
          <w:lang w:val="en-US"/>
        </w:rPr>
        <w:t>-2001</w:t>
      </w:r>
      <w:r w:rsidR="007C37F0"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w:t>
      </w:r>
      <w:r w:rsidRPr="003875F5">
        <w:rPr>
          <w:rFonts w:ascii="Times New Roman" w:hAnsi="Times New Roman" w:cs="Times New Roman"/>
          <w:i/>
          <w:sz w:val="24"/>
          <w:szCs w:val="24"/>
          <w:lang w:val="en-US"/>
        </w:rPr>
        <w:t>An NBP foreign exchange permit is required for guarantee transactions related to claims that are the result of restricted foreign exchange transactions</w:t>
      </w:r>
      <w:r w:rsidRPr="003875F5">
        <w:rPr>
          <w:rFonts w:ascii="Times New Roman" w:hAnsi="Times New Roman" w:cs="Times New Roman"/>
          <w:sz w:val="24"/>
          <w:szCs w:val="24"/>
          <w:lang w:val="en-US"/>
        </w:rPr>
        <w:t xml:space="preserve">” </w:t>
      </w:r>
      <w:r w:rsidR="007C37F0" w:rsidRPr="003875F5">
        <w:rPr>
          <w:rFonts w:ascii="Times New Roman" w:hAnsi="Times New Roman" w:cs="Times New Roman"/>
          <w:sz w:val="24"/>
          <w:szCs w:val="24"/>
          <w:lang w:val="en-US"/>
        </w:rPr>
        <w:t>We coded with ones.</w:t>
      </w:r>
    </w:p>
    <w:p w:rsidR="001E09E1" w:rsidRPr="001E09E1" w:rsidRDefault="001E09E1" w:rsidP="001E09E1">
      <w:pPr>
        <w:pStyle w:val="Prrafodelista"/>
        <w:numPr>
          <w:ilvl w:val="2"/>
          <w:numId w:val="2"/>
        </w:numPr>
        <w:spacing w:line="240" w:lineRule="auto"/>
        <w:jc w:val="both"/>
        <w:rPr>
          <w:rFonts w:ascii="Times New Roman" w:hAnsi="Times New Roman" w:cs="Times New Roman"/>
          <w:b/>
          <w:color w:val="00B050"/>
          <w:sz w:val="24"/>
          <w:szCs w:val="24"/>
          <w:lang w:val="en-US"/>
        </w:rPr>
      </w:pPr>
      <w:r w:rsidRPr="001E09E1">
        <w:rPr>
          <w:rFonts w:ascii="Times New Roman" w:hAnsi="Times New Roman" w:cs="Times New Roman"/>
          <w:color w:val="00B050"/>
          <w:sz w:val="24"/>
          <w:szCs w:val="24"/>
          <w:lang w:val="en-US"/>
        </w:rPr>
        <w:t xml:space="preserve">In </w:t>
      </w:r>
      <w:proofErr w:type="spellStart"/>
      <w:r w:rsidRPr="001E09E1">
        <w:rPr>
          <w:rFonts w:ascii="Times New Roman" w:hAnsi="Times New Roman" w:cs="Times New Roman"/>
          <w:color w:val="00B050"/>
          <w:sz w:val="24"/>
          <w:szCs w:val="24"/>
          <w:lang w:val="en-US"/>
        </w:rPr>
        <w:t>ci_siar</w:t>
      </w:r>
      <w:proofErr w:type="spellEnd"/>
      <w:r w:rsidRPr="001E09E1">
        <w:rPr>
          <w:rFonts w:ascii="Times New Roman" w:hAnsi="Times New Roman" w:cs="Times New Roman"/>
          <w:color w:val="00B050"/>
          <w:sz w:val="24"/>
          <w:szCs w:val="24"/>
          <w:lang w:val="en-US"/>
        </w:rPr>
        <w:t xml:space="preserve"> 2013 (not 2012): “</w:t>
      </w:r>
      <w:r w:rsidRPr="001E09E1">
        <w:rPr>
          <w:rFonts w:ascii="Times New Roman" w:hAnsi="Times New Roman" w:cs="Times New Roman"/>
          <w:i/>
          <w:color w:val="00B050"/>
          <w:sz w:val="24"/>
          <w:szCs w:val="24"/>
          <w:lang w:val="en-US"/>
        </w:rPr>
        <w:t>For UCITS, coordinated procedures from UCITS IV apply. Implementation process of the AIFMD has not been completed yet.</w:t>
      </w:r>
      <w:r w:rsidRPr="001E09E1">
        <w:rPr>
          <w:rFonts w:ascii="Times New Roman" w:hAnsi="Times New Roman" w:cs="Times New Roman"/>
          <w:color w:val="00B050"/>
          <w:sz w:val="24"/>
          <w:szCs w:val="24"/>
          <w:lang w:val="en-US"/>
        </w:rPr>
        <w:t>” I coded with zero.</w:t>
      </w:r>
      <w:r>
        <w:rPr>
          <w:rFonts w:ascii="Times New Roman" w:hAnsi="Times New Roman" w:cs="Times New Roman"/>
          <w:color w:val="00B050"/>
          <w:sz w:val="24"/>
          <w:szCs w:val="24"/>
          <w:lang w:val="en-US"/>
        </w:rPr>
        <w:t xml:space="preserve"> In </w:t>
      </w:r>
      <w:proofErr w:type="spellStart"/>
      <w:r>
        <w:rPr>
          <w:rFonts w:ascii="Times New Roman" w:hAnsi="Times New Roman" w:cs="Times New Roman"/>
          <w:color w:val="00B050"/>
          <w:sz w:val="24"/>
          <w:szCs w:val="24"/>
          <w:lang w:val="en-US"/>
        </w:rPr>
        <w:t>ci_plbn</w:t>
      </w:r>
      <w:proofErr w:type="spellEnd"/>
      <w:r w:rsidR="00D30FF3">
        <w:rPr>
          <w:rFonts w:ascii="Times New Roman" w:hAnsi="Times New Roman" w:cs="Times New Roman"/>
          <w:color w:val="00B050"/>
          <w:sz w:val="24"/>
          <w:szCs w:val="24"/>
          <w:lang w:val="en-US"/>
        </w:rPr>
        <w:t xml:space="preserve"> 2013 it is explained that the ‘coordinated procedures’ are in reference to notification requirements.</w:t>
      </w:r>
    </w:p>
    <w:p w:rsidR="0003004A" w:rsidRPr="003875F5" w:rsidRDefault="00D95C89" w:rsidP="00B252C6">
      <w:pPr>
        <w:pStyle w:val="Estilo2"/>
      </w:pPr>
      <w:bookmarkStart w:id="65" w:name="_Toc402472364"/>
      <w:r w:rsidRPr="003875F5">
        <w:t>Portugal</w:t>
      </w:r>
      <w:bookmarkEnd w:id="65"/>
    </w:p>
    <w:p w:rsidR="00D95C89" w:rsidRPr="003875F5" w:rsidRDefault="002F37EF" w:rsidP="0003004A">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all subcategories of </w:t>
      </w:r>
      <w:proofErr w:type="spellStart"/>
      <w:r w:rsidRPr="003875F5">
        <w:rPr>
          <w:rFonts w:ascii="Times New Roman" w:hAnsi="Times New Roman" w:cs="Times New Roman"/>
          <w:sz w:val="24"/>
          <w:szCs w:val="24"/>
          <w:lang w:val="en-US"/>
        </w:rPr>
        <w:t>pabr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2005: “</w:t>
      </w:r>
      <w:r w:rsidRPr="003875F5">
        <w:rPr>
          <w:rFonts w:ascii="Times New Roman" w:hAnsi="Times New Roman" w:cs="Times New Roman"/>
          <w:i/>
          <w:sz w:val="24"/>
          <w:szCs w:val="24"/>
          <w:lang w:val="en-US"/>
        </w:rPr>
        <w:t>Controls apply to the purchase by a private pension fund of securities issued by nonresidents that would cause the sum of its foreign assets to exceed 20% of its total assets</w:t>
      </w:r>
      <w:r w:rsidRPr="003875F5">
        <w:rPr>
          <w:rFonts w:ascii="Times New Roman" w:hAnsi="Times New Roman" w:cs="Times New Roman"/>
          <w:sz w:val="24"/>
          <w:szCs w:val="24"/>
          <w:lang w:val="en-US"/>
        </w:rPr>
        <w:t xml:space="preserve">.” </w:t>
      </w:r>
      <w:r w:rsidR="0003004A" w:rsidRPr="003875F5">
        <w:rPr>
          <w:rFonts w:ascii="Times New Roman" w:hAnsi="Times New Roman" w:cs="Times New Roman"/>
          <w:sz w:val="24"/>
          <w:szCs w:val="24"/>
          <w:lang w:val="en-US"/>
        </w:rPr>
        <w:t>Considering the restriction on pension funds, we take this to be a control.</w:t>
      </w:r>
    </w:p>
    <w:p w:rsidR="0003004A" w:rsidRPr="003875F5" w:rsidRDefault="002F37EF" w:rsidP="00A969E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The following narrative in </w:t>
      </w:r>
      <w:proofErr w:type="spellStart"/>
      <w:r w:rsidRPr="003875F5">
        <w:rPr>
          <w:rFonts w:ascii="Times New Roman" w:hAnsi="Times New Roman" w:cs="Times New Roman"/>
          <w:sz w:val="24"/>
          <w:szCs w:val="24"/>
          <w:lang w:val="en-US"/>
        </w:rPr>
        <w:t>ci_siar</w:t>
      </w:r>
      <w:proofErr w:type="spellEnd"/>
      <w:r w:rsidRPr="003875F5">
        <w:rPr>
          <w:rFonts w:ascii="Times New Roman" w:hAnsi="Times New Roman" w:cs="Times New Roman"/>
          <w:sz w:val="24"/>
          <w:szCs w:val="24"/>
          <w:lang w:val="en-US"/>
        </w:rPr>
        <w:t xml:space="preserve"> 200</w:t>
      </w:r>
      <w:r w:rsidR="00437A1C" w:rsidRPr="003875F5">
        <w:rPr>
          <w:rFonts w:ascii="Times New Roman" w:hAnsi="Times New Roman" w:cs="Times New Roman"/>
          <w:sz w:val="24"/>
          <w:szCs w:val="24"/>
          <w:lang w:val="en-US"/>
        </w:rPr>
        <w:t>6</w:t>
      </w:r>
      <w:r w:rsidRPr="003875F5">
        <w:rPr>
          <w:rFonts w:ascii="Times New Roman" w:hAnsi="Times New Roman" w:cs="Times New Roman"/>
          <w:sz w:val="24"/>
          <w:szCs w:val="24"/>
          <w:lang w:val="en-US"/>
        </w:rPr>
        <w:t>-20</w:t>
      </w:r>
      <w:r w:rsidR="0009761C" w:rsidRPr="003875F5">
        <w:rPr>
          <w:rFonts w:ascii="Times New Roman" w:hAnsi="Times New Roman" w:cs="Times New Roman"/>
          <w:sz w:val="24"/>
          <w:szCs w:val="24"/>
          <w:lang w:val="en-US"/>
        </w:rPr>
        <w:t>12</w:t>
      </w:r>
      <w:r w:rsidRPr="003875F5">
        <w:rPr>
          <w:rFonts w:ascii="Times New Roman" w:hAnsi="Times New Roman" w:cs="Times New Roman"/>
          <w:sz w:val="24"/>
          <w:szCs w:val="24"/>
          <w:lang w:val="en-US"/>
        </w:rPr>
        <w:t xml:space="preserve"> is treated inconsistently: “</w:t>
      </w:r>
      <w:r w:rsidRPr="003875F5">
        <w:rPr>
          <w:rFonts w:ascii="Times New Roman" w:hAnsi="Times New Roman" w:cs="Times New Roman"/>
          <w:i/>
          <w:sz w:val="24"/>
          <w:szCs w:val="24"/>
          <w:lang w:val="en-US"/>
        </w:rPr>
        <w:t>In the case of UCITS regulated by the EU directive, the CMVM has jurisdiction, even when they are marketed in other EU countries (Article 79 of Decree-Law 252/2003, dated October 17, 2003, with amendments introduced by Decree-Law 52/2006, dated March 15, 2006, and by Decree- Law</w:t>
      </w:r>
      <w:r w:rsidR="0009761C" w:rsidRPr="003875F5">
        <w:rPr>
          <w:rFonts w:ascii="Times New Roman" w:hAnsi="Times New Roman" w:cs="Times New Roman"/>
          <w:i/>
          <w:sz w:val="24"/>
          <w:szCs w:val="24"/>
          <w:lang w:val="en-US"/>
        </w:rPr>
        <w:t xml:space="preserve"> 357-A, dated October 31, 2007)</w:t>
      </w:r>
      <w:r w:rsidRPr="003875F5">
        <w:rPr>
          <w:rFonts w:ascii="Times New Roman" w:hAnsi="Times New Roman" w:cs="Times New Roman"/>
          <w:sz w:val="24"/>
          <w:szCs w:val="24"/>
          <w:lang w:val="en-US"/>
        </w:rPr>
        <w:t xml:space="preserve">” </w:t>
      </w:r>
      <w:r w:rsidR="00437A1C" w:rsidRPr="003875F5">
        <w:rPr>
          <w:rFonts w:ascii="Times New Roman" w:hAnsi="Times New Roman" w:cs="Times New Roman"/>
          <w:sz w:val="24"/>
          <w:szCs w:val="24"/>
          <w:lang w:val="en-US"/>
        </w:rPr>
        <w:t>Keeping in mind that the CMVM has jurisdiction, we believe that there is the possibility of the imposition on capital flows.</w:t>
      </w:r>
    </w:p>
    <w:p w:rsidR="00711A0D" w:rsidRDefault="00711A0D" w:rsidP="00A969E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2005 (only this year): “</w:t>
      </w:r>
      <w:r w:rsidRPr="003875F5">
        <w:rPr>
          <w:rFonts w:ascii="Times New Roman" w:hAnsi="Times New Roman" w:cs="Times New Roman"/>
          <w:i/>
          <w:sz w:val="24"/>
          <w:szCs w:val="24"/>
          <w:lang w:val="en-US"/>
        </w:rPr>
        <w:t>Controls apply to purchases of or swap operations in instruments and claims on a foreign financial market by a private pension fund that would cause the sum of its foreign assets to exceed 20% of its total assets</w:t>
      </w:r>
      <w:r w:rsidR="0003004A" w:rsidRPr="003875F5">
        <w:rPr>
          <w:rFonts w:ascii="Times New Roman" w:hAnsi="Times New Roman" w:cs="Times New Roman"/>
          <w:sz w:val="24"/>
          <w:szCs w:val="24"/>
          <w:lang w:val="en-US"/>
        </w:rPr>
        <w:t>.” Idem as (i) above.</w:t>
      </w:r>
    </w:p>
    <w:p w:rsidR="0006212B" w:rsidRPr="00591523" w:rsidRDefault="0006212B" w:rsidP="0006212B">
      <w:pPr>
        <w:pStyle w:val="Prrafodelista"/>
        <w:numPr>
          <w:ilvl w:val="2"/>
          <w:numId w:val="2"/>
        </w:numPr>
        <w:spacing w:line="240" w:lineRule="auto"/>
        <w:jc w:val="both"/>
        <w:rPr>
          <w:rFonts w:ascii="Times New Roman" w:hAnsi="Times New Roman" w:cs="Times New Roman"/>
          <w:color w:val="00B050"/>
          <w:sz w:val="24"/>
          <w:szCs w:val="24"/>
          <w:lang w:val="en-US"/>
        </w:rPr>
      </w:pPr>
      <w:r w:rsidRPr="00591523">
        <w:rPr>
          <w:rFonts w:ascii="Times New Roman" w:hAnsi="Times New Roman" w:cs="Times New Roman"/>
          <w:color w:val="00B050"/>
          <w:sz w:val="24"/>
          <w:szCs w:val="24"/>
          <w:lang w:val="en-US"/>
        </w:rPr>
        <w:t xml:space="preserve">In </w:t>
      </w:r>
      <w:proofErr w:type="spellStart"/>
      <w:r w:rsidRPr="00591523">
        <w:rPr>
          <w:rFonts w:ascii="Times New Roman" w:hAnsi="Times New Roman" w:cs="Times New Roman"/>
          <w:color w:val="00B050"/>
          <w:sz w:val="24"/>
          <w:szCs w:val="24"/>
          <w:lang w:val="en-US"/>
        </w:rPr>
        <w:t>ci_siln</w:t>
      </w:r>
      <w:proofErr w:type="spellEnd"/>
      <w:r w:rsidRPr="00591523">
        <w:rPr>
          <w:rFonts w:ascii="Times New Roman" w:hAnsi="Times New Roman" w:cs="Times New Roman"/>
          <w:color w:val="00B050"/>
          <w:sz w:val="24"/>
          <w:szCs w:val="24"/>
          <w:lang w:val="en-US"/>
        </w:rPr>
        <w:t xml:space="preserve"> 2013 (not 2012): “</w:t>
      </w:r>
      <w:r w:rsidRPr="00591523">
        <w:rPr>
          <w:rFonts w:ascii="Times New Roman" w:hAnsi="Times New Roman" w:cs="Times New Roman"/>
          <w:i/>
          <w:color w:val="00B050"/>
          <w:sz w:val="24"/>
          <w:szCs w:val="24"/>
          <w:lang w:val="en-US"/>
        </w:rPr>
        <w:t xml:space="preserve">Pursuant to Article 12(2) of Decree-Law No. 69/2004, of March 25, 2004, as amended by Decree-Laws Nos. 52/2006, of March 15, 2006, and 29/2014, of February 25, 2014, before commercial paper is offered to residents, the issuer must prepare an information document for CMVM approval. Furthermore, according to Article 17(8), issuance of commercial paper for which a prospectus is optional is subject to the same requirements as public offers for which a prospectus is mandatory </w:t>
      </w:r>
      <w:r w:rsidRPr="00591523">
        <w:rPr>
          <w:rFonts w:ascii="Times New Roman" w:hAnsi="Times New Roman" w:cs="Times New Roman"/>
          <w:i/>
          <w:color w:val="00B050"/>
          <w:sz w:val="24"/>
          <w:szCs w:val="24"/>
          <w:lang w:val="en-US"/>
        </w:rPr>
        <w:lastRenderedPageBreak/>
        <w:t>under the securities law</w:t>
      </w:r>
      <w:r w:rsidRPr="00591523">
        <w:rPr>
          <w:rFonts w:ascii="Times New Roman" w:hAnsi="Times New Roman" w:cs="Times New Roman"/>
          <w:color w:val="00B050"/>
          <w:sz w:val="24"/>
          <w:szCs w:val="24"/>
          <w:lang w:val="en-US"/>
        </w:rPr>
        <w:t>.” Is this already in force?</w:t>
      </w:r>
      <w:r w:rsidR="00591523" w:rsidRPr="00591523">
        <w:rPr>
          <w:rFonts w:ascii="Times New Roman" w:hAnsi="Times New Roman" w:cs="Times New Roman"/>
          <w:color w:val="00B050"/>
          <w:sz w:val="24"/>
          <w:szCs w:val="24"/>
          <w:lang w:val="en-US"/>
        </w:rPr>
        <w:t xml:space="preserve"> Please note that previous years have no narrative. I coded with one.</w:t>
      </w:r>
    </w:p>
    <w:p w:rsidR="00FD7EC2" w:rsidRPr="003875F5" w:rsidRDefault="00FD7EC2" w:rsidP="00B252C6">
      <w:pPr>
        <w:pStyle w:val="Estilo2"/>
      </w:pPr>
      <w:bookmarkStart w:id="66" w:name="_Toc402472365"/>
      <w:r w:rsidRPr="003875F5">
        <w:t>Qatar</w:t>
      </w:r>
      <w:bookmarkEnd w:id="66"/>
    </w:p>
    <w:p w:rsidR="00FD7EC2" w:rsidRPr="003875F5" w:rsidRDefault="00FD7EC2"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dii in 2006 onwards we decided to keep it as a </w:t>
      </w:r>
      <w:r w:rsidR="007778FC" w:rsidRPr="003875F5">
        <w:rPr>
          <w:rFonts w:ascii="Times New Roman" w:hAnsi="Times New Roman" w:cs="Times New Roman"/>
          <w:sz w:val="24"/>
          <w:szCs w:val="24"/>
          <w:lang w:val="en-US"/>
        </w:rPr>
        <w:t>non-control</w:t>
      </w:r>
      <w:r w:rsidRPr="003875F5">
        <w:rPr>
          <w:rFonts w:ascii="Times New Roman" w:hAnsi="Times New Roman" w:cs="Times New Roman"/>
          <w:sz w:val="24"/>
          <w:szCs w:val="24"/>
          <w:lang w:val="en-US"/>
        </w:rPr>
        <w:t xml:space="preserve"> because it alluded to pretty much all sectors where people could have foreign ownership</w:t>
      </w:r>
      <w:r w:rsidR="00742F7D" w:rsidRPr="003875F5">
        <w:rPr>
          <w:rFonts w:ascii="Times New Roman" w:hAnsi="Times New Roman" w:cs="Times New Roman"/>
          <w:sz w:val="24"/>
          <w:szCs w:val="24"/>
          <w:lang w:val="en-US"/>
        </w:rPr>
        <w:t>.</w:t>
      </w:r>
    </w:p>
    <w:p w:rsidR="00FD7EC2" w:rsidRPr="003875F5" w:rsidRDefault="00FD7EC2"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Restrictions on FDI in real estate controls are not counted as controls as it pertains to a different category in the AREAER reports.</w:t>
      </w:r>
    </w:p>
    <w:p w:rsidR="00D716CC" w:rsidRPr="003875F5" w:rsidRDefault="00D716CC" w:rsidP="00D716CC">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2005: “</w:t>
      </w:r>
      <w:r w:rsidRPr="003875F5">
        <w:rPr>
          <w:rFonts w:ascii="Times New Roman" w:hAnsi="Times New Roman" w:cs="Times New Roman"/>
          <w:i/>
          <w:sz w:val="24"/>
          <w:szCs w:val="24"/>
          <w:lang w:val="en-US"/>
        </w:rPr>
        <w:t>A limit of 25% on ownership applies to nationals of other countries</w:t>
      </w:r>
      <w:r w:rsidRPr="003875F5">
        <w:rPr>
          <w:rFonts w:ascii="Times New Roman" w:hAnsi="Times New Roman" w:cs="Times New Roman"/>
          <w:sz w:val="24"/>
          <w:szCs w:val="24"/>
          <w:lang w:val="en-US"/>
        </w:rPr>
        <w:t xml:space="preserve">.” This is a clear control, pursuant rule 6. </w:t>
      </w:r>
    </w:p>
    <w:p w:rsidR="00711A0D" w:rsidRPr="003875F5" w:rsidRDefault="00711A0D" w:rsidP="00B252C6">
      <w:pPr>
        <w:pStyle w:val="Estilo2"/>
      </w:pPr>
      <w:bookmarkStart w:id="67" w:name="_Toc402472366"/>
      <w:r w:rsidRPr="003875F5">
        <w:t>Romania</w:t>
      </w:r>
      <w:bookmarkEnd w:id="67"/>
    </w:p>
    <w:p w:rsidR="00711A0D" w:rsidRPr="003875F5" w:rsidRDefault="00711A0D" w:rsidP="00711A0D">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2001-</w:t>
      </w:r>
      <w:r w:rsidR="00E56A6D" w:rsidRPr="003875F5">
        <w:rPr>
          <w:rFonts w:ascii="Times New Roman" w:hAnsi="Times New Roman" w:cs="Times New Roman"/>
          <w:sz w:val="24"/>
          <w:szCs w:val="24"/>
          <w:lang w:val="en-US"/>
        </w:rPr>
        <w:t>2003</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Derivatives may be purchased freely on capital markets, but the purchase of derivatives on money markets is subject to NBR authorization</w:t>
      </w:r>
      <w:r w:rsidRPr="003875F5">
        <w:rPr>
          <w:rFonts w:ascii="Times New Roman" w:hAnsi="Times New Roman" w:cs="Times New Roman"/>
          <w:sz w:val="24"/>
          <w:szCs w:val="24"/>
          <w:lang w:val="en-US"/>
        </w:rPr>
        <w:t xml:space="preserve">.” </w:t>
      </w:r>
      <w:r w:rsidR="00004908" w:rsidRPr="003875F5">
        <w:rPr>
          <w:rFonts w:ascii="Times New Roman" w:hAnsi="Times New Roman" w:cs="Times New Roman"/>
          <w:sz w:val="24"/>
          <w:szCs w:val="24"/>
          <w:lang w:val="en-US"/>
        </w:rPr>
        <w:t xml:space="preserve">This is a control because of the authorization requirement (rule 5). </w:t>
      </w:r>
    </w:p>
    <w:p w:rsidR="00586BE1" w:rsidRPr="003875F5" w:rsidRDefault="00586BE1" w:rsidP="00B252C6">
      <w:pPr>
        <w:pStyle w:val="Estilo2"/>
      </w:pPr>
      <w:bookmarkStart w:id="68" w:name="_Toc402472367"/>
      <w:r w:rsidRPr="003875F5">
        <w:t>Russian Federation (Russia)</w:t>
      </w:r>
      <w:bookmarkEnd w:id="68"/>
    </w:p>
    <w:p w:rsidR="00586BE1" w:rsidRPr="003875F5" w:rsidRDefault="00586BE1" w:rsidP="00586BE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2004-200</w:t>
      </w:r>
      <w:r w:rsidR="00D57494" w:rsidRPr="003875F5">
        <w:rPr>
          <w:rFonts w:ascii="Times New Roman" w:hAnsi="Times New Roman" w:cs="Times New Roman"/>
          <w:sz w:val="24"/>
          <w:szCs w:val="24"/>
          <w:lang w:val="en-US"/>
        </w:rPr>
        <w:t>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Initial placement or trading of securities issued by nonresidents on the domestic market is allowed after their prospectus is registered with the Financial Markets Service (FSFR)</w:t>
      </w:r>
      <w:r w:rsidRPr="003875F5">
        <w:rPr>
          <w:rFonts w:ascii="Times New Roman" w:hAnsi="Times New Roman" w:cs="Times New Roman"/>
          <w:sz w:val="24"/>
          <w:szCs w:val="24"/>
          <w:lang w:val="en-US"/>
        </w:rPr>
        <w:t xml:space="preserve">.” This is not a control, in accordance with rule 14. </w:t>
      </w:r>
    </w:p>
    <w:p w:rsidR="0003004A" w:rsidRPr="003875F5" w:rsidRDefault="00586BE1" w:rsidP="0003004A">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Please note that this decision affects </w:t>
      </w:r>
      <w:proofErr w:type="spellStart"/>
      <w:r w:rsidRPr="003875F5">
        <w:rPr>
          <w:rFonts w:ascii="Times New Roman" w:hAnsi="Times New Roman" w:cs="Times New Roman"/>
          <w:sz w:val="24"/>
          <w:szCs w:val="24"/>
          <w:lang w:val="en-US"/>
        </w:rPr>
        <w:t>bo_siln</w:t>
      </w:r>
      <w:proofErr w:type="spellEnd"/>
      <w:r w:rsidRPr="003875F5">
        <w:rPr>
          <w:rFonts w:ascii="Times New Roman" w:hAnsi="Times New Roman" w:cs="Times New Roman"/>
          <w:sz w:val="24"/>
          <w:szCs w:val="24"/>
          <w:lang w:val="en-US"/>
        </w:rPr>
        <w:t xml:space="preserve"> 2004-2005 as well, since: “</w:t>
      </w:r>
      <w:r w:rsidRPr="003875F5">
        <w:rPr>
          <w:rFonts w:ascii="Times New Roman" w:hAnsi="Times New Roman" w:cs="Times New Roman"/>
          <w:i/>
          <w:sz w:val="24"/>
          <w:szCs w:val="24"/>
          <w:lang w:val="en-US"/>
        </w:rPr>
        <w:t>Regulations governing shares or other securities of a participating nature apply</w:t>
      </w:r>
      <w:r w:rsidRPr="003875F5">
        <w:rPr>
          <w:rFonts w:ascii="Times New Roman" w:hAnsi="Times New Roman" w:cs="Times New Roman"/>
          <w:sz w:val="24"/>
          <w:szCs w:val="24"/>
          <w:lang w:val="en-US"/>
        </w:rPr>
        <w:t>.”</w:t>
      </w:r>
    </w:p>
    <w:p w:rsidR="0003004A" w:rsidRPr="003875F5" w:rsidRDefault="0003004A" w:rsidP="00AC1CB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dii 2007-2009: “</w:t>
      </w:r>
      <w:r w:rsidRPr="003875F5">
        <w:rPr>
          <w:rFonts w:ascii="Times New Roman" w:hAnsi="Times New Roman" w:cs="Times New Roman"/>
          <w:i/>
          <w:sz w:val="24"/>
          <w:szCs w:val="24"/>
          <w:lang w:val="en-US"/>
        </w:rPr>
        <w:t>Direct investment by nonresidents individually or as part of a group of persons in the authorized capital of operating credit institutions, comprising more than 1% of the stock (stake) of the credit institution may be effected with CBR notification; investment exceeding 20% of the stock (stake in the authorized capital) of the credit institution may be effected with preliminary consent of the CBR. Direct investment by nonresidents in the authorized capital of credit institutions that are being established may be effected on the basis of permission from the CBR</w:t>
      </w:r>
      <w:r w:rsidRPr="003875F5">
        <w:rPr>
          <w:rFonts w:ascii="Times New Roman" w:hAnsi="Times New Roman" w:cs="Times New Roman"/>
          <w:sz w:val="24"/>
          <w:szCs w:val="24"/>
          <w:lang w:val="en-US"/>
        </w:rPr>
        <w:t>.” Restrictions on credit institutions are deemed to have a large macroeconomic impact. Thus, we code with ones.</w:t>
      </w:r>
    </w:p>
    <w:p w:rsidR="00D57494" w:rsidRPr="003875F5" w:rsidRDefault="00D57494" w:rsidP="00AC1CB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2007-</w:t>
      </w:r>
      <w:r w:rsidR="00551E7D" w:rsidRPr="003875F5">
        <w:rPr>
          <w:rFonts w:ascii="Times New Roman" w:hAnsi="Times New Roman" w:cs="Times New Roman"/>
          <w:sz w:val="24"/>
          <w:szCs w:val="24"/>
          <w:lang w:val="en-US"/>
        </w:rPr>
        <w:t>2009</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Direct investment by resident credit institutions associated with the acquisition of stocks (stakes) of foreign organizations and not leading to the establishment of subsidiaries abroad may be effected without restriction. Investment by credit institutions to establish or acquire subsidiaries abroad may be effected only by banks having a general license and equity resources (capital) of at least €5 million, with permission from and in accordance with the requirements of the CBR. Subsequent </w:t>
      </w:r>
      <w:r w:rsidRPr="003875F5">
        <w:rPr>
          <w:rFonts w:ascii="Times New Roman" w:hAnsi="Times New Roman" w:cs="Times New Roman"/>
          <w:i/>
          <w:sz w:val="24"/>
          <w:szCs w:val="24"/>
          <w:lang w:val="en-US"/>
        </w:rPr>
        <w:lastRenderedPageBreak/>
        <w:t>investment by banks in the authorized capital of foreign subsidiaries may be effected following notification. In accordance with an international agreement concluded between the Russian Federation and Belarus, Russian banks satisfying the aforementioned requirements with respect to having a general license and equity resources (capital) may invest in the authorized capital of banks following notification procedures. Direct investment by resident juridical persons that are not credit institutions may take place freely</w:t>
      </w:r>
      <w:r w:rsidRPr="003875F5">
        <w:rPr>
          <w:rFonts w:ascii="Times New Roman" w:hAnsi="Times New Roman" w:cs="Times New Roman"/>
          <w:sz w:val="24"/>
          <w:szCs w:val="24"/>
          <w:lang w:val="en-US"/>
        </w:rPr>
        <w:t xml:space="preserve">” </w:t>
      </w:r>
      <w:r w:rsidR="0003004A" w:rsidRPr="003875F5">
        <w:rPr>
          <w:rFonts w:ascii="Times New Roman" w:hAnsi="Times New Roman" w:cs="Times New Roman"/>
          <w:sz w:val="24"/>
          <w:szCs w:val="24"/>
          <w:lang w:val="en-US"/>
        </w:rPr>
        <w:t>Idem as above.</w:t>
      </w:r>
    </w:p>
    <w:p w:rsidR="00551E7D" w:rsidRPr="003875F5" w:rsidRDefault="00551E7D" w:rsidP="00551E7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bo_plbn</w:t>
      </w:r>
      <w:proofErr w:type="spellEnd"/>
      <w:r w:rsidRPr="003875F5">
        <w:rPr>
          <w:rFonts w:ascii="Times New Roman" w:hAnsi="Times New Roman" w:cs="Times New Roman"/>
          <w:sz w:val="24"/>
          <w:szCs w:val="24"/>
          <w:lang w:val="en-US"/>
        </w:rPr>
        <w:t xml:space="preserve"> 2010</w:t>
      </w:r>
      <w:r w:rsidR="00AC1CB7" w:rsidRPr="003875F5">
        <w:rPr>
          <w:rFonts w:ascii="Times New Roman" w:hAnsi="Times New Roman" w:cs="Times New Roman"/>
          <w:sz w:val="24"/>
          <w:szCs w:val="24"/>
          <w:lang w:val="en-US"/>
        </w:rPr>
        <w:t xml:space="preserve">-2011: </w:t>
      </w:r>
      <w:r w:rsidRPr="003875F5">
        <w:rPr>
          <w:rFonts w:ascii="Times New Roman" w:hAnsi="Times New Roman" w:cs="Times New Roman"/>
          <w:sz w:val="24"/>
          <w:szCs w:val="24"/>
          <w:lang w:val="en-US"/>
        </w:rPr>
        <w:t>“</w:t>
      </w:r>
      <w:r w:rsidRPr="003875F5">
        <w:rPr>
          <w:rFonts w:ascii="Times New Roman" w:hAnsi="Times New Roman" w:cs="Times New Roman"/>
          <w:i/>
          <w:sz w:val="24"/>
          <w:szCs w:val="24"/>
          <w:lang w:val="en-US"/>
        </w:rPr>
        <w:t>There are no restrictions on purchases of bonds or other debt securities by nonresidents from nonresidents or residents. Transactions between nonresidents with domestic securities in the territory of the Russian Federation are performed under requirements set out in the antimonopoly and the securities market law. The securities issuer may set limitations on the purchase of securities by nonresidents</w:t>
      </w:r>
      <w:r w:rsidRPr="003875F5">
        <w:rPr>
          <w:rFonts w:ascii="Times New Roman" w:hAnsi="Times New Roman" w:cs="Times New Roman"/>
          <w:sz w:val="24"/>
          <w:szCs w:val="24"/>
          <w:lang w:val="en-US"/>
        </w:rPr>
        <w:t xml:space="preserve">” </w:t>
      </w:r>
      <w:r w:rsidR="00AC1CB7" w:rsidRPr="003875F5">
        <w:rPr>
          <w:rFonts w:ascii="Times New Roman" w:hAnsi="Times New Roman" w:cs="Times New Roman"/>
          <w:sz w:val="24"/>
          <w:szCs w:val="24"/>
          <w:lang w:val="en-US"/>
        </w:rPr>
        <w:t>We believe that the foregoing is a restriction, because of the last sentence.</w:t>
      </w:r>
    </w:p>
    <w:p w:rsidR="00403B98" w:rsidRPr="003875F5" w:rsidRDefault="00403B98" w:rsidP="00403B98">
      <w:pPr>
        <w:pStyle w:val="Prrafodelista"/>
        <w:numPr>
          <w:ilvl w:val="2"/>
          <w:numId w:val="2"/>
        </w:numPr>
        <w:spacing w:line="240" w:lineRule="auto"/>
        <w:jc w:val="both"/>
        <w:rPr>
          <w:rFonts w:ascii="Times New Roman" w:hAnsi="Times New Roman" w:cs="Times New Roman"/>
          <w:i/>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bo_siln</w:t>
      </w:r>
      <w:proofErr w:type="spellEnd"/>
      <w:r w:rsidRPr="003875F5">
        <w:rPr>
          <w:rFonts w:ascii="Times New Roman" w:hAnsi="Times New Roman" w:cs="Times New Roman"/>
          <w:sz w:val="24"/>
          <w:szCs w:val="24"/>
          <w:lang w:val="en-US"/>
        </w:rPr>
        <w:t xml:space="preserve"> 2010</w:t>
      </w:r>
      <w:r w:rsidR="00E827E4" w:rsidRPr="003875F5">
        <w:rPr>
          <w:rFonts w:ascii="Times New Roman" w:hAnsi="Times New Roman" w:cs="Times New Roman"/>
          <w:sz w:val="24"/>
          <w:szCs w:val="24"/>
          <w:lang w:val="en-US"/>
        </w:rPr>
        <w:t>-201</w:t>
      </w:r>
      <w:r w:rsidR="00D44E30">
        <w:rPr>
          <w:rFonts w:ascii="Times New Roman" w:hAnsi="Times New Roman" w:cs="Times New Roman"/>
          <w:sz w:val="24"/>
          <w:szCs w:val="24"/>
          <w:lang w:val="en-US"/>
        </w:rPr>
        <w:t>3</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Under the foreign exchange law, there are no restrictions on the sale or issuance of bonds or other debt securities by nonresidents.</w:t>
      </w:r>
    </w:p>
    <w:p w:rsidR="00E634F3" w:rsidRPr="003875F5" w:rsidRDefault="00403B98" w:rsidP="00E634F3">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i/>
          <w:sz w:val="24"/>
          <w:szCs w:val="24"/>
          <w:lang w:val="en-US"/>
        </w:rPr>
        <w:t>The placing and trading of securities issued by foreign issuers in the Russian Federation are governed by the law on the securities market. According to Article 51.1 of Federal Law No. 39-FZ of April 22, 1996, on the Securities Market: (1) Foreign financial instruments may be traded in the Russian Federation as securities of foreign issuers, provided all the following conditions are met: (a) Foreign financial instruments are assigned an international securities identification code (number) and an international financial instrument classification code. (b) Foreign financial instruments are classified as securities in the manner set by the federal executive body in charge of the securities market. (2) Securities of the following foreign issuers meeting the requirements of Paragraph (1) may be placed and/or publicly traded in the Russian Federation: (a) foreign entities established in countries that are members of the OECD, members or observers of the group involved in developing financial measures to combat money laundering (FATF) and/or members of the committee of experts of the Council of Europe assessing measures to combat money laundering and financing of terrorism (</w:t>
      </w:r>
      <w:proofErr w:type="spellStart"/>
      <w:r w:rsidRPr="003875F5">
        <w:rPr>
          <w:rFonts w:ascii="Times New Roman" w:hAnsi="Times New Roman" w:cs="Times New Roman"/>
          <w:i/>
          <w:sz w:val="24"/>
          <w:szCs w:val="24"/>
          <w:lang w:val="en-US"/>
        </w:rPr>
        <w:t>Manivel</w:t>
      </w:r>
      <w:proofErr w:type="spellEnd"/>
      <w:r w:rsidRPr="003875F5">
        <w:rPr>
          <w:rFonts w:ascii="Times New Roman" w:hAnsi="Times New Roman" w:cs="Times New Roman"/>
          <w:i/>
          <w:sz w:val="24"/>
          <w:szCs w:val="24"/>
          <w:lang w:val="en-US"/>
        </w:rPr>
        <w:t xml:space="preserve">); (b) foreign entities established in countries, with whose appropriate bodies (appropriate entities) the federal executive body in charge of the securities market has entered into an agreement setting forth the procedure for their interaction; (c) international financial entities included on the list approved by the government of the Russian Federation; and (d) the foreign governments indicated in Subparagraphs (a) and (b) of this list, or CBs of such foreign governments. (3) The securities of foreign issuers may be placed in the Russian Federation, provided the </w:t>
      </w:r>
      <w:r w:rsidRPr="003875F5">
        <w:rPr>
          <w:rFonts w:ascii="Times New Roman" w:hAnsi="Times New Roman" w:cs="Times New Roman"/>
          <w:i/>
          <w:sz w:val="24"/>
          <w:szCs w:val="24"/>
          <w:lang w:val="en-US"/>
        </w:rPr>
        <w:lastRenderedPageBreak/>
        <w:t xml:space="preserve">federal executive body in charge of the securities market registers the prospectus for such securities. (4) The securities of foreign issuers meeting the requirements of Paragraphs (1) and (2), other than securities of international financial entities, may be publicly traded in the Russian Federation provided the federal executive body in charge of the securities market registers the prospectus for such securities and the Russian stock exchange has passed a resolution allowing them to be traded. (5) The securities of international financial entities may be publicly placed and/or publicly traded in the Russian Federation if the conditions for their issuance do not contain restrictions on trading such securities among an unrestricted group of persons and/or the offer of such securities to an unrestricted group of persons.” </w:t>
      </w:r>
      <w:r w:rsidRPr="003875F5">
        <w:rPr>
          <w:rFonts w:ascii="Times New Roman" w:hAnsi="Times New Roman" w:cs="Times New Roman"/>
          <w:sz w:val="24"/>
          <w:szCs w:val="24"/>
          <w:lang w:val="en-US"/>
        </w:rPr>
        <w:t xml:space="preserve">This </w:t>
      </w:r>
      <w:r w:rsidR="005A0FF7" w:rsidRPr="003875F5">
        <w:rPr>
          <w:rFonts w:ascii="Times New Roman" w:hAnsi="Times New Roman" w:cs="Times New Roman"/>
          <w:sz w:val="24"/>
          <w:szCs w:val="24"/>
          <w:lang w:val="en-US"/>
        </w:rPr>
        <w:t>is</w:t>
      </w:r>
      <w:r w:rsidRPr="003875F5">
        <w:rPr>
          <w:rFonts w:ascii="Times New Roman" w:hAnsi="Times New Roman" w:cs="Times New Roman"/>
          <w:sz w:val="24"/>
          <w:szCs w:val="24"/>
          <w:lang w:val="en-US"/>
        </w:rPr>
        <w:t xml:space="preserve"> a control, pursuant rule 5.</w:t>
      </w:r>
    </w:p>
    <w:p w:rsidR="00742F7D" w:rsidRPr="003875F5" w:rsidRDefault="00742F7D" w:rsidP="00B252C6">
      <w:pPr>
        <w:pStyle w:val="Estilo2"/>
      </w:pPr>
      <w:bookmarkStart w:id="69" w:name="_Toc402472368"/>
      <w:r w:rsidRPr="003875F5">
        <w:t>Saudi Arabia</w:t>
      </w:r>
      <w:bookmarkEnd w:id="69"/>
    </w:p>
    <w:p w:rsidR="00742F7D" w:rsidRPr="003875F5" w:rsidRDefault="00977841"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This narrative appears in </w:t>
      </w:r>
      <w:proofErr w:type="spellStart"/>
      <w:r w:rsidRPr="003875F5">
        <w:rPr>
          <w:rFonts w:ascii="Times New Roman" w:hAnsi="Times New Roman" w:cs="Times New Roman"/>
          <w:sz w:val="24"/>
          <w:szCs w:val="24"/>
          <w:lang w:val="en-US"/>
        </w:rPr>
        <w:t>eq_siar</w:t>
      </w:r>
      <w:proofErr w:type="spellEnd"/>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bo_siar</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mm_siar</w:t>
      </w:r>
      <w:proofErr w:type="spellEnd"/>
      <w:r w:rsidRPr="003875F5">
        <w:rPr>
          <w:rFonts w:ascii="Times New Roman" w:hAnsi="Times New Roman" w:cs="Times New Roman"/>
          <w:sz w:val="24"/>
          <w:szCs w:val="24"/>
          <w:lang w:val="en-US"/>
        </w:rPr>
        <w:t xml:space="preserve"> 2010-2012</w:t>
      </w:r>
      <w:r w:rsidR="006723E8" w:rsidRPr="003875F5">
        <w:rPr>
          <w:rFonts w:ascii="Times New Roman" w:hAnsi="Times New Roman" w:cs="Times New Roman"/>
          <w:sz w:val="24"/>
          <w:szCs w:val="24"/>
          <w:lang w:val="en-US"/>
        </w:rPr>
        <w:t>: “</w:t>
      </w:r>
      <w:r w:rsidR="006723E8" w:rsidRPr="003875F5">
        <w:rPr>
          <w:rFonts w:ascii="Times New Roman" w:hAnsi="Times New Roman" w:cs="Times New Roman"/>
          <w:i/>
          <w:sz w:val="24"/>
          <w:szCs w:val="24"/>
          <w:lang w:val="en-US"/>
        </w:rPr>
        <w:t>There are no restrictions on the sale or issuance of securities abroad by residents; these transactions are subject to the local laws where the sale or issuance takes place. However, the CMA must approve, cancel, or suspend the listing of Saudi issuers’ securities traded on the Saudi Stock Exchange on stock exchanges abroad. All issuances and offerings subject to the Capital Market Law and its regulations must be conducted through a person authorized in Saudi Arabia. Only authorized persons may conduct securities business in Saudi Arabia unless exempt.</w:t>
      </w:r>
      <w:r w:rsidR="006723E8"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Keeping in mind the role of the CMA, we believe that there is the possibility of controls.</w:t>
      </w:r>
    </w:p>
    <w:p w:rsidR="003D5607" w:rsidRPr="003875F5" w:rsidRDefault="003D5607" w:rsidP="003D5607">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eq_pabr</w:t>
      </w:r>
      <w:proofErr w:type="spellEnd"/>
      <w:r w:rsidRPr="003875F5">
        <w:rPr>
          <w:rFonts w:ascii="Times New Roman" w:hAnsi="Times New Roman" w:cs="Times New Roman"/>
          <w:sz w:val="24"/>
          <w:szCs w:val="24"/>
          <w:lang w:val="en-US"/>
        </w:rPr>
        <w:t xml:space="preserve"> 2005-200</w:t>
      </w:r>
      <w:r w:rsidR="00747528" w:rsidRPr="003875F5">
        <w:rPr>
          <w:rFonts w:ascii="Times New Roman" w:hAnsi="Times New Roman" w:cs="Times New Roman"/>
          <w:sz w:val="24"/>
          <w:szCs w:val="24"/>
          <w:lang w:val="en-US"/>
        </w:rPr>
        <w:t>9</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Residents may purchase or sell nonresident securities via brokerage services offered by licensed brokerage firms</w:t>
      </w:r>
      <w:r w:rsidRPr="003875F5">
        <w:rPr>
          <w:rFonts w:ascii="Times New Roman" w:hAnsi="Times New Roman" w:cs="Times New Roman"/>
          <w:sz w:val="24"/>
          <w:szCs w:val="24"/>
          <w:lang w:val="en-US"/>
        </w:rPr>
        <w:t xml:space="preserve">” </w:t>
      </w:r>
      <w:r w:rsidR="000A0541" w:rsidRPr="003875F5">
        <w:rPr>
          <w:rFonts w:ascii="Times New Roman" w:hAnsi="Times New Roman" w:cs="Times New Roman"/>
          <w:sz w:val="24"/>
          <w:szCs w:val="24"/>
          <w:lang w:val="en-US"/>
        </w:rPr>
        <w:t>We do not consider this a control, because despite the fact that a license is required, we believe this is a mere formality.</w:t>
      </w:r>
    </w:p>
    <w:p w:rsidR="00542052" w:rsidRPr="003875F5" w:rsidRDefault="00542052" w:rsidP="00B252C6">
      <w:pPr>
        <w:pStyle w:val="Estilo2"/>
      </w:pPr>
      <w:bookmarkStart w:id="70" w:name="_Toc402472369"/>
      <w:r w:rsidRPr="003875F5">
        <w:t>Singapore</w:t>
      </w:r>
      <w:bookmarkEnd w:id="70"/>
    </w:p>
    <w:p w:rsidR="00542052" w:rsidRPr="003875F5" w:rsidRDefault="000B5C70" w:rsidP="00542052">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bo_siln</w:t>
      </w:r>
      <w:proofErr w:type="spellEnd"/>
      <w:r w:rsidRPr="003875F5">
        <w:rPr>
          <w:rFonts w:ascii="Times New Roman" w:hAnsi="Times New Roman" w:cs="Times New Roman"/>
          <w:sz w:val="24"/>
          <w:szCs w:val="24"/>
          <w:lang w:val="en-US"/>
        </w:rPr>
        <w:t xml:space="preserve"> 2005-2012</w:t>
      </w:r>
      <w:r w:rsidR="00542052" w:rsidRPr="003875F5">
        <w:rPr>
          <w:rFonts w:ascii="Times New Roman" w:hAnsi="Times New Roman" w:cs="Times New Roman"/>
          <w:sz w:val="24"/>
          <w:szCs w:val="24"/>
          <w:lang w:val="en-US"/>
        </w:rPr>
        <w:t>: “</w:t>
      </w:r>
      <w:r w:rsidR="00542052" w:rsidRPr="003875F5">
        <w:rPr>
          <w:rFonts w:ascii="Times New Roman" w:hAnsi="Times New Roman" w:cs="Times New Roman"/>
          <w:i/>
          <w:sz w:val="24"/>
          <w:szCs w:val="24"/>
          <w:lang w:val="en-US"/>
        </w:rPr>
        <w:t>There are no restrictions on sale and issue locally by nonresidents. However, nonresident financial entities must convert Singapore dollar proceeds obtained from Singapore dollar loans (exceeding S$5 million), equity listings, or bond issuance into foreign currency before using such funds to finance activities outside Singapore.</w:t>
      </w:r>
      <w:r w:rsidR="00542052" w:rsidRPr="003875F5">
        <w:rPr>
          <w:rFonts w:ascii="Times New Roman" w:hAnsi="Times New Roman" w:cs="Times New Roman"/>
          <w:sz w:val="24"/>
          <w:szCs w:val="24"/>
          <w:lang w:val="en-US"/>
        </w:rPr>
        <w:t xml:space="preserve">” </w:t>
      </w:r>
      <w:r w:rsidR="00431A06" w:rsidRPr="003875F5">
        <w:rPr>
          <w:rFonts w:ascii="Times New Roman" w:hAnsi="Times New Roman" w:cs="Times New Roman"/>
          <w:sz w:val="24"/>
          <w:szCs w:val="24"/>
          <w:lang w:val="en-US"/>
        </w:rPr>
        <w:t>We do not consider that this restricts this type of transactions; hence, we do not code it as a control</w:t>
      </w:r>
      <w:r w:rsidR="00542052" w:rsidRPr="003875F5">
        <w:rPr>
          <w:rFonts w:ascii="Times New Roman" w:hAnsi="Times New Roman" w:cs="Times New Roman"/>
          <w:sz w:val="24"/>
          <w:szCs w:val="24"/>
          <w:lang w:val="en-US"/>
        </w:rPr>
        <w:t>.</w:t>
      </w:r>
      <w:r w:rsidR="00431A06" w:rsidRPr="003875F5">
        <w:rPr>
          <w:rFonts w:ascii="Times New Roman" w:hAnsi="Times New Roman" w:cs="Times New Roman"/>
          <w:sz w:val="24"/>
          <w:szCs w:val="24"/>
          <w:lang w:val="en-US"/>
        </w:rPr>
        <w:t xml:space="preserve"> Nonetheless, we do change Schindler’s original coding in 2004, because of the “</w:t>
      </w:r>
      <w:r w:rsidR="00431A06" w:rsidRPr="003875F5">
        <w:rPr>
          <w:rFonts w:ascii="Times New Roman" w:hAnsi="Times New Roman" w:cs="Times New Roman"/>
          <w:i/>
          <w:sz w:val="24"/>
          <w:szCs w:val="24"/>
          <w:lang w:val="en-US"/>
        </w:rPr>
        <w:t>sophisticated investor</w:t>
      </w:r>
      <w:r w:rsidR="00431A06" w:rsidRPr="003875F5">
        <w:rPr>
          <w:rFonts w:ascii="Times New Roman" w:hAnsi="Times New Roman" w:cs="Times New Roman"/>
          <w:sz w:val="24"/>
          <w:szCs w:val="24"/>
          <w:lang w:val="en-US"/>
        </w:rPr>
        <w:t>” requirement, which has the potential to be restrictive.</w:t>
      </w:r>
    </w:p>
    <w:p w:rsidR="00431A06" w:rsidRPr="003875F5" w:rsidRDefault="00431A06" w:rsidP="00431A06">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2000-2003</w:t>
      </w:r>
      <w:r w:rsidR="000B5C70" w:rsidRPr="003875F5">
        <w:rPr>
          <w:rFonts w:ascii="Times New Roman" w:hAnsi="Times New Roman" w:cs="Times New Roman"/>
          <w:sz w:val="24"/>
          <w:szCs w:val="24"/>
          <w:lang w:val="en-US"/>
        </w:rPr>
        <w:t xml:space="preserve"> idem as above.</w:t>
      </w:r>
      <w:r w:rsidRPr="003875F5">
        <w:rPr>
          <w:rFonts w:ascii="Times New Roman" w:hAnsi="Times New Roman" w:cs="Times New Roman"/>
          <w:sz w:val="24"/>
          <w:szCs w:val="24"/>
          <w:lang w:val="en-US"/>
        </w:rPr>
        <w:t xml:space="preserve"> Since we do not consider the conversion requirement into foreign currency as a control, we changed Schindler’s original coding for 2000-2003.</w:t>
      </w:r>
    </w:p>
    <w:p w:rsidR="00AA6A58" w:rsidRPr="003875F5" w:rsidRDefault="00AA6A58" w:rsidP="00AA6A58">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2005</w:t>
      </w:r>
      <w:r w:rsidR="00855047" w:rsidRPr="003875F5">
        <w:rPr>
          <w:rFonts w:ascii="Times New Roman" w:hAnsi="Times New Roman" w:cs="Times New Roman"/>
          <w:sz w:val="24"/>
          <w:szCs w:val="24"/>
          <w:lang w:val="en-US"/>
        </w:rPr>
        <w:t>-2006</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Effective July 19, 2005, restrictions on foreign ownership of </w:t>
      </w:r>
      <w:proofErr w:type="spellStart"/>
      <w:r w:rsidRPr="003875F5">
        <w:rPr>
          <w:rFonts w:ascii="Times New Roman" w:hAnsi="Times New Roman" w:cs="Times New Roman"/>
          <w:i/>
          <w:sz w:val="24"/>
          <w:szCs w:val="24"/>
          <w:lang w:val="en-US"/>
        </w:rPr>
        <w:t>nonlanded</w:t>
      </w:r>
      <w:proofErr w:type="spellEnd"/>
      <w:r w:rsidRPr="003875F5">
        <w:rPr>
          <w:rFonts w:ascii="Times New Roman" w:hAnsi="Times New Roman" w:cs="Times New Roman"/>
          <w:i/>
          <w:sz w:val="24"/>
          <w:szCs w:val="24"/>
          <w:lang w:val="en-US"/>
        </w:rPr>
        <w:t xml:space="preserve">, </w:t>
      </w:r>
      <w:proofErr w:type="spellStart"/>
      <w:r w:rsidRPr="003875F5">
        <w:rPr>
          <w:rFonts w:ascii="Times New Roman" w:hAnsi="Times New Roman" w:cs="Times New Roman"/>
          <w:i/>
          <w:sz w:val="24"/>
          <w:szCs w:val="24"/>
          <w:lang w:val="en-US"/>
        </w:rPr>
        <w:t>noncondominium</w:t>
      </w:r>
      <w:proofErr w:type="spellEnd"/>
      <w:r w:rsidRPr="003875F5">
        <w:rPr>
          <w:rFonts w:ascii="Times New Roman" w:hAnsi="Times New Roman" w:cs="Times New Roman"/>
          <w:i/>
          <w:sz w:val="24"/>
          <w:szCs w:val="24"/>
          <w:lang w:val="en-US"/>
        </w:rPr>
        <w:t xml:space="preserve"> developments were removed. Foreigners may freely purchase residential units in </w:t>
      </w:r>
      <w:proofErr w:type="spellStart"/>
      <w:r w:rsidRPr="003875F5">
        <w:rPr>
          <w:rFonts w:ascii="Times New Roman" w:hAnsi="Times New Roman" w:cs="Times New Roman"/>
          <w:i/>
          <w:sz w:val="24"/>
          <w:szCs w:val="24"/>
          <w:lang w:val="en-US"/>
        </w:rPr>
        <w:t>nonlanded</w:t>
      </w:r>
      <w:proofErr w:type="spellEnd"/>
      <w:r w:rsidRPr="003875F5">
        <w:rPr>
          <w:rFonts w:ascii="Times New Roman" w:hAnsi="Times New Roman" w:cs="Times New Roman"/>
          <w:i/>
          <w:sz w:val="24"/>
          <w:szCs w:val="24"/>
          <w:lang w:val="en-US"/>
        </w:rPr>
        <w:t xml:space="preserve">, </w:t>
      </w:r>
      <w:proofErr w:type="spellStart"/>
      <w:r w:rsidRPr="003875F5">
        <w:rPr>
          <w:rFonts w:ascii="Times New Roman" w:hAnsi="Times New Roman" w:cs="Times New Roman"/>
          <w:i/>
          <w:sz w:val="24"/>
          <w:szCs w:val="24"/>
          <w:lang w:val="en-US"/>
        </w:rPr>
        <w:t>noncondominium</w:t>
      </w:r>
      <w:proofErr w:type="spellEnd"/>
      <w:r w:rsidRPr="003875F5">
        <w:rPr>
          <w:rFonts w:ascii="Times New Roman" w:hAnsi="Times New Roman" w:cs="Times New Roman"/>
          <w:i/>
          <w:sz w:val="24"/>
          <w:szCs w:val="24"/>
          <w:lang w:val="en-US"/>
        </w:rPr>
        <w:t xml:space="preserve"> developments of less than six levels, excluding public housing</w:t>
      </w:r>
      <w:r w:rsidRPr="003875F5">
        <w:rPr>
          <w:rFonts w:ascii="Times New Roman" w:hAnsi="Times New Roman" w:cs="Times New Roman"/>
          <w:sz w:val="24"/>
          <w:szCs w:val="24"/>
          <w:lang w:val="en-US"/>
        </w:rPr>
        <w:t xml:space="preserve">.” </w:t>
      </w:r>
      <w:r w:rsidR="007C37F0" w:rsidRPr="003875F5">
        <w:rPr>
          <w:rFonts w:ascii="Times New Roman" w:hAnsi="Times New Roman" w:cs="Times New Roman"/>
          <w:sz w:val="24"/>
          <w:szCs w:val="24"/>
          <w:lang w:val="en-US"/>
        </w:rPr>
        <w:t xml:space="preserve">We </w:t>
      </w:r>
      <w:r w:rsidRPr="003875F5">
        <w:rPr>
          <w:rFonts w:ascii="Times New Roman" w:hAnsi="Times New Roman" w:cs="Times New Roman"/>
          <w:sz w:val="24"/>
          <w:szCs w:val="24"/>
          <w:lang w:val="en-US"/>
        </w:rPr>
        <w:t>coded with ones.</w:t>
      </w:r>
    </w:p>
    <w:p w:rsidR="00855047" w:rsidRPr="003875F5" w:rsidRDefault="00855047" w:rsidP="007C37F0">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2007-2012: “</w:t>
      </w:r>
      <w:r w:rsidRPr="003875F5">
        <w:rPr>
          <w:rFonts w:ascii="Times New Roman" w:hAnsi="Times New Roman" w:cs="Times New Roman"/>
          <w:i/>
          <w:sz w:val="24"/>
          <w:szCs w:val="24"/>
          <w:lang w:val="en-US"/>
        </w:rPr>
        <w:t>Foreigners may freely buy all types of residential units, except landed property and public housing. Foreigners may purchase landed property only with approval from the Ministry of National Development</w:t>
      </w:r>
      <w:r w:rsidRPr="003875F5">
        <w:rPr>
          <w:rFonts w:ascii="Times New Roman" w:hAnsi="Times New Roman" w:cs="Times New Roman"/>
          <w:sz w:val="24"/>
          <w:szCs w:val="24"/>
          <w:lang w:val="en-US"/>
        </w:rPr>
        <w:t xml:space="preserve">.” </w:t>
      </w:r>
      <w:r w:rsidR="007C37F0" w:rsidRPr="003875F5">
        <w:rPr>
          <w:rFonts w:ascii="Times New Roman" w:hAnsi="Times New Roman" w:cs="Times New Roman"/>
          <w:sz w:val="24"/>
          <w:szCs w:val="24"/>
          <w:lang w:val="en-US"/>
        </w:rPr>
        <w:t>We</w:t>
      </w:r>
      <w:r w:rsidRPr="003875F5">
        <w:rPr>
          <w:rFonts w:ascii="Times New Roman" w:hAnsi="Times New Roman" w:cs="Times New Roman"/>
          <w:sz w:val="24"/>
          <w:szCs w:val="24"/>
          <w:lang w:val="en-US"/>
        </w:rPr>
        <w:t xml:space="preserve"> coded with ones. </w:t>
      </w:r>
    </w:p>
    <w:p w:rsidR="001B04C3" w:rsidRPr="003875F5" w:rsidRDefault="00811E0E" w:rsidP="00B252C6">
      <w:pPr>
        <w:pStyle w:val="Estilo2"/>
      </w:pPr>
      <w:bookmarkStart w:id="71" w:name="_Toc402472370"/>
      <w:r w:rsidRPr="003875F5">
        <w:t>Slovenia</w:t>
      </w:r>
      <w:bookmarkEnd w:id="71"/>
    </w:p>
    <w:p w:rsidR="001B04C3" w:rsidRPr="003875F5" w:rsidRDefault="00811E0E"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in 2011 we decided to put a 0 because it alluded to controls that are linked to laws on inward direct investment and hence we applied the criteria that if it alluded to laws on inward FDI then it should not be considered as a control in equity.</w:t>
      </w:r>
    </w:p>
    <w:p w:rsidR="001B04C3" w:rsidRPr="003875F5" w:rsidRDefault="00811E0E" w:rsidP="00B252C6">
      <w:pPr>
        <w:pStyle w:val="Estilo2"/>
      </w:pPr>
      <w:bookmarkStart w:id="72" w:name="_Toc402472371"/>
      <w:r w:rsidRPr="003875F5">
        <w:t>South Africa</w:t>
      </w:r>
      <w:bookmarkEnd w:id="72"/>
    </w:p>
    <w:p w:rsidR="00811E0E" w:rsidRPr="003875F5" w:rsidRDefault="00811E0E"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2006 to 2010 we did not choose to set it as a control because the word listed does not involve a control per se.</w:t>
      </w:r>
    </w:p>
    <w:p w:rsidR="00811E0E" w:rsidRPr="003875F5" w:rsidRDefault="00811E0E"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w:t>
      </w:r>
      <w:r w:rsidR="00671F81" w:rsidRPr="003875F5">
        <w:rPr>
          <w:rFonts w:ascii="Times New Roman" w:hAnsi="Times New Roman" w:cs="Times New Roman"/>
          <w:sz w:val="24"/>
          <w:szCs w:val="24"/>
          <w:lang w:val="en-US"/>
        </w:rPr>
        <w:t xml:space="preserve">and </w:t>
      </w:r>
      <w:proofErr w:type="spellStart"/>
      <w:r w:rsidR="00671F81" w:rsidRPr="003875F5">
        <w:rPr>
          <w:rFonts w:ascii="Times New Roman" w:hAnsi="Times New Roman" w:cs="Times New Roman"/>
          <w:sz w:val="24"/>
          <w:szCs w:val="24"/>
          <w:lang w:val="en-US"/>
        </w:rPr>
        <w:t>bo_siln</w:t>
      </w:r>
      <w:proofErr w:type="spellEnd"/>
      <w:r w:rsidR="00671F81" w:rsidRPr="003875F5">
        <w:rPr>
          <w:rFonts w:ascii="Times New Roman" w:hAnsi="Times New Roman" w:cs="Times New Roman"/>
          <w:sz w:val="24"/>
          <w:szCs w:val="24"/>
          <w:lang w:val="en-US"/>
        </w:rPr>
        <w:t xml:space="preserve"> and </w:t>
      </w:r>
      <w:proofErr w:type="spellStart"/>
      <w:r w:rsidR="00671F81" w:rsidRPr="003875F5">
        <w:rPr>
          <w:rFonts w:ascii="Times New Roman" w:hAnsi="Times New Roman" w:cs="Times New Roman"/>
          <w:sz w:val="24"/>
          <w:szCs w:val="24"/>
          <w:lang w:val="en-US"/>
        </w:rPr>
        <w:t>mm_siln</w:t>
      </w:r>
      <w:proofErr w:type="spellEnd"/>
      <w:r w:rsidR="00671F81"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 xml:space="preserve">we put a 0 </w:t>
      </w:r>
      <w:r w:rsidR="00735AC6" w:rsidRPr="003875F5">
        <w:rPr>
          <w:rFonts w:ascii="Times New Roman" w:hAnsi="Times New Roman" w:cs="Times New Roman"/>
          <w:sz w:val="24"/>
          <w:szCs w:val="24"/>
          <w:lang w:val="en-US"/>
        </w:rPr>
        <w:t>from</w:t>
      </w:r>
      <w:r w:rsidRPr="003875F5">
        <w:rPr>
          <w:rFonts w:ascii="Times New Roman" w:hAnsi="Times New Roman" w:cs="Times New Roman"/>
          <w:sz w:val="24"/>
          <w:szCs w:val="24"/>
          <w:lang w:val="en-US"/>
        </w:rPr>
        <w:t xml:space="preserve"> 2006 to 2010 (included) for three reasons: (i) to be consistent with M. Schindler who had the same in 2005 and coded it as a 0; (ii) we do not think that “to be listed” is a control. </w:t>
      </w:r>
    </w:p>
    <w:p w:rsidR="00C66EED" w:rsidRPr="003875F5" w:rsidRDefault="00C66EED" w:rsidP="00C66EE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199</w:t>
      </w:r>
      <w:r w:rsidR="00A77214" w:rsidRPr="003875F5">
        <w:rPr>
          <w:rFonts w:ascii="Times New Roman" w:hAnsi="Times New Roman" w:cs="Times New Roman"/>
          <w:sz w:val="24"/>
          <w:szCs w:val="24"/>
          <w:lang w:val="en-US"/>
        </w:rPr>
        <w:t>6</w:t>
      </w:r>
      <w:r w:rsidR="00935244" w:rsidRPr="003875F5">
        <w:rPr>
          <w:rFonts w:ascii="Times New Roman" w:hAnsi="Times New Roman" w:cs="Times New Roman"/>
          <w:sz w:val="24"/>
          <w:szCs w:val="24"/>
          <w:lang w:val="en-US"/>
        </w:rPr>
        <w:t>-2011</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Nonresidents may freely purchase derivative instruments, options, and futures on the local formal market (SAFEX), but over-the-counter transactions require prior approval</w:t>
      </w:r>
      <w:r w:rsidRPr="003875F5">
        <w:rPr>
          <w:rFonts w:ascii="Times New Roman" w:hAnsi="Times New Roman" w:cs="Times New Roman"/>
          <w:sz w:val="24"/>
          <w:szCs w:val="24"/>
          <w:lang w:val="en-US"/>
        </w:rPr>
        <w:t xml:space="preserve">.” </w:t>
      </w:r>
      <w:r w:rsidR="00004908" w:rsidRPr="003875F5">
        <w:rPr>
          <w:rFonts w:ascii="Times New Roman" w:hAnsi="Times New Roman" w:cs="Times New Roman"/>
          <w:sz w:val="24"/>
          <w:szCs w:val="24"/>
          <w:lang w:val="en-US"/>
        </w:rPr>
        <w:t>We coded this with ones since OTC transactions require approval.</w:t>
      </w:r>
    </w:p>
    <w:p w:rsidR="0097196B" w:rsidRPr="003875F5" w:rsidRDefault="0097196B" w:rsidP="00B252C6">
      <w:pPr>
        <w:pStyle w:val="Estilo2"/>
      </w:pPr>
      <w:bookmarkStart w:id="73" w:name="_Toc402472372"/>
      <w:r w:rsidRPr="003875F5">
        <w:t>Spain</w:t>
      </w:r>
      <w:bookmarkEnd w:id="73"/>
    </w:p>
    <w:p w:rsidR="0097196B" w:rsidRPr="003875F5" w:rsidRDefault="0097196B" w:rsidP="0097196B">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re_pabr</w:t>
      </w:r>
      <w:proofErr w:type="spellEnd"/>
      <w:r w:rsidRPr="003875F5">
        <w:rPr>
          <w:rFonts w:ascii="Times New Roman" w:hAnsi="Times New Roman" w:cs="Times New Roman"/>
          <w:sz w:val="24"/>
          <w:szCs w:val="24"/>
          <w:lang w:val="en-US"/>
        </w:rPr>
        <w:t xml:space="preserve"> 1995</w:t>
      </w:r>
      <w:r w:rsidR="00107ADE" w:rsidRPr="003875F5">
        <w:rPr>
          <w:rFonts w:ascii="Times New Roman" w:hAnsi="Times New Roman" w:cs="Times New Roman"/>
          <w:sz w:val="24"/>
          <w:szCs w:val="24"/>
          <w:lang w:val="en-US"/>
        </w:rPr>
        <w:t>-</w:t>
      </w:r>
      <w:r w:rsidR="00D35E4A" w:rsidRPr="003875F5">
        <w:rPr>
          <w:rFonts w:ascii="Times New Roman" w:hAnsi="Times New Roman" w:cs="Times New Roman"/>
          <w:sz w:val="24"/>
          <w:szCs w:val="24"/>
          <w:lang w:val="en-US"/>
        </w:rPr>
        <w:t>1998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Investments in real estate by residents abroad is permitted, but those that exceed </w:t>
      </w:r>
      <w:proofErr w:type="spellStart"/>
      <w:r w:rsidRPr="003875F5">
        <w:rPr>
          <w:rFonts w:ascii="Times New Roman" w:hAnsi="Times New Roman" w:cs="Times New Roman"/>
          <w:i/>
          <w:sz w:val="24"/>
          <w:szCs w:val="24"/>
          <w:lang w:val="en-US"/>
        </w:rPr>
        <w:t>Ptas</w:t>
      </w:r>
      <w:proofErr w:type="spellEnd"/>
      <w:r w:rsidRPr="003875F5">
        <w:rPr>
          <w:rFonts w:ascii="Times New Roman" w:hAnsi="Times New Roman" w:cs="Times New Roman"/>
          <w:i/>
          <w:sz w:val="24"/>
          <w:szCs w:val="24"/>
          <w:lang w:val="en-US"/>
        </w:rPr>
        <w:t xml:space="preserve"> 250 million require prior verification</w:t>
      </w:r>
      <w:r w:rsidRPr="003875F5">
        <w:rPr>
          <w:rFonts w:ascii="Times New Roman" w:hAnsi="Times New Roman" w:cs="Times New Roman"/>
          <w:sz w:val="24"/>
          <w:szCs w:val="24"/>
          <w:lang w:val="en-US"/>
        </w:rPr>
        <w:t xml:space="preserve">.” </w:t>
      </w:r>
      <w:r w:rsidR="004715C2" w:rsidRPr="003875F5">
        <w:rPr>
          <w:rFonts w:ascii="Times New Roman" w:hAnsi="Times New Roman" w:cs="Times New Roman"/>
          <w:sz w:val="24"/>
          <w:szCs w:val="24"/>
          <w:lang w:val="en-US"/>
        </w:rPr>
        <w:t>W</w:t>
      </w:r>
      <w:r w:rsidRPr="003875F5">
        <w:rPr>
          <w:rFonts w:ascii="Times New Roman" w:hAnsi="Times New Roman" w:cs="Times New Roman"/>
          <w:sz w:val="24"/>
          <w:szCs w:val="24"/>
          <w:lang w:val="en-US"/>
        </w:rPr>
        <w:t>e interpret the “verification” requirement as mere formality</w:t>
      </w:r>
      <w:r w:rsidR="004715C2" w:rsidRPr="003875F5">
        <w:rPr>
          <w:rFonts w:ascii="Times New Roman" w:hAnsi="Times New Roman" w:cs="Times New Roman"/>
          <w:sz w:val="24"/>
          <w:szCs w:val="24"/>
          <w:lang w:val="en-US"/>
        </w:rPr>
        <w:t>. Therefore, we coded with zeros.</w:t>
      </w:r>
    </w:p>
    <w:p w:rsidR="0097196B" w:rsidRPr="003875F5" w:rsidRDefault="0097196B" w:rsidP="0097196B">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1995</w:t>
      </w:r>
      <w:r w:rsidR="00107ADE" w:rsidRPr="003875F5">
        <w:rPr>
          <w:rFonts w:ascii="Times New Roman" w:hAnsi="Times New Roman" w:cs="Times New Roman"/>
          <w:sz w:val="24"/>
          <w:szCs w:val="24"/>
          <w:lang w:val="en-US"/>
        </w:rPr>
        <w:t>-</w:t>
      </w:r>
      <w:r w:rsidR="00D35E4A" w:rsidRPr="003875F5">
        <w:rPr>
          <w:rFonts w:ascii="Times New Roman" w:hAnsi="Times New Roman" w:cs="Times New Roman"/>
          <w:sz w:val="24"/>
          <w:szCs w:val="24"/>
          <w:lang w:val="en-US"/>
        </w:rPr>
        <w:t>1998</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Real estate investments require prior verification for amounts exceeding </w:t>
      </w:r>
      <w:proofErr w:type="spellStart"/>
      <w:r w:rsidRPr="003875F5">
        <w:rPr>
          <w:rFonts w:ascii="Times New Roman" w:hAnsi="Times New Roman" w:cs="Times New Roman"/>
          <w:i/>
          <w:sz w:val="24"/>
          <w:szCs w:val="24"/>
          <w:lang w:val="en-US"/>
        </w:rPr>
        <w:t>Ptas</w:t>
      </w:r>
      <w:proofErr w:type="spellEnd"/>
      <w:r w:rsidRPr="003875F5">
        <w:rPr>
          <w:rFonts w:ascii="Times New Roman" w:hAnsi="Times New Roman" w:cs="Times New Roman"/>
          <w:i/>
          <w:sz w:val="24"/>
          <w:szCs w:val="24"/>
          <w:lang w:val="en-US"/>
        </w:rPr>
        <w:t xml:space="preserve"> 500 million or if investors are residents of tax haven countries</w:t>
      </w:r>
      <w:r w:rsidRPr="003875F5">
        <w:rPr>
          <w:rFonts w:ascii="Times New Roman" w:hAnsi="Times New Roman" w:cs="Times New Roman"/>
          <w:sz w:val="24"/>
          <w:szCs w:val="24"/>
          <w:lang w:val="en-US"/>
        </w:rPr>
        <w:t>” Idem as above.</w:t>
      </w:r>
    </w:p>
    <w:p w:rsidR="0000242D" w:rsidRPr="003875F5" w:rsidRDefault="0000242D" w:rsidP="0000242D">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2008-2012</w:t>
      </w:r>
      <w:r w:rsidR="004715C2"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w:t>
      </w:r>
      <w:r w:rsidRPr="003875F5">
        <w:rPr>
          <w:rFonts w:ascii="Times New Roman" w:hAnsi="Times New Roman" w:cs="Times New Roman"/>
          <w:i/>
          <w:sz w:val="24"/>
          <w:szCs w:val="24"/>
          <w:lang w:val="en-US"/>
        </w:rPr>
        <w:t>Purchases of land by a foreign government are subject to controls</w:t>
      </w:r>
      <w:r w:rsidRPr="003875F5">
        <w:rPr>
          <w:rFonts w:ascii="Times New Roman" w:hAnsi="Times New Roman" w:cs="Times New Roman"/>
          <w:sz w:val="24"/>
          <w:szCs w:val="24"/>
          <w:lang w:val="en-US"/>
        </w:rPr>
        <w:t xml:space="preserve">.” </w:t>
      </w:r>
      <w:r w:rsidR="004715C2" w:rsidRPr="003875F5">
        <w:rPr>
          <w:rFonts w:ascii="Times New Roman" w:hAnsi="Times New Roman" w:cs="Times New Roman"/>
          <w:sz w:val="24"/>
          <w:szCs w:val="24"/>
          <w:lang w:val="en-US"/>
        </w:rPr>
        <w:t xml:space="preserve">We </w:t>
      </w:r>
      <w:r w:rsidRPr="003875F5">
        <w:rPr>
          <w:rFonts w:ascii="Times New Roman" w:hAnsi="Times New Roman" w:cs="Times New Roman"/>
          <w:sz w:val="24"/>
          <w:szCs w:val="24"/>
          <w:lang w:val="en-US"/>
        </w:rPr>
        <w:t>coded with zeros.</w:t>
      </w:r>
    </w:p>
    <w:p w:rsidR="0091157E" w:rsidRPr="003875F5" w:rsidRDefault="0091157E" w:rsidP="00B252C6">
      <w:pPr>
        <w:pStyle w:val="Estilo2"/>
      </w:pPr>
      <w:bookmarkStart w:id="74" w:name="_Toc402472373"/>
      <w:r w:rsidRPr="003875F5">
        <w:t>Sri Lanka</w:t>
      </w:r>
      <w:bookmarkEnd w:id="74"/>
    </w:p>
    <w:p w:rsidR="0091157E" w:rsidRPr="003875F5" w:rsidRDefault="0091157E"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xml:space="preserve"> 2012, the following narrative appears: “</w:t>
      </w:r>
      <w:r w:rsidRPr="003875F5">
        <w:rPr>
          <w:rFonts w:ascii="Times New Roman" w:hAnsi="Times New Roman" w:cs="Times New Roman"/>
          <w:i/>
          <w:sz w:val="24"/>
          <w:szCs w:val="24"/>
          <w:lang w:val="en-US"/>
        </w:rPr>
        <w:t>Proceeds from the sale or liquidation of approved investments, along with any associated capital appreciation, may be remitted in full through an SIA</w:t>
      </w:r>
      <w:r w:rsidRPr="003875F5">
        <w:rPr>
          <w:rFonts w:ascii="Times New Roman" w:hAnsi="Times New Roman" w:cs="Times New Roman"/>
          <w:sz w:val="24"/>
          <w:szCs w:val="24"/>
          <w:lang w:val="en-US"/>
        </w:rPr>
        <w:t xml:space="preserve">.” </w:t>
      </w:r>
      <w:r w:rsidR="00977841" w:rsidRPr="003875F5">
        <w:rPr>
          <w:rFonts w:ascii="Times New Roman" w:hAnsi="Times New Roman" w:cs="Times New Roman"/>
          <w:sz w:val="24"/>
          <w:szCs w:val="24"/>
          <w:lang w:val="en-US"/>
        </w:rPr>
        <w:t>This is</w:t>
      </w:r>
      <w:r w:rsidRPr="003875F5">
        <w:rPr>
          <w:rFonts w:ascii="Times New Roman" w:hAnsi="Times New Roman" w:cs="Times New Roman"/>
          <w:sz w:val="24"/>
          <w:szCs w:val="24"/>
          <w:lang w:val="en-US"/>
        </w:rPr>
        <w:t xml:space="preserve"> coded with a 1, since it allows repatriation of </w:t>
      </w:r>
      <w:r w:rsidRPr="003875F5">
        <w:rPr>
          <w:rFonts w:ascii="Times New Roman" w:hAnsi="Times New Roman" w:cs="Times New Roman"/>
          <w:i/>
          <w:sz w:val="24"/>
          <w:szCs w:val="24"/>
          <w:lang w:val="en-US"/>
        </w:rPr>
        <w:t xml:space="preserve">approved </w:t>
      </w:r>
      <w:r w:rsidRPr="003875F5">
        <w:rPr>
          <w:rFonts w:ascii="Times New Roman" w:hAnsi="Times New Roman" w:cs="Times New Roman"/>
          <w:sz w:val="24"/>
          <w:szCs w:val="24"/>
          <w:lang w:val="en-US"/>
        </w:rPr>
        <w:t>investments.</w:t>
      </w:r>
    </w:p>
    <w:p w:rsidR="00D716CC" w:rsidRPr="003875F5" w:rsidRDefault="001873BF" w:rsidP="00D716CC">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2006</w:t>
      </w:r>
      <w:r w:rsidR="00D716CC" w:rsidRPr="003875F5">
        <w:rPr>
          <w:rFonts w:ascii="Times New Roman" w:hAnsi="Times New Roman" w:cs="Times New Roman"/>
          <w:sz w:val="24"/>
          <w:szCs w:val="24"/>
          <w:lang w:val="en-US"/>
        </w:rPr>
        <w:t>-20</w:t>
      </w:r>
      <w:r w:rsidR="008A4C8B" w:rsidRPr="003875F5">
        <w:rPr>
          <w:rFonts w:ascii="Times New Roman" w:hAnsi="Times New Roman" w:cs="Times New Roman"/>
          <w:sz w:val="24"/>
          <w:szCs w:val="24"/>
          <w:lang w:val="en-US"/>
        </w:rPr>
        <w:t>12</w:t>
      </w:r>
      <w:r w:rsidR="00D716CC" w:rsidRPr="003875F5">
        <w:rPr>
          <w:rFonts w:ascii="Times New Roman" w:hAnsi="Times New Roman" w:cs="Times New Roman"/>
          <w:sz w:val="24"/>
          <w:szCs w:val="24"/>
          <w:lang w:val="en-US"/>
        </w:rPr>
        <w:t>: “</w:t>
      </w:r>
      <w:r w:rsidR="00D716CC" w:rsidRPr="003875F5">
        <w:rPr>
          <w:rFonts w:ascii="Times New Roman" w:hAnsi="Times New Roman" w:cs="Times New Roman"/>
          <w:i/>
          <w:sz w:val="24"/>
          <w:szCs w:val="24"/>
          <w:lang w:val="en-US"/>
        </w:rPr>
        <w:t>Nonresidents may invest in shares of up to 100% of the equity capital of existing listed and unlisted public companies without prior approval, subject to certain exclusions and limitations, in terms of the general permission granted. Funds must be channeled through a SIERA</w:t>
      </w:r>
      <w:r w:rsidR="00D716CC"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We consider that the</w:t>
      </w:r>
      <w:r w:rsidR="008A4C8B" w:rsidRPr="003875F5">
        <w:rPr>
          <w:rFonts w:ascii="Times New Roman" w:hAnsi="Times New Roman" w:cs="Times New Roman"/>
          <w:sz w:val="24"/>
          <w:szCs w:val="24"/>
          <w:lang w:val="en-US"/>
        </w:rPr>
        <w:t xml:space="preserve"> “general permissio</w:t>
      </w:r>
      <w:r w:rsidRPr="003875F5">
        <w:rPr>
          <w:rFonts w:ascii="Times New Roman" w:hAnsi="Times New Roman" w:cs="Times New Roman"/>
          <w:sz w:val="24"/>
          <w:szCs w:val="24"/>
          <w:lang w:val="en-US"/>
        </w:rPr>
        <w:t>n” and the fact that there are certain exclusions and limitations must be considered controls.</w:t>
      </w:r>
    </w:p>
    <w:p w:rsidR="00811E0E" w:rsidRPr="003875F5" w:rsidRDefault="00671F81" w:rsidP="00B252C6">
      <w:pPr>
        <w:pStyle w:val="Estilo2"/>
      </w:pPr>
      <w:bookmarkStart w:id="75" w:name="_Toc402472374"/>
      <w:r w:rsidRPr="003875F5">
        <w:t>Switzerland</w:t>
      </w:r>
      <w:bookmarkEnd w:id="75"/>
    </w:p>
    <w:p w:rsidR="00671F81" w:rsidRPr="003875F5" w:rsidRDefault="00671F81"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ci_siln</w:t>
      </w:r>
      <w:proofErr w:type="spellEnd"/>
      <w:r w:rsidRPr="003875F5">
        <w:rPr>
          <w:rFonts w:ascii="Times New Roman" w:hAnsi="Times New Roman" w:cs="Times New Roman"/>
          <w:sz w:val="24"/>
          <w:szCs w:val="24"/>
          <w:lang w:val="en-US"/>
        </w:rPr>
        <w:t>, we considered the imposition of a stamp duty a control</w:t>
      </w:r>
    </w:p>
    <w:p w:rsidR="0003004A" w:rsidRPr="003875F5" w:rsidRDefault="00671F81" w:rsidP="00A969E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fco</w:t>
      </w:r>
      <w:proofErr w:type="spellEnd"/>
      <w:r w:rsidRPr="003875F5">
        <w:rPr>
          <w:rFonts w:ascii="Times New Roman" w:hAnsi="Times New Roman" w:cs="Times New Roman"/>
          <w:sz w:val="24"/>
          <w:szCs w:val="24"/>
          <w:lang w:val="en-US"/>
        </w:rPr>
        <w:t xml:space="preserve"> in 2011 we set it as a 0 because “</w:t>
      </w:r>
      <w:r w:rsidRPr="003875F5">
        <w:rPr>
          <w:rFonts w:ascii="Times New Roman" w:hAnsi="Times New Roman" w:cs="Times New Roman"/>
          <w:i/>
          <w:sz w:val="24"/>
          <w:szCs w:val="24"/>
          <w:lang w:val="en-US"/>
        </w:rPr>
        <w:t xml:space="preserve">res. &amp; </w:t>
      </w:r>
      <w:proofErr w:type="spellStart"/>
      <w:r w:rsidRPr="003875F5">
        <w:rPr>
          <w:rFonts w:ascii="Times New Roman" w:hAnsi="Times New Roman" w:cs="Times New Roman"/>
          <w:i/>
          <w:sz w:val="24"/>
          <w:szCs w:val="24"/>
          <w:lang w:val="en-US"/>
        </w:rPr>
        <w:t>nonres</w:t>
      </w:r>
      <w:proofErr w:type="spellEnd"/>
      <w:r w:rsidRPr="003875F5">
        <w:rPr>
          <w:rFonts w:ascii="Times New Roman" w:hAnsi="Times New Roman" w:cs="Times New Roman"/>
          <w:i/>
          <w:sz w:val="24"/>
          <w:szCs w:val="24"/>
          <w:lang w:val="en-US"/>
        </w:rPr>
        <w:t xml:space="preserve">. </w:t>
      </w:r>
      <w:proofErr w:type="gramStart"/>
      <w:r w:rsidRPr="003875F5">
        <w:rPr>
          <w:rFonts w:ascii="Times New Roman" w:hAnsi="Times New Roman" w:cs="Times New Roman"/>
          <w:i/>
          <w:sz w:val="24"/>
          <w:szCs w:val="24"/>
          <w:lang w:val="en-US"/>
        </w:rPr>
        <w:t>are</w:t>
      </w:r>
      <w:proofErr w:type="gramEnd"/>
      <w:r w:rsidRPr="003875F5">
        <w:rPr>
          <w:rFonts w:ascii="Times New Roman" w:hAnsi="Times New Roman" w:cs="Times New Roman"/>
          <w:i/>
          <w:sz w:val="24"/>
          <w:szCs w:val="24"/>
          <w:lang w:val="en-US"/>
        </w:rPr>
        <w:t xml:space="preserve"> now treated mostly in the same way.</w:t>
      </w:r>
      <w:r w:rsidRPr="003875F5">
        <w:rPr>
          <w:rFonts w:ascii="Times New Roman" w:hAnsi="Times New Roman" w:cs="Times New Roman"/>
          <w:sz w:val="24"/>
          <w:szCs w:val="24"/>
          <w:lang w:val="en-US"/>
        </w:rPr>
        <w:t>”</w:t>
      </w:r>
    </w:p>
    <w:p w:rsidR="001D05EB" w:rsidRPr="003875F5" w:rsidRDefault="001D05EB" w:rsidP="00A969EA">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2005-2012 “</w:t>
      </w:r>
      <w:r w:rsidRPr="003875F5">
        <w:rPr>
          <w:rFonts w:ascii="Times New Roman" w:hAnsi="Times New Roman" w:cs="Times New Roman"/>
          <w:i/>
          <w:sz w:val="24"/>
          <w:szCs w:val="24"/>
          <w:lang w:val="en-US"/>
        </w:rPr>
        <w:t>Controls apply to the purchase of or swap operations in instruments and claims issued by or contracted with nonresidents if these assets are to form more than 20% of the cover of the technical reserves of an insurance company or of the assets representative of the liabilities of a private pension fund</w:t>
      </w:r>
      <w:r w:rsidRPr="003875F5">
        <w:rPr>
          <w:rFonts w:ascii="Times New Roman" w:hAnsi="Times New Roman" w:cs="Times New Roman"/>
          <w:sz w:val="24"/>
          <w:szCs w:val="24"/>
          <w:lang w:val="en-US"/>
        </w:rPr>
        <w:t>.” Although the narrative changes throughout the years, there is always some form of control for pension funds.</w:t>
      </w:r>
      <w:r w:rsidR="0003004A" w:rsidRPr="003875F5">
        <w:rPr>
          <w:rFonts w:ascii="Times New Roman" w:hAnsi="Times New Roman" w:cs="Times New Roman"/>
          <w:sz w:val="24"/>
          <w:szCs w:val="24"/>
          <w:lang w:val="en-US"/>
        </w:rPr>
        <w:t xml:space="preserve"> Hence, it is considered as a control.</w:t>
      </w:r>
    </w:p>
    <w:p w:rsidR="008E7B32" w:rsidRPr="003875F5" w:rsidRDefault="008E7B32" w:rsidP="00B252C6">
      <w:pPr>
        <w:pStyle w:val="Estilo2"/>
      </w:pPr>
      <w:bookmarkStart w:id="76" w:name="_Toc402472375"/>
      <w:r w:rsidRPr="003875F5">
        <w:t>Tanzania</w:t>
      </w:r>
      <w:bookmarkEnd w:id="76"/>
    </w:p>
    <w:p w:rsidR="008E7B32" w:rsidRPr="003875F5" w:rsidRDefault="00977841"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A</w:t>
      </w:r>
      <w:r w:rsidR="008E7B32" w:rsidRPr="003875F5">
        <w:rPr>
          <w:rFonts w:ascii="Times New Roman" w:hAnsi="Times New Roman" w:cs="Times New Roman"/>
          <w:sz w:val="24"/>
          <w:szCs w:val="24"/>
          <w:lang w:val="en-US"/>
        </w:rPr>
        <w:t>n auditing requirement</w:t>
      </w:r>
      <w:r w:rsidRPr="003875F5">
        <w:rPr>
          <w:rFonts w:ascii="Times New Roman" w:hAnsi="Times New Roman" w:cs="Times New Roman"/>
          <w:sz w:val="24"/>
          <w:szCs w:val="24"/>
          <w:lang w:val="en-US"/>
        </w:rPr>
        <w:t xml:space="preserve"> is not considered as a control.</w:t>
      </w:r>
      <w:r w:rsidR="003940B8" w:rsidRPr="003875F5">
        <w:rPr>
          <w:rFonts w:ascii="Times New Roman" w:hAnsi="Times New Roman" w:cs="Times New Roman"/>
          <w:sz w:val="24"/>
          <w:szCs w:val="24"/>
          <w:lang w:val="en-US"/>
        </w:rPr>
        <w:t xml:space="preserve"> We think it is just a formality.</w:t>
      </w:r>
      <w:r w:rsidR="008E7B32" w:rsidRPr="003875F5">
        <w:rPr>
          <w:rFonts w:ascii="Times New Roman" w:hAnsi="Times New Roman" w:cs="Times New Roman"/>
          <w:sz w:val="24"/>
          <w:szCs w:val="24"/>
          <w:lang w:val="en-US"/>
        </w:rPr>
        <w:t xml:space="preserve"> Consider: “</w:t>
      </w:r>
      <w:r w:rsidR="008E7B32" w:rsidRPr="003875F5">
        <w:rPr>
          <w:rFonts w:ascii="Times New Roman" w:hAnsi="Times New Roman" w:cs="Times New Roman"/>
          <w:i/>
          <w:sz w:val="24"/>
          <w:szCs w:val="24"/>
          <w:lang w:val="en-US"/>
        </w:rPr>
        <w:t>Repatriation of capital and associated income is done through commercial banks on presentation of audited accounts indicating declared dividends, profits, or capital to be repatriated, plus authenticated documents from the Tanzania Revenue Authority confirming payment of relevant taxes on the transactions.</w:t>
      </w:r>
      <w:r w:rsidR="008E7B32" w:rsidRPr="003875F5">
        <w:rPr>
          <w:rFonts w:ascii="Times New Roman" w:hAnsi="Times New Roman" w:cs="Times New Roman"/>
          <w:sz w:val="24"/>
          <w:szCs w:val="24"/>
          <w:lang w:val="en-US"/>
        </w:rPr>
        <w:t xml:space="preserve">” The </w:t>
      </w:r>
      <w:r w:rsidR="003940B8" w:rsidRPr="003875F5">
        <w:rPr>
          <w:rFonts w:ascii="Times New Roman" w:hAnsi="Times New Roman" w:cs="Times New Roman"/>
          <w:sz w:val="24"/>
          <w:szCs w:val="24"/>
          <w:lang w:val="en-US"/>
        </w:rPr>
        <w:t>foregoing</w:t>
      </w:r>
      <w:r w:rsidR="008E7B32" w:rsidRPr="003875F5">
        <w:rPr>
          <w:rFonts w:ascii="Times New Roman" w:hAnsi="Times New Roman" w:cs="Times New Roman"/>
          <w:sz w:val="24"/>
          <w:szCs w:val="24"/>
          <w:lang w:val="en-US"/>
        </w:rPr>
        <w:t xml:space="preserve"> is present in </w:t>
      </w:r>
      <w:proofErr w:type="spellStart"/>
      <w:r w:rsidR="008E7B32" w:rsidRPr="003875F5">
        <w:rPr>
          <w:rFonts w:ascii="Times New Roman" w:hAnsi="Times New Roman" w:cs="Times New Roman"/>
          <w:sz w:val="24"/>
          <w:szCs w:val="24"/>
          <w:lang w:val="en-US"/>
        </w:rPr>
        <w:t>ldi</w:t>
      </w:r>
      <w:proofErr w:type="spellEnd"/>
      <w:r w:rsidR="008E7B32" w:rsidRPr="003875F5">
        <w:rPr>
          <w:rFonts w:ascii="Times New Roman" w:hAnsi="Times New Roman" w:cs="Times New Roman"/>
          <w:sz w:val="24"/>
          <w:szCs w:val="24"/>
          <w:lang w:val="en-US"/>
        </w:rPr>
        <w:t xml:space="preserve"> fo</w:t>
      </w:r>
      <w:r w:rsidR="00064CBA">
        <w:rPr>
          <w:rFonts w:ascii="Times New Roman" w:hAnsi="Times New Roman" w:cs="Times New Roman"/>
          <w:sz w:val="24"/>
          <w:szCs w:val="24"/>
          <w:lang w:val="en-US"/>
        </w:rPr>
        <w:t>r 1995-2013</w:t>
      </w:r>
      <w:r w:rsidR="008E7B32" w:rsidRPr="003875F5">
        <w:rPr>
          <w:rFonts w:ascii="Times New Roman" w:hAnsi="Times New Roman" w:cs="Times New Roman"/>
          <w:sz w:val="24"/>
          <w:szCs w:val="24"/>
          <w:lang w:val="en-US"/>
        </w:rPr>
        <w:t>.</w:t>
      </w:r>
    </w:p>
    <w:p w:rsidR="00FD4B95" w:rsidRPr="003875F5" w:rsidRDefault="0088756F" w:rsidP="0088756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2009-2012: “</w:t>
      </w:r>
      <w:r w:rsidRPr="003875F5">
        <w:rPr>
          <w:rFonts w:ascii="Times New Roman" w:hAnsi="Times New Roman" w:cs="Times New Roman"/>
          <w:i/>
          <w:sz w:val="24"/>
          <w:szCs w:val="24"/>
          <w:lang w:val="en-US"/>
        </w:rPr>
        <w:t>There is no derivatives market in Tanzania</w:t>
      </w:r>
      <w:r w:rsidRPr="003875F5">
        <w:rPr>
          <w:rFonts w:ascii="Times New Roman" w:hAnsi="Times New Roman" w:cs="Times New Roman"/>
          <w:sz w:val="24"/>
          <w:szCs w:val="24"/>
          <w:lang w:val="en-US"/>
        </w:rPr>
        <w:t>.</w:t>
      </w:r>
      <w:r w:rsidR="00FD4B95" w:rsidRPr="003875F5">
        <w:rPr>
          <w:rFonts w:ascii="Times New Roman" w:hAnsi="Times New Roman" w:cs="Times New Roman"/>
          <w:sz w:val="24"/>
          <w:szCs w:val="24"/>
          <w:lang w:val="en-US"/>
        </w:rPr>
        <w:t>” Subcategories were</w:t>
      </w:r>
      <w:r w:rsidRPr="003875F5">
        <w:rPr>
          <w:rFonts w:ascii="Times New Roman" w:hAnsi="Times New Roman" w:cs="Times New Roman"/>
          <w:sz w:val="24"/>
          <w:szCs w:val="24"/>
          <w:lang w:val="en-US"/>
        </w:rPr>
        <w:t xml:space="preserve"> coded in accordance with rule 3(i</w:t>
      </w:r>
      <w:r w:rsidR="00FD4B95" w:rsidRPr="003875F5">
        <w:rPr>
          <w:rFonts w:ascii="Times New Roman" w:hAnsi="Times New Roman" w:cs="Times New Roman"/>
          <w:sz w:val="24"/>
          <w:szCs w:val="24"/>
          <w:lang w:val="en-US"/>
        </w:rPr>
        <w:t>i</w:t>
      </w:r>
      <w:r w:rsidRPr="003875F5">
        <w:rPr>
          <w:rFonts w:ascii="Times New Roman" w:hAnsi="Times New Roman" w:cs="Times New Roman"/>
          <w:sz w:val="24"/>
          <w:szCs w:val="24"/>
          <w:lang w:val="en-US"/>
        </w:rPr>
        <w:t>)</w:t>
      </w:r>
      <w:r w:rsidR="00FD4B95" w:rsidRPr="003875F5">
        <w:rPr>
          <w:rFonts w:ascii="Times New Roman" w:hAnsi="Times New Roman" w:cs="Times New Roman"/>
          <w:sz w:val="24"/>
          <w:szCs w:val="24"/>
          <w:lang w:val="en-US"/>
        </w:rPr>
        <w:t xml:space="preserve"> –see below-</w:t>
      </w:r>
      <w:r w:rsidRPr="003875F5">
        <w:rPr>
          <w:rFonts w:ascii="Times New Roman" w:hAnsi="Times New Roman" w:cs="Times New Roman"/>
          <w:sz w:val="24"/>
          <w:szCs w:val="24"/>
          <w:lang w:val="en-US"/>
        </w:rPr>
        <w:t>.</w:t>
      </w:r>
    </w:p>
    <w:p w:rsidR="00FD4B95" w:rsidRPr="003875F5" w:rsidRDefault="00FD4B95" w:rsidP="0088756F">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w:t>
      </w:r>
      <w:proofErr w:type="spellStart"/>
      <w:r w:rsidRPr="003875F5">
        <w:rPr>
          <w:rFonts w:ascii="Times New Roman" w:hAnsi="Times New Roman" w:cs="Times New Roman"/>
          <w:sz w:val="24"/>
          <w:szCs w:val="24"/>
          <w:lang w:val="en-US"/>
        </w:rPr>
        <w:t>de_siln</w:t>
      </w:r>
      <w:proofErr w:type="spellEnd"/>
      <w:r w:rsidRPr="003875F5">
        <w:rPr>
          <w:rFonts w:ascii="Times New Roman" w:hAnsi="Times New Roman" w:cs="Times New Roman"/>
          <w:sz w:val="24"/>
          <w:szCs w:val="24"/>
          <w:lang w:val="en-US"/>
        </w:rPr>
        <w:t xml:space="preserve"> and </w:t>
      </w:r>
      <w:proofErr w:type="spellStart"/>
      <w:r w:rsidRPr="003875F5">
        <w:rPr>
          <w:rFonts w:ascii="Times New Roman" w:hAnsi="Times New Roman" w:cs="Times New Roman"/>
          <w:sz w:val="24"/>
          <w:szCs w:val="24"/>
          <w:lang w:val="en-US"/>
        </w:rPr>
        <w:t>de_siar</w:t>
      </w:r>
      <w:proofErr w:type="spellEnd"/>
      <w:r w:rsidRPr="003875F5">
        <w:rPr>
          <w:rFonts w:ascii="Times New Roman" w:hAnsi="Times New Roman" w:cs="Times New Roman"/>
          <w:sz w:val="24"/>
          <w:szCs w:val="24"/>
          <w:lang w:val="en-US"/>
        </w:rPr>
        <w:t xml:space="preserve"> 2009: “</w:t>
      </w:r>
      <w:r w:rsidRPr="003875F5">
        <w:rPr>
          <w:rFonts w:ascii="Times New Roman" w:hAnsi="Times New Roman" w:cs="Times New Roman"/>
          <w:i/>
          <w:sz w:val="24"/>
          <w:szCs w:val="24"/>
          <w:lang w:val="en-US"/>
        </w:rPr>
        <w:t>These transactions are not allowed</w:t>
      </w:r>
      <w:r w:rsidRPr="003875F5">
        <w:rPr>
          <w:rFonts w:ascii="Times New Roman" w:hAnsi="Times New Roman" w:cs="Times New Roman"/>
          <w:sz w:val="24"/>
          <w:szCs w:val="24"/>
          <w:lang w:val="en-US"/>
        </w:rPr>
        <w:t>.”</w:t>
      </w:r>
    </w:p>
    <w:p w:rsidR="0088756F" w:rsidRPr="003875F5" w:rsidRDefault="00FD4B95" w:rsidP="00B3630A">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de_pabr</w:t>
      </w:r>
      <w:proofErr w:type="spellEnd"/>
      <w:r w:rsidRPr="003875F5">
        <w:rPr>
          <w:rFonts w:ascii="Times New Roman" w:hAnsi="Times New Roman" w:cs="Times New Roman"/>
          <w:sz w:val="24"/>
          <w:szCs w:val="24"/>
          <w:lang w:val="en-US"/>
        </w:rPr>
        <w:t xml:space="preserve"> 2009: “</w:t>
      </w:r>
      <w:r w:rsidRPr="001B362F">
        <w:rPr>
          <w:rFonts w:ascii="Times New Roman" w:hAnsi="Times New Roman" w:cs="Times New Roman"/>
          <w:i/>
          <w:sz w:val="24"/>
          <w:szCs w:val="24"/>
          <w:lang w:val="en-US"/>
        </w:rPr>
        <w:t>These purchases are allowed only if funded fully by external sources and must be reported to the BOT for statistical purposes</w:t>
      </w:r>
      <w:r w:rsidRPr="003875F5">
        <w:rPr>
          <w:rFonts w:ascii="Times New Roman" w:hAnsi="Times New Roman" w:cs="Times New Roman"/>
          <w:sz w:val="24"/>
          <w:szCs w:val="24"/>
          <w:lang w:val="en-US"/>
        </w:rPr>
        <w:t>.”</w:t>
      </w:r>
      <w:r w:rsidR="001B362F">
        <w:rPr>
          <w:rFonts w:ascii="Times New Roman" w:hAnsi="Times New Roman" w:cs="Times New Roman"/>
          <w:sz w:val="24"/>
          <w:szCs w:val="24"/>
          <w:lang w:val="en-US"/>
        </w:rPr>
        <w:t xml:space="preserve"> These are considered to be controls.</w:t>
      </w:r>
    </w:p>
    <w:p w:rsidR="00811E0E" w:rsidRPr="003875F5" w:rsidRDefault="00671F81" w:rsidP="00B252C6">
      <w:pPr>
        <w:pStyle w:val="Estilo2"/>
      </w:pPr>
      <w:bookmarkStart w:id="77" w:name="_Toc402472376"/>
      <w:r w:rsidRPr="003875F5">
        <w:t>Thailand</w:t>
      </w:r>
      <w:bookmarkEnd w:id="77"/>
    </w:p>
    <w:p w:rsidR="008141D9" w:rsidRPr="003875F5" w:rsidRDefault="008141D9" w:rsidP="008141D9">
      <w:pPr>
        <w:pStyle w:val="Prrafodelista"/>
        <w:numPr>
          <w:ilvl w:val="2"/>
          <w:numId w:val="2"/>
        </w:numPr>
        <w:spacing w:line="240" w:lineRule="auto"/>
        <w:jc w:val="both"/>
        <w:rPr>
          <w:rFonts w:ascii="Times New Roman" w:hAnsi="Times New Roman" w:cs="Times New Roman"/>
          <w:i/>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in 1996-2012: “</w:t>
      </w:r>
      <w:r w:rsidRPr="003875F5">
        <w:rPr>
          <w:rFonts w:ascii="Times New Roman" w:hAnsi="Times New Roman" w:cs="Times New Roman"/>
          <w:i/>
          <w:sz w:val="24"/>
          <w:szCs w:val="24"/>
          <w:lang w:val="en-US"/>
        </w:rPr>
        <w:t>Nonresidents are allowed to purchase shares. However, foreign equity participation may be limited to various thresholds if a company engaged in business is subject to the provisions of the Foreign Business Act or other laws. Investment exceeding such thresholds may be made by holding nonvoting depository receipts.</w:t>
      </w:r>
    </w:p>
    <w:p w:rsidR="008141D9" w:rsidRPr="003875F5" w:rsidRDefault="008141D9" w:rsidP="008141D9">
      <w:pPr>
        <w:pStyle w:val="Prrafodelista"/>
        <w:spacing w:line="240" w:lineRule="auto"/>
        <w:ind w:left="2160"/>
        <w:jc w:val="both"/>
        <w:rPr>
          <w:rFonts w:ascii="Times New Roman" w:hAnsi="Times New Roman" w:cs="Times New Roman"/>
          <w:i/>
          <w:sz w:val="24"/>
          <w:szCs w:val="24"/>
          <w:lang w:val="en-US"/>
        </w:rPr>
      </w:pPr>
      <w:r w:rsidRPr="003875F5">
        <w:rPr>
          <w:rFonts w:ascii="Times New Roman" w:hAnsi="Times New Roman" w:cs="Times New Roman"/>
          <w:i/>
          <w:sz w:val="24"/>
          <w:szCs w:val="24"/>
          <w:lang w:val="en-US"/>
        </w:rPr>
        <w:lastRenderedPageBreak/>
        <w:t>Financial institutions’ foreign equity participation is limited to 25% of the total shares sold in locally incorporated banks, finance companies, and credit finance companies. The combined holdings of individuals and their family members may not exceed 5% of a bank’s total shares and 10% of those of finance companies and land banks. Foreign investors may hold more than 49% of the total shares sold in local financial institutions for up to 10 years, after which the amount of shares will be grandfathered and the nonresidents will not be allowed to purchase new shares until their percentage of shares falls to 49%. Foreign equity participation is limited to 49% for other Thai corporations. Holdings exceeding this limit are subject to BOT approval.</w:t>
      </w:r>
    </w:p>
    <w:p w:rsidR="008141D9" w:rsidRPr="003875F5" w:rsidRDefault="008141D9" w:rsidP="008141D9">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i/>
          <w:sz w:val="24"/>
          <w:szCs w:val="24"/>
          <w:lang w:val="en-US"/>
        </w:rPr>
        <w:t>For securities companies, foreign equity participation depends on the type of securities business. In brokerage businesses, foreign equity participation is allowed up to 100%. In other types of securities businesses, foreign equity participation exceeding 49% requires MOC approval.</w:t>
      </w:r>
      <w:r w:rsidRPr="003875F5">
        <w:rPr>
          <w:rFonts w:ascii="Times New Roman" w:hAnsi="Times New Roman" w:cs="Times New Roman"/>
          <w:sz w:val="24"/>
          <w:szCs w:val="24"/>
          <w:lang w:val="en-US"/>
        </w:rPr>
        <w:t>” This is considered to be a control because there is an approval requirement and there is a ceiling that applies for foreign participation.</w:t>
      </w:r>
    </w:p>
    <w:p w:rsidR="00FD7EC2" w:rsidRPr="003875F5" w:rsidRDefault="00FD7EC2" w:rsidP="000A121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For dii in 2006 and 2007 we coded it as controls because of the presence of a requirement to “surrender proceeds to authorized financial institutions” which we deem as a control given that the number of authorized institutions may be small and that in the end it is a constraint for the individual who sold the asset as it may potentially face low yields in these institutions.</w:t>
      </w:r>
    </w:p>
    <w:p w:rsidR="00FD7EC2" w:rsidRPr="003875F5" w:rsidRDefault="00FD7EC2" w:rsidP="000A121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in 2010 and 2011 we decided to make it as controls given that they talk about quantity restrictions for FDI to affiliated or non-affiliated companies. </w:t>
      </w:r>
    </w:p>
    <w:p w:rsidR="0090013C" w:rsidRPr="003875F5" w:rsidRDefault="0090013C" w:rsidP="00B252C6">
      <w:pPr>
        <w:pStyle w:val="Estilo2"/>
      </w:pPr>
      <w:bookmarkStart w:id="78" w:name="_Toc402472377"/>
      <w:r w:rsidRPr="003875F5">
        <w:t>Togo</w:t>
      </w:r>
      <w:bookmarkEnd w:id="78"/>
    </w:p>
    <w:p w:rsidR="0090013C" w:rsidRPr="003875F5" w:rsidRDefault="00AC0210"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eq_siar</w:t>
      </w:r>
      <w:proofErr w:type="spellEnd"/>
      <w:r w:rsidRPr="003875F5">
        <w:rPr>
          <w:rFonts w:ascii="Times New Roman" w:hAnsi="Times New Roman" w:cs="Times New Roman"/>
          <w:sz w:val="24"/>
          <w:szCs w:val="24"/>
          <w:lang w:val="en-US"/>
        </w:rPr>
        <w:t xml:space="preserve"> and </w:t>
      </w:r>
      <w:proofErr w:type="spellStart"/>
      <w:r w:rsidR="0090013C" w:rsidRPr="003875F5">
        <w:rPr>
          <w:rFonts w:ascii="Times New Roman" w:hAnsi="Times New Roman" w:cs="Times New Roman"/>
          <w:sz w:val="24"/>
          <w:szCs w:val="24"/>
          <w:lang w:val="en-US"/>
        </w:rPr>
        <w:t>mm_siar</w:t>
      </w:r>
      <w:proofErr w:type="spellEnd"/>
      <w:r w:rsidR="0090013C" w:rsidRPr="003875F5">
        <w:rPr>
          <w:rFonts w:ascii="Times New Roman" w:hAnsi="Times New Roman" w:cs="Times New Roman"/>
          <w:sz w:val="24"/>
          <w:szCs w:val="24"/>
          <w:lang w:val="en-US"/>
        </w:rPr>
        <w:t xml:space="preserve"> (2006-201</w:t>
      </w:r>
      <w:r w:rsidR="00AC69EE">
        <w:rPr>
          <w:rFonts w:ascii="Times New Roman" w:hAnsi="Times New Roman" w:cs="Times New Roman"/>
          <w:sz w:val="24"/>
          <w:szCs w:val="24"/>
          <w:lang w:val="en-US"/>
        </w:rPr>
        <w:t>3</w:t>
      </w:r>
      <w:r w:rsidR="0090013C"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t>the following is not considered a control</w:t>
      </w:r>
      <w:r w:rsidR="0090013C" w:rsidRPr="003875F5">
        <w:rPr>
          <w:rFonts w:ascii="Times New Roman" w:hAnsi="Times New Roman" w:cs="Times New Roman"/>
          <w:sz w:val="24"/>
          <w:szCs w:val="24"/>
          <w:lang w:val="en-US"/>
        </w:rPr>
        <w:t>: “</w:t>
      </w:r>
      <w:r w:rsidR="0090013C" w:rsidRPr="003875F5">
        <w:rPr>
          <w:rFonts w:ascii="Times New Roman" w:hAnsi="Times New Roman" w:cs="Times New Roman"/>
          <w:i/>
          <w:sz w:val="24"/>
          <w:szCs w:val="24"/>
          <w:lang w:val="en-US"/>
        </w:rPr>
        <w:t>Residents may sell local corporate securities abroad. If these operations result in foreign control of domestic establishments, foreign investors are required to make a declaration to the MEF. The sale of securities to liquidate an investment abroad is subject to declaration to the MEF for statistical purposes. Residents may also issue securities abroad, except for those constituting a loan</w:t>
      </w:r>
      <w:r w:rsidR="0090013C" w:rsidRPr="003875F5">
        <w:rPr>
          <w:rFonts w:ascii="Times New Roman" w:hAnsi="Times New Roman" w:cs="Times New Roman"/>
          <w:sz w:val="24"/>
          <w:szCs w:val="24"/>
          <w:lang w:val="en-US"/>
        </w:rPr>
        <w:t>.”</w:t>
      </w:r>
    </w:p>
    <w:p w:rsidR="008E7B32" w:rsidRPr="003875F5" w:rsidRDefault="008E7B32"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xml:space="preserve">: Idem as </w:t>
      </w:r>
      <w:r w:rsidR="00EF3AFE" w:rsidRPr="003875F5">
        <w:rPr>
          <w:rFonts w:ascii="Times New Roman" w:hAnsi="Times New Roman" w:cs="Times New Roman"/>
          <w:sz w:val="24"/>
          <w:szCs w:val="24"/>
          <w:lang w:val="en-US"/>
        </w:rPr>
        <w:t xml:space="preserve">Burkina </w:t>
      </w:r>
      <w:r w:rsidR="00AC0210" w:rsidRPr="003875F5">
        <w:rPr>
          <w:rFonts w:ascii="Times New Roman" w:hAnsi="Times New Roman" w:cs="Times New Roman"/>
          <w:sz w:val="24"/>
          <w:szCs w:val="24"/>
          <w:lang w:val="en-US"/>
        </w:rPr>
        <w:t>Faso and Côte d’Ivoire for: 2006</w:t>
      </w:r>
      <w:r w:rsidR="00EF3AFE" w:rsidRPr="003875F5">
        <w:rPr>
          <w:rFonts w:ascii="Times New Roman" w:hAnsi="Times New Roman" w:cs="Times New Roman"/>
          <w:sz w:val="24"/>
          <w:szCs w:val="24"/>
          <w:lang w:val="en-US"/>
        </w:rPr>
        <w:t>-2012.</w:t>
      </w:r>
    </w:p>
    <w:p w:rsidR="00362517" w:rsidRDefault="00362517" w:rsidP="0036251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fci</w:t>
      </w:r>
      <w:proofErr w:type="spellEnd"/>
      <w:r w:rsidRPr="003875F5">
        <w:rPr>
          <w:rFonts w:ascii="Times New Roman" w:hAnsi="Times New Roman" w:cs="Times New Roman"/>
          <w:sz w:val="24"/>
          <w:szCs w:val="24"/>
          <w:lang w:val="en-US"/>
        </w:rPr>
        <w:t xml:space="preserve"> 2005</w:t>
      </w:r>
      <w:r w:rsidR="000A0541"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are no controls on these credits, but they must be reported for statistical purposes. The necessary funds must be transferred from abroad through an authorized agent. There are no controls on repayments of loans, provided the authorized agent handling the settlement is furnished with documentation attesting to the validity of the transaction.</w:t>
      </w:r>
      <w:r w:rsidRPr="003875F5">
        <w:rPr>
          <w:rFonts w:ascii="Times New Roman" w:hAnsi="Times New Roman" w:cs="Times New Roman"/>
          <w:sz w:val="24"/>
          <w:szCs w:val="24"/>
          <w:lang w:val="en-US"/>
        </w:rPr>
        <w:t>”</w:t>
      </w:r>
      <w:r w:rsidR="00367A10" w:rsidRPr="003875F5">
        <w:rPr>
          <w:rFonts w:ascii="Times New Roman" w:hAnsi="Times New Roman" w:cs="Times New Roman"/>
          <w:sz w:val="24"/>
          <w:szCs w:val="24"/>
          <w:lang w:val="en-US"/>
        </w:rPr>
        <w:t xml:space="preserve"> </w:t>
      </w:r>
      <w:r w:rsidR="000A0541" w:rsidRPr="003875F5">
        <w:rPr>
          <w:rFonts w:ascii="Times New Roman" w:hAnsi="Times New Roman" w:cs="Times New Roman"/>
          <w:sz w:val="24"/>
          <w:szCs w:val="24"/>
          <w:lang w:val="en-US"/>
        </w:rPr>
        <w:t>We consider that the requirement of having an</w:t>
      </w:r>
      <w:r w:rsidR="00367A10" w:rsidRPr="003875F5">
        <w:rPr>
          <w:rFonts w:ascii="Times New Roman" w:hAnsi="Times New Roman" w:cs="Times New Roman"/>
          <w:sz w:val="24"/>
          <w:szCs w:val="24"/>
          <w:lang w:val="en-US"/>
        </w:rPr>
        <w:t xml:space="preserve"> “authorized agent”</w:t>
      </w:r>
      <w:r w:rsidR="000A0541" w:rsidRPr="003875F5">
        <w:rPr>
          <w:rFonts w:ascii="Times New Roman" w:hAnsi="Times New Roman" w:cs="Times New Roman"/>
          <w:sz w:val="24"/>
          <w:szCs w:val="24"/>
          <w:lang w:val="en-US"/>
        </w:rPr>
        <w:t xml:space="preserve"> is a restriction.</w:t>
      </w:r>
    </w:p>
    <w:p w:rsidR="00BD7743" w:rsidRPr="00BD7743" w:rsidRDefault="00BD7743" w:rsidP="00BD7743">
      <w:pPr>
        <w:pStyle w:val="Prrafodelista"/>
        <w:numPr>
          <w:ilvl w:val="2"/>
          <w:numId w:val="2"/>
        </w:numPr>
        <w:spacing w:line="240" w:lineRule="auto"/>
        <w:jc w:val="both"/>
        <w:rPr>
          <w:rFonts w:ascii="Times New Roman" w:hAnsi="Times New Roman" w:cs="Times New Roman"/>
          <w:color w:val="00B050"/>
          <w:sz w:val="24"/>
          <w:szCs w:val="24"/>
          <w:lang w:val="en-US"/>
        </w:rPr>
      </w:pPr>
      <w:r w:rsidRPr="00BD7743">
        <w:rPr>
          <w:rFonts w:ascii="Times New Roman" w:hAnsi="Times New Roman" w:cs="Times New Roman"/>
          <w:color w:val="00B050"/>
          <w:sz w:val="24"/>
          <w:szCs w:val="24"/>
          <w:lang w:val="en-US"/>
        </w:rPr>
        <w:lastRenderedPageBreak/>
        <w:t xml:space="preserve">In </w:t>
      </w:r>
      <w:proofErr w:type="spellStart"/>
      <w:r w:rsidRPr="00BD7743">
        <w:rPr>
          <w:rFonts w:ascii="Times New Roman" w:hAnsi="Times New Roman" w:cs="Times New Roman"/>
          <w:color w:val="00B050"/>
          <w:sz w:val="24"/>
          <w:szCs w:val="24"/>
          <w:lang w:val="en-US"/>
        </w:rPr>
        <w:t>bo_plbn</w:t>
      </w:r>
      <w:proofErr w:type="spellEnd"/>
      <w:r w:rsidR="00B235A4">
        <w:rPr>
          <w:rFonts w:ascii="Times New Roman" w:hAnsi="Times New Roman" w:cs="Times New Roman"/>
          <w:color w:val="00B050"/>
          <w:sz w:val="24"/>
          <w:szCs w:val="24"/>
          <w:lang w:val="en-US"/>
        </w:rPr>
        <w:t xml:space="preserve"> and </w:t>
      </w:r>
      <w:proofErr w:type="spellStart"/>
      <w:r w:rsidR="00B235A4">
        <w:rPr>
          <w:rFonts w:ascii="Times New Roman" w:hAnsi="Times New Roman" w:cs="Times New Roman"/>
          <w:color w:val="00B050"/>
          <w:sz w:val="24"/>
          <w:szCs w:val="24"/>
          <w:lang w:val="en-US"/>
        </w:rPr>
        <w:t>ci_plbn</w:t>
      </w:r>
      <w:proofErr w:type="spellEnd"/>
      <w:r w:rsidRPr="00BD7743">
        <w:rPr>
          <w:rFonts w:ascii="Times New Roman" w:hAnsi="Times New Roman" w:cs="Times New Roman"/>
          <w:color w:val="00B050"/>
          <w:sz w:val="24"/>
          <w:szCs w:val="24"/>
          <w:lang w:val="en-US"/>
        </w:rPr>
        <w:t xml:space="preserve"> 2013 (not 2012): “</w:t>
      </w:r>
      <w:r w:rsidRPr="00BD7743">
        <w:rPr>
          <w:rFonts w:ascii="Times New Roman" w:hAnsi="Times New Roman" w:cs="Times New Roman"/>
          <w:i/>
          <w:color w:val="00B050"/>
          <w:sz w:val="24"/>
          <w:szCs w:val="24"/>
          <w:lang w:val="en-US"/>
        </w:rPr>
        <w:t>These purchases are subject to declaration to the MOF for statistical purposes. There are no controls on the sale of securities resulting from the divestiture of investment in the form of a transfer between a nonresident and a resident, but such sales are subject to the regulations governing the financial settlement of the operation.</w:t>
      </w:r>
      <w:r w:rsidRPr="00BD7743">
        <w:rPr>
          <w:rFonts w:ascii="Times New Roman" w:hAnsi="Times New Roman" w:cs="Times New Roman"/>
          <w:color w:val="00B050"/>
          <w:sz w:val="24"/>
          <w:szCs w:val="24"/>
          <w:lang w:val="en-US"/>
        </w:rPr>
        <w:t>” I coded with zero.</w:t>
      </w:r>
    </w:p>
    <w:p w:rsidR="00301BA0" w:rsidRPr="003875F5" w:rsidRDefault="00301BA0" w:rsidP="00B252C6">
      <w:pPr>
        <w:pStyle w:val="Estilo2"/>
      </w:pPr>
      <w:bookmarkStart w:id="79" w:name="_Toc402472378"/>
      <w:r w:rsidRPr="003875F5">
        <w:t>Tunisia</w:t>
      </w:r>
      <w:bookmarkEnd w:id="79"/>
    </w:p>
    <w:p w:rsidR="00301BA0" w:rsidRPr="003875F5" w:rsidRDefault="00301BA0" w:rsidP="00301BA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2005: “</w:t>
      </w:r>
      <w:r w:rsidRPr="003875F5">
        <w:rPr>
          <w:rFonts w:ascii="Times New Roman" w:hAnsi="Times New Roman" w:cs="Times New Roman"/>
          <w:i/>
          <w:sz w:val="24"/>
          <w:szCs w:val="24"/>
          <w:lang w:val="en-US"/>
        </w:rPr>
        <w:t>Stocks in existing companies in Tunisia may be acquired freely with foreign exchange transferred from abroad by foreign nonresidents. Effective March 14, 2005, the approval of the High Investment Commission (HIC) is no longer required for the acquisition by foreign nationals of shares with voting rights in these companies. Effective August 31, 2005, this formality is no longer required for the acquisition by foreign nationals of shares with voting rights in existing companies in Tunisia considered as small or medium-size enterprises operating in a sector of activity open to foreign investment at the time of establishment, in accordance with the regulation in force. Previously, the acquisition by foreign nationals of stocks with voting rights was subject to approval by the HIC, if the ratio of foreign equity participation, including the new acquisition, was equal to or exceeded 50%, irrespective of whether or not the companies were listed on the stock exchange. Approval was not required from the HIC for acquisitions of securities entailing voting rights in existing companies in Tunisia (1) between shareholders in the same company who are foreign nationals, (2) by nonresident individuals or legal entities established in Tunisia that have already been acquired without exceeding the limit of 50% or more, and (3) provided as a guarantee for management activities of foreign directors in these companies</w:t>
      </w:r>
      <w:r w:rsidRPr="003875F5">
        <w:rPr>
          <w:rFonts w:ascii="Times New Roman" w:hAnsi="Times New Roman" w:cs="Times New Roman"/>
          <w:sz w:val="24"/>
          <w:szCs w:val="24"/>
          <w:lang w:val="en-US"/>
        </w:rPr>
        <w:t>” It is not clear what controls apply after August 31, 2005.</w:t>
      </w:r>
    </w:p>
    <w:p w:rsidR="00D677A1" w:rsidRPr="003875F5" w:rsidRDefault="001A5DB6" w:rsidP="00D677A1">
      <w:pPr>
        <w:pStyle w:val="Prrafodelista"/>
        <w:spacing w:line="240" w:lineRule="auto"/>
        <w:ind w:left="2160"/>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The report in</w:t>
      </w:r>
      <w:r w:rsidR="00D677A1" w:rsidRPr="003875F5">
        <w:rPr>
          <w:rFonts w:ascii="Times New Roman" w:hAnsi="Times New Roman" w:cs="Times New Roman"/>
          <w:sz w:val="24"/>
          <w:szCs w:val="24"/>
          <w:lang w:val="en-US"/>
        </w:rPr>
        <w:t xml:space="preserve"> 2006</w:t>
      </w:r>
      <w:r w:rsidRPr="003875F5">
        <w:rPr>
          <w:rFonts w:ascii="Times New Roman" w:hAnsi="Times New Roman" w:cs="Times New Roman"/>
          <w:sz w:val="24"/>
          <w:szCs w:val="24"/>
          <w:lang w:val="en-US"/>
        </w:rPr>
        <w:t xml:space="preserve"> further clarifies</w:t>
      </w:r>
      <w:r w:rsidR="00D677A1" w:rsidRPr="003875F5">
        <w:rPr>
          <w:rFonts w:ascii="Times New Roman" w:hAnsi="Times New Roman" w:cs="Times New Roman"/>
          <w:sz w:val="24"/>
          <w:szCs w:val="24"/>
          <w:lang w:val="en-US"/>
        </w:rPr>
        <w:t>: “</w:t>
      </w:r>
      <w:r w:rsidR="00D677A1" w:rsidRPr="003875F5">
        <w:rPr>
          <w:rFonts w:ascii="Times New Roman" w:hAnsi="Times New Roman" w:cs="Times New Roman"/>
          <w:i/>
          <w:sz w:val="24"/>
          <w:szCs w:val="24"/>
          <w:lang w:val="en-US"/>
        </w:rPr>
        <w:t>Stocks in existing companies in Tunisia may be acquired freely with foreign exchange transferred from abroad by foreign nonresidents. However, the acquisition by foreigners of shares with voting rights is subject to the approval of the HIC if the foreign ownership in the capital of the companies is equal to or more than 50%, except in the case of acquisition among foreigners or acquisition of stock in small or medium-sized enterprises engaged in a sector that is open to foreign investment. The approval of the HIC is not required if the acquisition of shares with voting rights in existing companies in Tunisia is (1) effected among foreign shareholders of the same company; (2) effected by a foreign individual or legal entity, resident or nonresident, or a nonresident legal entity established in Tunisia for shares already acquired up to or more than 50%; and (3) provided as a guarantee for management activities of foreign directors in these companies</w:t>
      </w:r>
      <w:r w:rsidR="00D677A1"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w:t>
      </w:r>
      <w:r w:rsidRPr="003875F5">
        <w:rPr>
          <w:rFonts w:ascii="Times New Roman" w:hAnsi="Times New Roman" w:cs="Times New Roman"/>
          <w:sz w:val="24"/>
          <w:szCs w:val="24"/>
          <w:lang w:val="en-US"/>
        </w:rPr>
        <w:lastRenderedPageBreak/>
        <w:t>Therefore, we conclude that no significant controls were in place in 2005.</w:t>
      </w:r>
    </w:p>
    <w:p w:rsidR="00301BA0" w:rsidRPr="003875F5" w:rsidRDefault="00301BA0" w:rsidP="00301BA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eq_siln</w:t>
      </w:r>
      <w:proofErr w:type="spellEnd"/>
      <w:r w:rsidRPr="003875F5">
        <w:rPr>
          <w:rFonts w:ascii="Times New Roman" w:hAnsi="Times New Roman" w:cs="Times New Roman"/>
          <w:sz w:val="24"/>
          <w:szCs w:val="24"/>
          <w:lang w:val="en-US"/>
        </w:rPr>
        <w:t xml:space="preserve"> </w:t>
      </w:r>
      <w:r w:rsidR="008357B8" w:rsidRPr="003875F5">
        <w:rPr>
          <w:rFonts w:ascii="Times New Roman" w:hAnsi="Times New Roman" w:cs="Times New Roman"/>
          <w:sz w:val="24"/>
          <w:szCs w:val="24"/>
          <w:lang w:val="en-US"/>
        </w:rPr>
        <w:t>1997</w:t>
      </w:r>
      <w:r w:rsidR="00504277"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Nonresidents may sell freely shares of companies established in Tunisia. They may also transfer freely net real proceeds from the sale of shares that were purchased with foreign exchange transferred from abroad for an investment made in accordance with the legislation in force</w:t>
      </w:r>
      <w:r w:rsidRPr="003875F5">
        <w:rPr>
          <w:rFonts w:ascii="Times New Roman" w:hAnsi="Times New Roman" w:cs="Times New Roman"/>
          <w:sz w:val="24"/>
          <w:szCs w:val="24"/>
          <w:lang w:val="en-US"/>
        </w:rPr>
        <w:t xml:space="preserve">” </w:t>
      </w:r>
      <w:r w:rsidR="009F0451" w:rsidRPr="003875F5">
        <w:rPr>
          <w:rFonts w:ascii="Times New Roman" w:hAnsi="Times New Roman" w:cs="Times New Roman"/>
          <w:sz w:val="24"/>
          <w:szCs w:val="24"/>
          <w:lang w:val="en-US"/>
        </w:rPr>
        <w:t>This was considered a control, in consideration to the header, which reads: “There are controls in all transactions in capital and money market instruments”</w:t>
      </w:r>
    </w:p>
    <w:p w:rsidR="00301BA0" w:rsidRPr="003875F5" w:rsidRDefault="00301BA0" w:rsidP="00301BA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ci_siln</w:t>
      </w:r>
      <w:proofErr w:type="spellEnd"/>
      <w:r w:rsidRPr="003875F5">
        <w:rPr>
          <w:rFonts w:ascii="Times New Roman" w:hAnsi="Times New Roman" w:cs="Times New Roman"/>
          <w:sz w:val="24"/>
          <w:szCs w:val="24"/>
          <w:lang w:val="en-US"/>
        </w:rPr>
        <w:t xml:space="preserve"> </w:t>
      </w:r>
      <w:r w:rsidR="008357B8" w:rsidRPr="003875F5">
        <w:rPr>
          <w:rFonts w:ascii="Times New Roman" w:hAnsi="Times New Roman" w:cs="Times New Roman"/>
          <w:sz w:val="24"/>
          <w:szCs w:val="24"/>
          <w:lang w:val="en-US"/>
        </w:rPr>
        <w:t>1996</w:t>
      </w:r>
      <w:r w:rsidR="00504277"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Nonresidents may transfer freely net real proceeds from sales of Tunisian mutual fund shares acquired with foreign exchange transferred from abroad</w:t>
      </w:r>
      <w:r w:rsidRPr="003875F5">
        <w:rPr>
          <w:rFonts w:ascii="Times New Roman" w:hAnsi="Times New Roman" w:cs="Times New Roman"/>
          <w:sz w:val="24"/>
          <w:szCs w:val="24"/>
          <w:lang w:val="en-US"/>
        </w:rPr>
        <w:t>”</w:t>
      </w:r>
      <w:r w:rsidR="00DA45C2" w:rsidRPr="003875F5">
        <w:rPr>
          <w:rFonts w:ascii="Times New Roman" w:hAnsi="Times New Roman" w:cs="Times New Roman"/>
          <w:sz w:val="24"/>
          <w:szCs w:val="24"/>
          <w:lang w:val="en-US"/>
        </w:rPr>
        <w:t xml:space="preserve"> </w:t>
      </w:r>
      <w:r w:rsidR="009F0451" w:rsidRPr="003875F5">
        <w:rPr>
          <w:rFonts w:ascii="Times New Roman" w:hAnsi="Times New Roman" w:cs="Times New Roman"/>
          <w:sz w:val="24"/>
          <w:szCs w:val="24"/>
          <w:lang w:val="en-US"/>
        </w:rPr>
        <w:t>This was considered a control, in consideration to the header, which reads: “There are controls in all transactions in capital and money market instruments”</w:t>
      </w:r>
    </w:p>
    <w:p w:rsidR="00DA45C2" w:rsidRPr="003875F5" w:rsidRDefault="00DA45C2" w:rsidP="00DA45C2">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dii 2005</w:t>
      </w:r>
      <w:r w:rsidR="00BA2157"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Foreigners may invest freely in most economic sectors. However, the participation of foreign nationals in certain service activities not wholly exported remains subject to HIC approval if such participation exceeds 50% of the enterprise’s capital. Effective March 14, 2005, the approval of the HIC is no longer required for the acquisition by foreign nationals of securities with voting rights or shares in existing companies in Tunisia. Effective August 31, 2005, this formality is no longer required for the acquisition by foreign nationals of shares with voting rights in existing companies in Tunisia considered as small or medium-size enterprises operating in a sector of activity open to foreign investment at the time of establishment, in accordance with the regulation in force. Previously, HIC approval was required for the acquisition by foreign nationals of securities with voting rights and corporate shares if the ratio of foreign equity participation, including the new acquisition, equaled or exceeded 50%, irrespective of whether or not the companies were listed on the stock exchange. Approval was not required from the HIC for acquisitions of securities with voting rights or shares in existing companies in Tunisia (1) between shareholders or partners in the same company who are foreign nationals; (2) by foreign nationals or legal entities or nonresident legal entities established in Tunisia, for securities and corporate shares that have already been acquired without exceeding the limit of 50% or more; and (3) provided as a guarantee for management activities of foreign directors in these companies</w:t>
      </w:r>
      <w:r w:rsidRPr="003875F5">
        <w:rPr>
          <w:rFonts w:ascii="Times New Roman" w:hAnsi="Times New Roman" w:cs="Times New Roman"/>
          <w:sz w:val="24"/>
          <w:szCs w:val="24"/>
          <w:lang w:val="en-US"/>
        </w:rPr>
        <w:t xml:space="preserve">.” </w:t>
      </w:r>
      <w:r w:rsidR="009F0451" w:rsidRPr="003875F5">
        <w:rPr>
          <w:rFonts w:ascii="Times New Roman" w:hAnsi="Times New Roman" w:cs="Times New Roman"/>
          <w:sz w:val="24"/>
          <w:szCs w:val="24"/>
          <w:lang w:val="en-US"/>
        </w:rPr>
        <w:t xml:space="preserve">This is </w:t>
      </w:r>
      <w:r w:rsidRPr="003875F5">
        <w:rPr>
          <w:rFonts w:ascii="Times New Roman" w:hAnsi="Times New Roman" w:cs="Times New Roman"/>
          <w:sz w:val="24"/>
          <w:szCs w:val="24"/>
          <w:lang w:val="en-US"/>
        </w:rPr>
        <w:t>consider</w:t>
      </w:r>
      <w:r w:rsidR="009F0451" w:rsidRPr="003875F5">
        <w:rPr>
          <w:rFonts w:ascii="Times New Roman" w:hAnsi="Times New Roman" w:cs="Times New Roman"/>
          <w:sz w:val="24"/>
          <w:szCs w:val="24"/>
          <w:lang w:val="en-US"/>
        </w:rPr>
        <w:t>ed</w:t>
      </w:r>
      <w:r w:rsidRPr="003875F5">
        <w:rPr>
          <w:rFonts w:ascii="Times New Roman" w:hAnsi="Times New Roman" w:cs="Times New Roman"/>
          <w:sz w:val="24"/>
          <w:szCs w:val="24"/>
          <w:lang w:val="en-US"/>
        </w:rPr>
        <w:t xml:space="preserve"> as a control, in virtue of t</w:t>
      </w:r>
      <w:r w:rsidR="009F0451" w:rsidRPr="003875F5">
        <w:rPr>
          <w:rFonts w:ascii="Times New Roman" w:hAnsi="Times New Roman" w:cs="Times New Roman"/>
          <w:sz w:val="24"/>
          <w:szCs w:val="24"/>
          <w:lang w:val="en-US"/>
        </w:rPr>
        <w:t>he second sentence of rule 7(i). That is, it is clear that nonresidents are not allowed to invest in some sectors.</w:t>
      </w:r>
    </w:p>
    <w:p w:rsidR="00671F81" w:rsidRPr="003875F5" w:rsidRDefault="00671F81" w:rsidP="00B252C6">
      <w:pPr>
        <w:pStyle w:val="Estilo2"/>
      </w:pPr>
      <w:bookmarkStart w:id="80" w:name="_Toc402472379"/>
      <w:r w:rsidRPr="003875F5">
        <w:t>Turkey</w:t>
      </w:r>
      <w:bookmarkEnd w:id="80"/>
    </w:p>
    <w:p w:rsidR="007A5548" w:rsidRPr="003875F5" w:rsidRDefault="00671F81"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lastRenderedPageBreak/>
        <w:t>For</w:t>
      </w:r>
      <w:r w:rsidR="007A5548" w:rsidRPr="003875F5">
        <w:rPr>
          <w:rFonts w:ascii="Times New Roman" w:hAnsi="Times New Roman" w:cs="Times New Roman"/>
          <w:b/>
          <w:sz w:val="24"/>
          <w:szCs w:val="24"/>
          <w:lang w:val="en-US"/>
        </w:rPr>
        <w:t xml:space="preserve"> </w:t>
      </w:r>
      <w:proofErr w:type="spellStart"/>
      <w:r w:rsidR="007A5548" w:rsidRPr="003875F5">
        <w:rPr>
          <w:rFonts w:ascii="Times New Roman" w:hAnsi="Times New Roman" w:cs="Times New Roman"/>
          <w:sz w:val="24"/>
          <w:szCs w:val="24"/>
          <w:lang w:val="en-US"/>
        </w:rPr>
        <w:t>mm_siar</w:t>
      </w:r>
      <w:proofErr w:type="spellEnd"/>
      <w:r w:rsidR="007A5548" w:rsidRPr="003875F5">
        <w:rPr>
          <w:rFonts w:ascii="Times New Roman" w:hAnsi="Times New Roman" w:cs="Times New Roman"/>
          <w:sz w:val="24"/>
          <w:szCs w:val="24"/>
          <w:lang w:val="en-US"/>
        </w:rPr>
        <w:t xml:space="preserve"> since 2007 w</w:t>
      </w:r>
      <w:r w:rsidRPr="003875F5">
        <w:rPr>
          <w:rFonts w:ascii="Times New Roman" w:hAnsi="Times New Roman" w:cs="Times New Roman"/>
          <w:sz w:val="24"/>
          <w:szCs w:val="24"/>
          <w:lang w:val="en-US"/>
        </w:rPr>
        <w:t xml:space="preserve">e followed the rule that authorization is a control, but reporting or </w:t>
      </w:r>
      <w:proofErr w:type="gramStart"/>
      <w:r w:rsidR="007B31D1" w:rsidRPr="003875F5">
        <w:rPr>
          <w:rFonts w:ascii="Times New Roman" w:hAnsi="Times New Roman" w:cs="Times New Roman"/>
          <w:sz w:val="24"/>
          <w:szCs w:val="24"/>
          <w:lang w:val="en-US"/>
        </w:rPr>
        <w:t>registration are</w:t>
      </w:r>
      <w:proofErr w:type="gramEnd"/>
      <w:r w:rsidRPr="003875F5">
        <w:rPr>
          <w:rFonts w:ascii="Times New Roman" w:hAnsi="Times New Roman" w:cs="Times New Roman"/>
          <w:sz w:val="24"/>
          <w:szCs w:val="24"/>
          <w:lang w:val="en-US"/>
        </w:rPr>
        <w:t xml:space="preserve"> not. However for Turkey's case we take "subject to regulation" as a control.</w:t>
      </w:r>
    </w:p>
    <w:p w:rsidR="00811E0E" w:rsidRPr="003875F5" w:rsidRDefault="007A5548" w:rsidP="00D712AE">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 xml:space="preserve"> in 2011 we coded it as a 0 despite the fact that the word prudential was used, because it applied only to insurance companies.</w:t>
      </w:r>
    </w:p>
    <w:p w:rsidR="00CD1896" w:rsidRPr="003875F5" w:rsidRDefault="00CD1896"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2006 in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we set it as 1 because the restrictions were only abolished until December 2006.</w:t>
      </w:r>
    </w:p>
    <w:p w:rsidR="00CD1896" w:rsidRPr="003875F5" w:rsidRDefault="00A010CD" w:rsidP="00400995">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w:t>
      </w:r>
      <w:r w:rsidR="00CD1896" w:rsidRPr="003875F5">
        <w:rPr>
          <w:rFonts w:ascii="Times New Roman" w:hAnsi="Times New Roman" w:cs="Times New Roman"/>
          <w:sz w:val="24"/>
          <w:szCs w:val="24"/>
          <w:lang w:val="en-US"/>
        </w:rPr>
        <w:t xml:space="preserve"> dii</w:t>
      </w:r>
      <w:r w:rsidRPr="003875F5">
        <w:rPr>
          <w:rFonts w:ascii="Times New Roman" w:hAnsi="Times New Roman" w:cs="Times New Roman"/>
          <w:sz w:val="24"/>
          <w:szCs w:val="24"/>
          <w:lang w:val="en-US"/>
        </w:rPr>
        <w:t xml:space="preserve"> 2005-2012</w:t>
      </w:r>
      <w:r w:rsidR="00400995" w:rsidRPr="003875F5">
        <w:rPr>
          <w:rFonts w:ascii="Times New Roman" w:hAnsi="Times New Roman" w:cs="Times New Roman"/>
          <w:b/>
          <w:sz w:val="24"/>
          <w:szCs w:val="24"/>
          <w:lang w:val="en-US"/>
        </w:rPr>
        <w:t>: “</w:t>
      </w:r>
      <w:r w:rsidR="00400995" w:rsidRPr="003875F5">
        <w:rPr>
          <w:rFonts w:ascii="Times New Roman" w:hAnsi="Times New Roman" w:cs="Times New Roman"/>
          <w:i/>
          <w:sz w:val="24"/>
          <w:szCs w:val="24"/>
          <w:lang w:val="en-US"/>
        </w:rPr>
        <w:t>Controls apply to investment in (1) the mining sector, except through a company to be established in Turkey; (2) exploration and exploitation of petroleum by enterprises controlled or owned by foreign states, unless an authorization is granted; (3) refining, transportation through pipelines, and storage of petroleum, unless an authorization is granted; (4) maritime transport, air transport and ground handling services, radio and television broadcasting, and marina operations, where foreign ownership is limited; (5) education, because foreigners are not allowed to set up schools unless all students are foreigners; (6) banks and other financial institutions where authorization is required; (7) all sectors, if the value of the investment is less than $50,000; and (8) the accounting sector</w:t>
      </w:r>
      <w:r w:rsidR="00400995" w:rsidRPr="003875F5">
        <w:rPr>
          <w:rFonts w:ascii="Times New Roman" w:hAnsi="Times New Roman" w:cs="Times New Roman"/>
          <w:b/>
          <w:sz w:val="24"/>
          <w:szCs w:val="24"/>
          <w:lang w:val="en-US"/>
        </w:rPr>
        <w:t xml:space="preserve">” </w:t>
      </w:r>
      <w:r w:rsidRPr="003875F5">
        <w:rPr>
          <w:rFonts w:ascii="Times New Roman" w:hAnsi="Times New Roman" w:cs="Times New Roman"/>
          <w:sz w:val="24"/>
          <w:szCs w:val="24"/>
          <w:lang w:val="en-US"/>
        </w:rPr>
        <w:t>Although the sectors alluded in the foregoing narrative change in some years, in all of them, there is a potential macroeconomic impact. For this reason, pursuant rule 7(ii), we set it as a control.</w:t>
      </w:r>
    </w:p>
    <w:p w:rsidR="00FE551F" w:rsidRPr="003875F5" w:rsidRDefault="00766D31" w:rsidP="00766D31">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w:t>
      </w:r>
      <w:r w:rsidR="00FE551F" w:rsidRPr="003875F5">
        <w:rPr>
          <w:rFonts w:ascii="Times New Roman" w:hAnsi="Times New Roman" w:cs="Times New Roman"/>
          <w:sz w:val="24"/>
          <w:szCs w:val="24"/>
          <w:lang w:val="en-US"/>
        </w:rPr>
        <w:t xml:space="preserve"> </w:t>
      </w:r>
      <w:proofErr w:type="spellStart"/>
      <w:r w:rsidR="00FE551F" w:rsidRPr="003875F5">
        <w:rPr>
          <w:rFonts w:ascii="Times New Roman" w:hAnsi="Times New Roman" w:cs="Times New Roman"/>
          <w:sz w:val="24"/>
          <w:szCs w:val="24"/>
          <w:lang w:val="en-US"/>
        </w:rPr>
        <w:t>bo_pabr</w:t>
      </w:r>
      <w:proofErr w:type="spellEnd"/>
      <w:r w:rsidR="00FE551F" w:rsidRPr="003875F5">
        <w:rPr>
          <w:rFonts w:ascii="Times New Roman" w:hAnsi="Times New Roman" w:cs="Times New Roman"/>
          <w:sz w:val="24"/>
          <w:szCs w:val="24"/>
          <w:lang w:val="en-US"/>
        </w:rPr>
        <w:t xml:space="preserve"> and </w:t>
      </w:r>
      <w:proofErr w:type="spellStart"/>
      <w:r w:rsidR="00FE551F" w:rsidRPr="003875F5">
        <w:rPr>
          <w:rFonts w:ascii="Times New Roman" w:hAnsi="Times New Roman" w:cs="Times New Roman"/>
          <w:sz w:val="24"/>
          <w:szCs w:val="24"/>
          <w:lang w:val="en-US"/>
        </w:rPr>
        <w:t>bo_siar</w:t>
      </w:r>
      <w:proofErr w:type="spellEnd"/>
      <w:r w:rsidR="00FE551F" w:rsidRPr="003875F5">
        <w:rPr>
          <w:rFonts w:ascii="Times New Roman" w:hAnsi="Times New Roman" w:cs="Times New Roman"/>
          <w:sz w:val="24"/>
          <w:szCs w:val="24"/>
          <w:lang w:val="en-US"/>
        </w:rPr>
        <w:t xml:space="preserve"> 2005</w:t>
      </w:r>
      <w:r w:rsidR="003B09DB" w:rsidRPr="003875F5">
        <w:rPr>
          <w:rFonts w:ascii="Times New Roman" w:hAnsi="Times New Roman" w:cs="Times New Roman"/>
          <w:sz w:val="24"/>
          <w:szCs w:val="24"/>
          <w:lang w:val="en-US"/>
        </w:rPr>
        <w:t>-2007</w:t>
      </w:r>
      <w:r w:rsidRPr="003875F5">
        <w:rPr>
          <w:rFonts w:ascii="Times New Roman" w:hAnsi="Times New Roman" w:cs="Times New Roman"/>
          <w:sz w:val="24"/>
          <w:szCs w:val="24"/>
          <w:lang w:val="en-US"/>
        </w:rPr>
        <w:t>,</w:t>
      </w:r>
      <w:r w:rsidR="003B09DB" w:rsidRPr="003875F5">
        <w:rPr>
          <w:rFonts w:ascii="Times New Roman" w:hAnsi="Times New Roman" w:cs="Times New Roman"/>
          <w:sz w:val="24"/>
          <w:szCs w:val="24"/>
          <w:lang w:val="en-US"/>
        </w:rPr>
        <w:t xml:space="preserve"> we apply</w:t>
      </w:r>
      <w:r w:rsidR="006328E6" w:rsidRPr="003875F5">
        <w:rPr>
          <w:rFonts w:ascii="Times New Roman" w:hAnsi="Times New Roman" w:cs="Times New Roman"/>
          <w:sz w:val="24"/>
          <w:szCs w:val="24"/>
          <w:lang w:val="en-US"/>
        </w:rPr>
        <w:t xml:space="preserve"> the exception set forth</w:t>
      </w:r>
      <w:r w:rsidRPr="003875F5">
        <w:rPr>
          <w:rFonts w:ascii="Times New Roman" w:hAnsi="Times New Roman" w:cs="Times New Roman"/>
          <w:sz w:val="24"/>
          <w:szCs w:val="24"/>
          <w:lang w:val="en-US"/>
        </w:rPr>
        <w:t xml:space="preserve"> </w:t>
      </w:r>
      <w:r w:rsidR="006328E6" w:rsidRPr="003875F5">
        <w:rPr>
          <w:rFonts w:ascii="Times New Roman" w:hAnsi="Times New Roman" w:cs="Times New Roman"/>
          <w:sz w:val="24"/>
          <w:szCs w:val="24"/>
          <w:lang w:val="en-US"/>
        </w:rPr>
        <w:t>in</w:t>
      </w:r>
      <w:r w:rsidR="003B09DB" w:rsidRPr="003875F5">
        <w:rPr>
          <w:rFonts w:ascii="Times New Roman" w:hAnsi="Times New Roman" w:cs="Times New Roman"/>
          <w:sz w:val="24"/>
          <w:szCs w:val="24"/>
          <w:lang w:val="en-US"/>
        </w:rPr>
        <w:t xml:space="preserve"> rule</w:t>
      </w:r>
      <w:r w:rsidR="006328E6" w:rsidRPr="003875F5">
        <w:rPr>
          <w:rFonts w:ascii="Times New Roman" w:hAnsi="Times New Roman" w:cs="Times New Roman"/>
          <w:sz w:val="24"/>
          <w:szCs w:val="24"/>
          <w:lang w:val="en-US"/>
        </w:rPr>
        <w:t xml:space="preserve"> 3</w:t>
      </w:r>
      <w:r w:rsidRPr="003875F5">
        <w:rPr>
          <w:rFonts w:ascii="Times New Roman" w:hAnsi="Times New Roman" w:cs="Times New Roman"/>
          <w:sz w:val="24"/>
          <w:szCs w:val="24"/>
          <w:lang w:val="en-US"/>
        </w:rPr>
        <w:t xml:space="preserve"> </w:t>
      </w:r>
      <w:r w:rsidR="006328E6" w:rsidRPr="003875F5">
        <w:rPr>
          <w:rFonts w:ascii="Times New Roman" w:hAnsi="Times New Roman" w:cs="Times New Roman"/>
          <w:sz w:val="24"/>
          <w:szCs w:val="24"/>
          <w:lang w:val="en-US"/>
        </w:rPr>
        <w:t>(iii).</w:t>
      </w:r>
      <w:r w:rsidR="003B09DB" w:rsidRPr="003875F5">
        <w:rPr>
          <w:rFonts w:ascii="Times New Roman" w:hAnsi="Times New Roman" w:cs="Times New Roman"/>
          <w:sz w:val="24"/>
          <w:szCs w:val="24"/>
          <w:lang w:val="en-US"/>
        </w:rPr>
        <w:t xml:space="preserve"> </w:t>
      </w:r>
    </w:p>
    <w:p w:rsidR="003B09DB" w:rsidRPr="003875F5" w:rsidRDefault="003B09DB" w:rsidP="003B09DB">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ci_siln</w:t>
      </w:r>
      <w:proofErr w:type="spellEnd"/>
      <w:r w:rsidRPr="003875F5">
        <w:rPr>
          <w:rFonts w:ascii="Times New Roman" w:hAnsi="Times New Roman" w:cs="Times New Roman"/>
          <w:sz w:val="24"/>
          <w:szCs w:val="24"/>
          <w:lang w:val="en-US"/>
        </w:rPr>
        <w:t xml:space="preserve"> 2006: “</w:t>
      </w:r>
      <w:r w:rsidRPr="003875F5">
        <w:rPr>
          <w:rFonts w:ascii="Times New Roman" w:hAnsi="Times New Roman" w:cs="Times New Roman"/>
          <w:i/>
          <w:sz w:val="24"/>
          <w:szCs w:val="24"/>
          <w:lang w:val="en-US"/>
        </w:rPr>
        <w:t>The sale or issue of these instruments is subject to CMB registration</w:t>
      </w:r>
      <w:r w:rsidRPr="003875F5">
        <w:rPr>
          <w:rFonts w:ascii="Times New Roman" w:hAnsi="Times New Roman" w:cs="Times New Roman"/>
          <w:sz w:val="24"/>
          <w:szCs w:val="24"/>
          <w:lang w:val="en-US"/>
        </w:rPr>
        <w:t>” Pursuant rule 14, this is not a control.</w:t>
      </w:r>
    </w:p>
    <w:p w:rsidR="006328E6" w:rsidRPr="003875F5" w:rsidRDefault="006328E6" w:rsidP="006328E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eq_siar</w:t>
      </w:r>
      <w:proofErr w:type="spellEnd"/>
      <w:r w:rsidRPr="003875F5">
        <w:rPr>
          <w:rFonts w:ascii="Times New Roman" w:hAnsi="Times New Roman" w:cs="Times New Roman"/>
          <w:sz w:val="24"/>
          <w:szCs w:val="24"/>
          <w:lang w:val="en-US"/>
        </w:rPr>
        <w:t xml:space="preserve"> 2007-</w:t>
      </w:r>
      <w:r w:rsidR="00D20A72" w:rsidRPr="003875F5">
        <w:rPr>
          <w:rFonts w:ascii="Times New Roman" w:hAnsi="Times New Roman" w:cs="Times New Roman"/>
          <w:sz w:val="24"/>
          <w:szCs w:val="24"/>
          <w:lang w:val="en-US"/>
        </w:rPr>
        <w:t>201</w:t>
      </w:r>
      <w:r w:rsidR="00D81E7D">
        <w:rPr>
          <w:rFonts w:ascii="Times New Roman" w:hAnsi="Times New Roman" w:cs="Times New Roman"/>
          <w:sz w:val="24"/>
          <w:szCs w:val="24"/>
          <w:lang w:val="en-US"/>
        </w:rPr>
        <w:t>3</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 sale, issuance, and public offering of capital market instruments abroad by resident legal entities, except public institutions and establishments, are not restricted, provided such instruments are registered with the CMB, pursuant to the capital market legislation. The Capital Market Law regulates the registration of capital market instruments</w:t>
      </w:r>
      <w:r w:rsidRPr="003875F5">
        <w:rPr>
          <w:rFonts w:ascii="Times New Roman" w:hAnsi="Times New Roman" w:cs="Times New Roman"/>
          <w:sz w:val="24"/>
          <w:szCs w:val="24"/>
          <w:lang w:val="en-US"/>
        </w:rPr>
        <w:t xml:space="preserve">” This </w:t>
      </w:r>
      <w:r w:rsidR="00E9469D" w:rsidRPr="003875F5">
        <w:rPr>
          <w:rFonts w:ascii="Times New Roman" w:hAnsi="Times New Roman" w:cs="Times New Roman"/>
          <w:sz w:val="24"/>
          <w:szCs w:val="24"/>
          <w:lang w:val="en-US"/>
        </w:rPr>
        <w:t>is not a control, because</w:t>
      </w:r>
      <w:r w:rsidRPr="003875F5">
        <w:rPr>
          <w:rFonts w:ascii="Times New Roman" w:hAnsi="Times New Roman" w:cs="Times New Roman"/>
          <w:sz w:val="24"/>
          <w:szCs w:val="24"/>
          <w:lang w:val="en-US"/>
        </w:rPr>
        <w:t xml:space="preserve"> we consider that the restriction to public institutions has</w:t>
      </w:r>
      <w:r w:rsidR="00E9469D" w:rsidRPr="003875F5">
        <w:rPr>
          <w:rFonts w:ascii="Times New Roman" w:hAnsi="Times New Roman" w:cs="Times New Roman"/>
          <w:sz w:val="24"/>
          <w:szCs w:val="24"/>
          <w:lang w:val="en-US"/>
        </w:rPr>
        <w:t xml:space="preserve"> not</w:t>
      </w:r>
      <w:r w:rsidRPr="003875F5">
        <w:rPr>
          <w:rFonts w:ascii="Times New Roman" w:hAnsi="Times New Roman" w:cs="Times New Roman"/>
          <w:sz w:val="24"/>
          <w:szCs w:val="24"/>
          <w:lang w:val="en-US"/>
        </w:rPr>
        <w:t xml:space="preserve"> the potential to bear a significant macro impact</w:t>
      </w:r>
      <w:r w:rsidR="00E9469D" w:rsidRPr="003875F5">
        <w:rPr>
          <w:rFonts w:ascii="Times New Roman" w:hAnsi="Times New Roman" w:cs="Times New Roman"/>
          <w:sz w:val="24"/>
          <w:szCs w:val="24"/>
          <w:lang w:val="en-US"/>
        </w:rPr>
        <w:t xml:space="preserve"> in this type of transactions</w:t>
      </w:r>
      <w:r w:rsidRPr="003875F5">
        <w:rPr>
          <w:rFonts w:ascii="Times New Roman" w:hAnsi="Times New Roman" w:cs="Times New Roman"/>
          <w:sz w:val="24"/>
          <w:szCs w:val="24"/>
          <w:lang w:val="en-US"/>
        </w:rPr>
        <w:t>.</w:t>
      </w:r>
    </w:p>
    <w:p w:rsidR="00DE564F" w:rsidRPr="003875F5" w:rsidRDefault="004D2526" w:rsidP="004D2526">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bo_siar</w:t>
      </w:r>
      <w:proofErr w:type="spellEnd"/>
      <w:r w:rsidRPr="003875F5">
        <w:rPr>
          <w:rFonts w:ascii="Times New Roman" w:hAnsi="Times New Roman" w:cs="Times New Roman"/>
          <w:sz w:val="24"/>
          <w:szCs w:val="24"/>
          <w:lang w:val="en-US"/>
        </w:rPr>
        <w:t xml:space="preserve"> 2008</w:t>
      </w:r>
      <w:r w:rsidR="00D20A72" w:rsidRPr="003875F5">
        <w:rPr>
          <w:rFonts w:ascii="Times New Roman" w:hAnsi="Times New Roman" w:cs="Times New Roman"/>
          <w:sz w:val="24"/>
          <w:szCs w:val="24"/>
          <w:lang w:val="en-US"/>
        </w:rPr>
        <w:t>-20</w:t>
      </w:r>
      <w:r w:rsidR="00EA76FE" w:rsidRPr="003875F5">
        <w:rPr>
          <w:rFonts w:ascii="Times New Roman" w:hAnsi="Times New Roman" w:cs="Times New Roman"/>
          <w:sz w:val="24"/>
          <w:szCs w:val="24"/>
          <w:lang w:val="en-US"/>
        </w:rPr>
        <w:t>1</w:t>
      </w:r>
      <w:r w:rsidR="00CC3855">
        <w:rPr>
          <w:rFonts w:ascii="Times New Roman" w:hAnsi="Times New Roman" w:cs="Times New Roman"/>
          <w:sz w:val="24"/>
          <w:szCs w:val="24"/>
          <w:lang w:val="en-US"/>
        </w:rPr>
        <w:t>3</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 xml:space="preserve">The sale, issuance, and public offering of capital market instruments abroad by resident legal entities, except public institutions and establishments, are not restricted, provided such instruments are registered with the CMB, pursuant to the capital market legislation. The Capital Market Law regulates the registration of capital market instruments. In addition to the regulations governing shares or other securities of a participating nature, issuers are required to register their bonds and other debenture instruments to be offered abroad with the CMB. However, </w:t>
      </w:r>
      <w:r w:rsidRPr="003875F5">
        <w:rPr>
          <w:rFonts w:ascii="Times New Roman" w:hAnsi="Times New Roman" w:cs="Times New Roman"/>
          <w:i/>
          <w:sz w:val="24"/>
          <w:szCs w:val="24"/>
          <w:lang w:val="en-US"/>
        </w:rPr>
        <w:lastRenderedPageBreak/>
        <w:t>these issuers are exempt from preparing prospectuses and circulars</w:t>
      </w:r>
      <w:r w:rsidRPr="003875F5">
        <w:rPr>
          <w:rFonts w:ascii="Times New Roman" w:hAnsi="Times New Roman" w:cs="Times New Roman"/>
          <w:sz w:val="24"/>
          <w:szCs w:val="24"/>
          <w:lang w:val="en-US"/>
        </w:rPr>
        <w:t>” Idem as above.</w:t>
      </w:r>
    </w:p>
    <w:p w:rsidR="0097196B" w:rsidRPr="003875F5" w:rsidRDefault="0097196B" w:rsidP="00B252C6">
      <w:pPr>
        <w:pStyle w:val="Estilo2"/>
      </w:pPr>
      <w:bookmarkStart w:id="81" w:name="_Toc402472380"/>
      <w:r w:rsidRPr="003875F5">
        <w:t>Uganda</w:t>
      </w:r>
      <w:bookmarkEnd w:id="81"/>
    </w:p>
    <w:p w:rsidR="0097196B" w:rsidRPr="003875F5" w:rsidRDefault="0097196B" w:rsidP="0097196B">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1995</w:t>
      </w:r>
      <w:r w:rsidR="00082724" w:rsidRPr="003875F5">
        <w:rPr>
          <w:rFonts w:ascii="Times New Roman" w:hAnsi="Times New Roman" w:cs="Times New Roman"/>
          <w:sz w:val="24"/>
          <w:szCs w:val="24"/>
          <w:lang w:val="en-US"/>
        </w:rPr>
        <w:t>-</w:t>
      </w:r>
      <w:r w:rsidR="00D36BC5" w:rsidRPr="003875F5">
        <w:rPr>
          <w:rFonts w:ascii="Times New Roman" w:hAnsi="Times New Roman" w:cs="Times New Roman"/>
          <w:sz w:val="24"/>
          <w:szCs w:val="24"/>
          <w:lang w:val="en-US"/>
        </w:rPr>
        <w:t>1997</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With the exception of agricultural land, nonresidents can purchase local real estate</w:t>
      </w:r>
      <w:r w:rsidRPr="003875F5">
        <w:rPr>
          <w:rFonts w:ascii="Times New Roman" w:hAnsi="Times New Roman" w:cs="Times New Roman"/>
          <w:sz w:val="24"/>
          <w:szCs w:val="24"/>
          <w:lang w:val="en-US"/>
        </w:rPr>
        <w:t xml:space="preserve">.” </w:t>
      </w:r>
      <w:r w:rsidR="004715C2" w:rsidRPr="003875F5">
        <w:rPr>
          <w:rFonts w:ascii="Times New Roman" w:hAnsi="Times New Roman" w:cs="Times New Roman"/>
          <w:sz w:val="24"/>
          <w:szCs w:val="24"/>
          <w:lang w:val="en-US"/>
        </w:rPr>
        <w:t>We</w:t>
      </w:r>
      <w:r w:rsidRPr="003875F5">
        <w:rPr>
          <w:rFonts w:ascii="Times New Roman" w:hAnsi="Times New Roman" w:cs="Times New Roman"/>
          <w:sz w:val="24"/>
          <w:szCs w:val="24"/>
          <w:lang w:val="en-US"/>
        </w:rPr>
        <w:t xml:space="preserve"> </w:t>
      </w:r>
      <w:r w:rsidR="004715C2" w:rsidRPr="003875F5">
        <w:rPr>
          <w:rFonts w:ascii="Times New Roman" w:hAnsi="Times New Roman" w:cs="Times New Roman"/>
          <w:sz w:val="24"/>
          <w:szCs w:val="24"/>
          <w:lang w:val="en-US"/>
        </w:rPr>
        <w:t>coded with ones, since this might be important.</w:t>
      </w:r>
    </w:p>
    <w:p w:rsidR="00C00DD3" w:rsidRPr="003875F5" w:rsidRDefault="00C00DD3" w:rsidP="00B252C6">
      <w:pPr>
        <w:pStyle w:val="Estilo2"/>
      </w:pPr>
      <w:bookmarkStart w:id="82" w:name="_Toc402472381"/>
      <w:r w:rsidRPr="003875F5">
        <w:t>Ukraine</w:t>
      </w:r>
      <w:bookmarkEnd w:id="82"/>
    </w:p>
    <w:p w:rsidR="009323AF" w:rsidRPr="003875F5" w:rsidRDefault="00C00DD3" w:rsidP="00C00DD3">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bo_plbn</w:t>
      </w:r>
      <w:proofErr w:type="spellEnd"/>
      <w:r w:rsidR="00C13583" w:rsidRPr="003875F5">
        <w:rPr>
          <w:rFonts w:ascii="Times New Roman" w:hAnsi="Times New Roman" w:cs="Times New Roman"/>
          <w:sz w:val="24"/>
          <w:szCs w:val="24"/>
          <w:lang w:val="en-US"/>
        </w:rPr>
        <w:t xml:space="preserve"> 2001-2012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Purchases must be registered. Bond transactions with nonresidents may be carried out on a contractual basis only by resident authorized banks that have executed the appropriate agreements with the NBU. Authorized banks acquire bonds on instructions of nonresidents at auctions conducted by the NBU</w:t>
      </w:r>
      <w:r w:rsidRPr="003875F5">
        <w:rPr>
          <w:rFonts w:ascii="Times New Roman" w:hAnsi="Times New Roman" w:cs="Times New Roman"/>
          <w:sz w:val="24"/>
          <w:szCs w:val="24"/>
          <w:lang w:val="en-US"/>
        </w:rPr>
        <w:t>.” Although the narrative changes throughout the years, I believe that the essential part remains unchanged i.e. “</w:t>
      </w:r>
      <w:r w:rsidRPr="003875F5">
        <w:rPr>
          <w:rFonts w:ascii="Times New Roman" w:hAnsi="Times New Roman" w:cs="Times New Roman"/>
          <w:i/>
          <w:sz w:val="24"/>
          <w:szCs w:val="24"/>
          <w:lang w:val="en-US"/>
        </w:rPr>
        <w:t>Authorized banks acquire bonds on instructions of nonresidents at auctions conducted by the NBU</w:t>
      </w:r>
      <w:r w:rsidRPr="003875F5">
        <w:rPr>
          <w:rFonts w:ascii="Times New Roman" w:hAnsi="Times New Roman" w:cs="Times New Roman"/>
          <w:sz w:val="24"/>
          <w:szCs w:val="24"/>
          <w:lang w:val="en-US"/>
        </w:rPr>
        <w:t>.</w:t>
      </w:r>
      <w:r w:rsidR="00CF0EB6" w:rsidRPr="003875F5">
        <w:rPr>
          <w:rFonts w:ascii="Times New Roman" w:hAnsi="Times New Roman" w:cs="Times New Roman"/>
          <w:sz w:val="24"/>
          <w:szCs w:val="24"/>
          <w:lang w:val="en-US"/>
        </w:rPr>
        <w:t>” We</w:t>
      </w:r>
      <w:r w:rsidRPr="003875F5">
        <w:rPr>
          <w:rFonts w:ascii="Times New Roman" w:hAnsi="Times New Roman" w:cs="Times New Roman"/>
          <w:sz w:val="24"/>
          <w:szCs w:val="24"/>
          <w:lang w:val="en-US"/>
        </w:rPr>
        <w:t xml:space="preserve"> think that this auction although is not a control </w:t>
      </w:r>
      <w:r w:rsidRPr="003875F5">
        <w:rPr>
          <w:rFonts w:ascii="Times New Roman" w:hAnsi="Times New Roman" w:cs="Times New Roman"/>
          <w:i/>
          <w:sz w:val="24"/>
          <w:szCs w:val="24"/>
          <w:lang w:val="en-US"/>
        </w:rPr>
        <w:t xml:space="preserve">per se </w:t>
      </w:r>
      <w:r w:rsidRPr="003875F5">
        <w:rPr>
          <w:rFonts w:ascii="Times New Roman" w:hAnsi="Times New Roman" w:cs="Times New Roman"/>
          <w:sz w:val="24"/>
          <w:szCs w:val="24"/>
          <w:lang w:val="en-US"/>
        </w:rPr>
        <w:t>it has the potential to become an important restriction as it is conducted by a State-controlled institution.</w:t>
      </w:r>
      <w:r w:rsidR="0072362D" w:rsidRPr="003875F5">
        <w:rPr>
          <w:rFonts w:ascii="Times New Roman" w:hAnsi="Times New Roman" w:cs="Times New Roman"/>
          <w:sz w:val="24"/>
          <w:szCs w:val="24"/>
          <w:lang w:val="en-US"/>
        </w:rPr>
        <w:t xml:space="preserve"> </w:t>
      </w:r>
    </w:p>
    <w:p w:rsidR="00CA3632" w:rsidRPr="003875F5" w:rsidRDefault="009323AF" w:rsidP="009323AF">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2001</w:t>
      </w:r>
      <w:r w:rsidR="00EA1AB2"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These transactions are considered domestic capital investments by nonresidents and must be registered as direct investments.</w:t>
      </w:r>
      <w:r w:rsidRPr="003875F5">
        <w:rPr>
          <w:rFonts w:ascii="Times New Roman" w:hAnsi="Times New Roman" w:cs="Times New Roman"/>
          <w:sz w:val="24"/>
          <w:szCs w:val="24"/>
          <w:lang w:val="en-US"/>
        </w:rPr>
        <w:t>”</w:t>
      </w:r>
      <w:r w:rsidR="004715C2" w:rsidRPr="003875F5">
        <w:rPr>
          <w:rFonts w:ascii="Times New Roman" w:hAnsi="Times New Roman" w:cs="Times New Roman"/>
          <w:sz w:val="24"/>
          <w:szCs w:val="24"/>
          <w:lang w:val="en-US"/>
        </w:rPr>
        <w:t xml:space="preserve"> We coded with zeros, considering that investments are deemed to be domestic.</w:t>
      </w:r>
    </w:p>
    <w:p w:rsidR="00C00DD3" w:rsidRPr="003875F5" w:rsidRDefault="00CA3632" w:rsidP="00CA3632">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re_slbn</w:t>
      </w:r>
      <w:proofErr w:type="spellEnd"/>
      <w:r w:rsidRPr="003875F5">
        <w:rPr>
          <w:rFonts w:ascii="Times New Roman" w:hAnsi="Times New Roman" w:cs="Times New Roman"/>
          <w:sz w:val="24"/>
          <w:szCs w:val="24"/>
          <w:lang w:val="en-US"/>
        </w:rPr>
        <w:t xml:space="preserve"> 2010: “</w:t>
      </w:r>
      <w:r w:rsidRPr="003875F5">
        <w:rPr>
          <w:rFonts w:ascii="Times New Roman" w:hAnsi="Times New Roman" w:cs="Times New Roman"/>
          <w:i/>
          <w:sz w:val="24"/>
          <w:szCs w:val="24"/>
          <w:lang w:val="en-US"/>
        </w:rPr>
        <w:t xml:space="preserve">Effective March 22, 2011, the mandatory deposit of </w:t>
      </w:r>
      <w:proofErr w:type="spellStart"/>
      <w:r w:rsidRPr="003875F5">
        <w:rPr>
          <w:rFonts w:ascii="Times New Roman" w:hAnsi="Times New Roman" w:cs="Times New Roman"/>
          <w:i/>
          <w:sz w:val="24"/>
          <w:szCs w:val="24"/>
          <w:lang w:val="en-US"/>
        </w:rPr>
        <w:t>hryvnia</w:t>
      </w:r>
      <w:proofErr w:type="spellEnd"/>
      <w:r w:rsidRPr="003875F5">
        <w:rPr>
          <w:rFonts w:ascii="Times New Roman" w:hAnsi="Times New Roman" w:cs="Times New Roman"/>
          <w:i/>
          <w:sz w:val="24"/>
          <w:szCs w:val="24"/>
          <w:lang w:val="en-US"/>
        </w:rPr>
        <w:t xml:space="preserve"> funds from foreign investments in Ukraine for five days in an analytical account of an authorized bank before conversion into foreign currency and transfer abroad was lifted. This requirement, which was in effect since March 15, 2010, did not affect purchases of foreign currency from transactions by foreign investors involving securities from the first tier of listings on the Ukrainian stock exchanges, except for the transactions involving purchase and sale of these securities performed outside of the stock exchanges. The transfer of proceeds, after payment of taxes due, is not restricted</w:t>
      </w:r>
      <w:r w:rsidRPr="003875F5">
        <w:rPr>
          <w:rFonts w:ascii="Times New Roman" w:hAnsi="Times New Roman" w:cs="Times New Roman"/>
          <w:sz w:val="24"/>
          <w:szCs w:val="24"/>
          <w:lang w:val="en-US"/>
        </w:rPr>
        <w:t xml:space="preserve">.” </w:t>
      </w:r>
      <w:r w:rsidR="004715C2" w:rsidRPr="003875F5">
        <w:rPr>
          <w:rFonts w:ascii="Times New Roman" w:hAnsi="Times New Roman" w:cs="Times New Roman"/>
          <w:sz w:val="24"/>
          <w:szCs w:val="24"/>
          <w:lang w:val="en-US"/>
        </w:rPr>
        <w:t>We do not see any relation of this narrative with real estate transactions. For this reason, we coded with a 1.</w:t>
      </w:r>
    </w:p>
    <w:p w:rsidR="008A4C8B" w:rsidRPr="003875F5" w:rsidRDefault="008A4C8B" w:rsidP="00B252C6">
      <w:pPr>
        <w:pStyle w:val="Estilo2"/>
      </w:pPr>
      <w:bookmarkStart w:id="83" w:name="_Toc402472382"/>
      <w:r w:rsidRPr="003875F5">
        <w:t>United Arab Emirates</w:t>
      </w:r>
      <w:bookmarkEnd w:id="83"/>
    </w:p>
    <w:p w:rsidR="008A4C8B" w:rsidRPr="003875F5" w:rsidRDefault="008A4C8B" w:rsidP="008A4C8B">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eq_plbn</w:t>
      </w:r>
      <w:proofErr w:type="spellEnd"/>
      <w:r w:rsidRPr="003875F5">
        <w:rPr>
          <w:rFonts w:ascii="Times New Roman" w:hAnsi="Times New Roman" w:cs="Times New Roman"/>
          <w:sz w:val="24"/>
          <w:szCs w:val="24"/>
          <w:lang w:val="en-US"/>
        </w:rPr>
        <w:t xml:space="preserve"> 1995-2009</w:t>
      </w:r>
      <w:r w:rsidR="00823749">
        <w:rPr>
          <w:rFonts w:ascii="Times New Roman" w:hAnsi="Times New Roman" w:cs="Times New Roman"/>
          <w:sz w:val="24"/>
          <w:szCs w:val="24"/>
          <w:lang w:val="en-US"/>
        </w:rPr>
        <w:t xml:space="preserve"> and 2013</w:t>
      </w:r>
      <w:bookmarkStart w:id="84" w:name="_GoBack"/>
      <w:bookmarkEnd w:id="84"/>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At least 51% of the shares of U.A.E. corporations must be held by U.A.E. nationals or organizations. Companies domiciled in free zones are exempt from this requirement and may be up to 100% foreign-owned</w:t>
      </w:r>
      <w:r w:rsidRPr="003875F5">
        <w:rPr>
          <w:rFonts w:ascii="Times New Roman" w:hAnsi="Times New Roman" w:cs="Times New Roman"/>
          <w:sz w:val="24"/>
          <w:szCs w:val="24"/>
          <w:lang w:val="en-US"/>
        </w:rPr>
        <w:t xml:space="preserve">.” Pursuant rule 6, this </w:t>
      </w:r>
      <w:r w:rsidR="00AD7B01" w:rsidRPr="003875F5">
        <w:rPr>
          <w:rFonts w:ascii="Times New Roman" w:hAnsi="Times New Roman" w:cs="Times New Roman"/>
          <w:sz w:val="24"/>
          <w:szCs w:val="24"/>
          <w:lang w:val="en-US"/>
        </w:rPr>
        <w:t>is</w:t>
      </w:r>
      <w:r w:rsidRPr="003875F5">
        <w:rPr>
          <w:rFonts w:ascii="Times New Roman" w:hAnsi="Times New Roman" w:cs="Times New Roman"/>
          <w:sz w:val="24"/>
          <w:szCs w:val="24"/>
          <w:lang w:val="en-US"/>
        </w:rPr>
        <w:t xml:space="preserve"> a control.</w:t>
      </w:r>
    </w:p>
    <w:p w:rsidR="007D4C88" w:rsidRPr="003875F5" w:rsidRDefault="007D4C88" w:rsidP="00B252C6">
      <w:pPr>
        <w:pStyle w:val="Estilo2"/>
      </w:pPr>
      <w:bookmarkStart w:id="85" w:name="_Toc402472383"/>
      <w:r w:rsidRPr="003875F5">
        <w:t>United States</w:t>
      </w:r>
      <w:bookmarkEnd w:id="85"/>
    </w:p>
    <w:p w:rsidR="00DD3465" w:rsidRPr="003875F5" w:rsidRDefault="007D4C88" w:rsidP="00E9469D">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lastRenderedPageBreak/>
        <w:t xml:space="preserve">The observation in </w:t>
      </w:r>
      <w:proofErr w:type="spellStart"/>
      <w:r w:rsidRPr="003875F5">
        <w:rPr>
          <w:rFonts w:ascii="Times New Roman" w:hAnsi="Times New Roman" w:cs="Times New Roman"/>
          <w:sz w:val="24"/>
          <w:szCs w:val="24"/>
          <w:lang w:val="en-US"/>
        </w:rPr>
        <w:t>mm_siln</w:t>
      </w:r>
      <w:proofErr w:type="spellEnd"/>
      <w:r w:rsidRPr="003875F5">
        <w:rPr>
          <w:rFonts w:ascii="Times New Roman" w:hAnsi="Times New Roman" w:cs="Times New Roman"/>
          <w:sz w:val="24"/>
          <w:szCs w:val="24"/>
          <w:lang w:val="en-US"/>
        </w:rPr>
        <w:t xml:space="preserve"> 2012 was coded as a 1, despite the fact that the narrative only made allusion to a registration obligation, because in </w:t>
      </w:r>
      <w:r w:rsidR="002F4F5D" w:rsidRPr="003875F5">
        <w:rPr>
          <w:rFonts w:ascii="Times New Roman" w:hAnsi="Times New Roman" w:cs="Times New Roman"/>
          <w:sz w:val="24"/>
          <w:szCs w:val="24"/>
          <w:lang w:val="en-US"/>
        </w:rPr>
        <w:t>2011</w:t>
      </w:r>
      <w:r w:rsidRPr="003875F5">
        <w:rPr>
          <w:rFonts w:ascii="Times New Roman" w:hAnsi="Times New Roman" w:cs="Times New Roman"/>
          <w:sz w:val="24"/>
          <w:szCs w:val="24"/>
          <w:lang w:val="en-US"/>
        </w:rPr>
        <w:t xml:space="preserve"> there was a clear restriction in virtue of the Investment Company Act, which is still alluded in other categories of 2012.</w:t>
      </w:r>
    </w:p>
    <w:p w:rsidR="002F4F5D" w:rsidRPr="003875F5" w:rsidRDefault="002F4F5D" w:rsidP="00E9469D">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mm_siln</w:t>
      </w:r>
      <w:proofErr w:type="spellEnd"/>
      <w:r w:rsidRPr="003875F5">
        <w:rPr>
          <w:rFonts w:ascii="Times New Roman" w:hAnsi="Times New Roman" w:cs="Times New Roman"/>
          <w:sz w:val="24"/>
          <w:szCs w:val="24"/>
          <w:lang w:val="en-US"/>
        </w:rPr>
        <w:t xml:space="preserve"> 2008-2010, 2012: “</w:t>
      </w:r>
      <w:r w:rsidRPr="003875F5">
        <w:rPr>
          <w:rFonts w:ascii="Times New Roman" w:hAnsi="Times New Roman" w:cs="Times New Roman"/>
          <w:i/>
          <w:sz w:val="24"/>
          <w:szCs w:val="24"/>
          <w:lang w:val="en-US"/>
        </w:rPr>
        <w:t>Offers and sales of securities in the United States, whether by U.S. residents or by nonresidents, must be registered under the Securities Act of 1933 or subject to a valid exemption from registration pursuant to the Securities Act</w:t>
      </w:r>
      <w:r w:rsidRPr="003875F5">
        <w:rPr>
          <w:rFonts w:ascii="Times New Roman" w:hAnsi="Times New Roman" w:cs="Times New Roman"/>
          <w:sz w:val="24"/>
          <w:szCs w:val="24"/>
          <w:lang w:val="en-US"/>
        </w:rPr>
        <w:t>” Pursuant rule 14, this is not a control. However in 2011 this sentence preceded the foregoing narrative: “</w:t>
      </w:r>
      <w:r w:rsidRPr="003875F5">
        <w:rPr>
          <w:rFonts w:ascii="Times New Roman" w:hAnsi="Times New Roman" w:cs="Times New Roman"/>
          <w:i/>
          <w:sz w:val="24"/>
          <w:szCs w:val="24"/>
          <w:lang w:val="en-US"/>
        </w:rPr>
        <w:t>Public offers made in the United States or to U.S. residents by foreign investment companies are prohibited under the Investment Company Act, unless authorization from the SEC is obtained and the offer is registered with the SEC</w:t>
      </w:r>
      <w:r w:rsidRPr="003875F5">
        <w:rPr>
          <w:rFonts w:ascii="Times New Roman" w:hAnsi="Times New Roman" w:cs="Times New Roman"/>
          <w:sz w:val="24"/>
          <w:szCs w:val="24"/>
          <w:lang w:val="en-US"/>
        </w:rPr>
        <w:t xml:space="preserve">”. The Investment Company Act is </w:t>
      </w:r>
      <w:proofErr w:type="gramStart"/>
      <w:r w:rsidRPr="003875F5">
        <w:rPr>
          <w:rFonts w:ascii="Times New Roman" w:hAnsi="Times New Roman" w:cs="Times New Roman"/>
          <w:sz w:val="24"/>
          <w:szCs w:val="24"/>
          <w:lang w:val="en-US"/>
        </w:rPr>
        <w:t>alluded</w:t>
      </w:r>
      <w:proofErr w:type="gramEnd"/>
      <w:r w:rsidRPr="003875F5">
        <w:rPr>
          <w:rFonts w:ascii="Times New Roman" w:hAnsi="Times New Roman" w:cs="Times New Roman"/>
          <w:sz w:val="24"/>
          <w:szCs w:val="24"/>
          <w:lang w:val="en-US"/>
        </w:rPr>
        <w:t xml:space="preserve"> in other categories of 2008-2010, 2012.</w:t>
      </w:r>
      <w:r w:rsidR="00DD3465" w:rsidRPr="003875F5">
        <w:rPr>
          <w:rFonts w:ascii="Times New Roman" w:hAnsi="Times New Roman" w:cs="Times New Roman"/>
          <w:sz w:val="24"/>
          <w:szCs w:val="24"/>
          <w:lang w:val="en-US"/>
        </w:rPr>
        <w:t xml:space="preserve"> We take the stand that this legislation is in force despite the absence of reference in these years.</w:t>
      </w:r>
    </w:p>
    <w:p w:rsidR="00727541" w:rsidRPr="003875F5" w:rsidRDefault="00727541" w:rsidP="00727541">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re_plbn</w:t>
      </w:r>
      <w:proofErr w:type="spellEnd"/>
      <w:r w:rsidRPr="003875F5">
        <w:rPr>
          <w:rFonts w:ascii="Times New Roman" w:hAnsi="Times New Roman" w:cs="Times New Roman"/>
          <w:sz w:val="24"/>
          <w:szCs w:val="24"/>
          <w:lang w:val="en-US"/>
        </w:rPr>
        <w:t xml:space="preserve"> 1995</w:t>
      </w:r>
      <w:r w:rsidR="00082724" w:rsidRPr="003875F5">
        <w:rPr>
          <w:rFonts w:ascii="Times New Roman" w:hAnsi="Times New Roman" w:cs="Times New Roman"/>
          <w:sz w:val="24"/>
          <w:szCs w:val="24"/>
          <w:lang w:val="en-US"/>
        </w:rPr>
        <w:t>-</w:t>
      </w:r>
      <w:r w:rsidR="005D1A71" w:rsidRPr="003875F5">
        <w:rPr>
          <w:rFonts w:ascii="Times New Roman" w:hAnsi="Times New Roman" w:cs="Times New Roman"/>
          <w:sz w:val="24"/>
          <w:szCs w:val="24"/>
          <w:lang w:val="en-US"/>
        </w:rPr>
        <w:t>2012</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Ownership of agricultural land by foreign nationals or by corporations in which foreign owners have an interest of at least 10% or substantial control must be reported to the Department of Agriculture. Certain states in the United States impose various restrictions on foreign nationals' purchases of land within their borders</w:t>
      </w:r>
      <w:r w:rsidRPr="003875F5">
        <w:rPr>
          <w:rFonts w:ascii="Times New Roman" w:hAnsi="Times New Roman" w:cs="Times New Roman"/>
          <w:sz w:val="24"/>
          <w:szCs w:val="24"/>
          <w:lang w:val="en-US"/>
        </w:rPr>
        <w:t xml:space="preserve">.” </w:t>
      </w:r>
      <w:r w:rsidR="004715C2" w:rsidRPr="003875F5">
        <w:rPr>
          <w:rFonts w:ascii="Times New Roman" w:hAnsi="Times New Roman" w:cs="Times New Roman"/>
          <w:sz w:val="24"/>
          <w:szCs w:val="24"/>
          <w:lang w:val="en-US"/>
        </w:rPr>
        <w:t>We coded with ones, in considerations of the last sentence of this narrative, that is, there is the possibility of a State-level restriction.</w:t>
      </w:r>
    </w:p>
    <w:p w:rsidR="007D4C88" w:rsidRPr="003875F5" w:rsidRDefault="007D4C88" w:rsidP="00B252C6">
      <w:pPr>
        <w:pStyle w:val="Estilo2"/>
      </w:pPr>
      <w:bookmarkStart w:id="86" w:name="_Toc402472384"/>
      <w:r w:rsidRPr="003875F5">
        <w:t>Uruguay</w:t>
      </w:r>
      <w:bookmarkEnd w:id="86"/>
    </w:p>
    <w:p w:rsidR="007D4C88" w:rsidRPr="003875F5" w:rsidRDefault="00465F62"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2012, a</w:t>
      </w:r>
      <w:r w:rsidR="007D4C88" w:rsidRPr="003875F5">
        <w:rPr>
          <w:rFonts w:ascii="Times New Roman" w:hAnsi="Times New Roman" w:cs="Times New Roman"/>
          <w:sz w:val="24"/>
          <w:szCs w:val="24"/>
          <w:lang w:val="en-US"/>
        </w:rPr>
        <w:t xml:space="preserve"> restri</w:t>
      </w:r>
      <w:r w:rsidR="00146304" w:rsidRPr="003875F5">
        <w:rPr>
          <w:rFonts w:ascii="Times New Roman" w:hAnsi="Times New Roman" w:cs="Times New Roman"/>
          <w:sz w:val="24"/>
          <w:szCs w:val="24"/>
          <w:lang w:val="en-US"/>
        </w:rPr>
        <w:t xml:space="preserve">ction was introduced in </w:t>
      </w:r>
      <w:proofErr w:type="spellStart"/>
      <w:r w:rsidR="00146304" w:rsidRPr="003875F5">
        <w:rPr>
          <w:rFonts w:ascii="Times New Roman" w:hAnsi="Times New Roman" w:cs="Times New Roman"/>
          <w:sz w:val="24"/>
          <w:szCs w:val="24"/>
          <w:lang w:val="en-US"/>
        </w:rPr>
        <w:t>mm_plbn</w:t>
      </w:r>
      <w:proofErr w:type="spellEnd"/>
      <w:r w:rsidR="00146304" w:rsidRPr="003875F5">
        <w:rPr>
          <w:rFonts w:ascii="Times New Roman" w:hAnsi="Times New Roman" w:cs="Times New Roman"/>
          <w:sz w:val="24"/>
          <w:szCs w:val="24"/>
          <w:lang w:val="en-US"/>
        </w:rPr>
        <w:t xml:space="preserve"> “</w:t>
      </w:r>
      <w:r w:rsidR="00146304" w:rsidRPr="003875F5">
        <w:rPr>
          <w:rFonts w:ascii="Times New Roman" w:hAnsi="Times New Roman" w:cs="Times New Roman"/>
          <w:i/>
          <w:sz w:val="24"/>
          <w:szCs w:val="24"/>
          <w:lang w:val="en-US"/>
        </w:rPr>
        <w:t>Effective October 1, 2012, the CBU imposes a 40% reserve requirement on the average daily (weekends and holidays included) securities holdings (for the penultimate calendar month) in excess of the August 16, 2012, balance. The requirement applies both to peso- and indexed-unit-denominated CB securities of financial institutions with a position in CBU securities and held for and on behalf of nonresidents (Circular No. 2120). Funds under these regulations must be in fixed-term deposits (in pesos or indexed units, depending on the denomination of the security) at the CBU that do not earn interest. Effective August 1, 2013, the reserve requirement was increased to 50% from 40% for institutions holding a position in CB securities denominated in local currency or inflation index units on behalf of nonresidents. Effective August 1, 2013, a reserve requirement of 50% was introduced for institutions holding a position in government securities denominated in local currency or inflation index units on behalf of nonresidents</w:t>
      </w:r>
      <w:r w:rsidR="00146304" w:rsidRPr="003875F5">
        <w:rPr>
          <w:rFonts w:ascii="Times New Roman" w:hAnsi="Times New Roman" w:cs="Times New Roman"/>
          <w:sz w:val="24"/>
          <w:szCs w:val="24"/>
          <w:lang w:val="en-US"/>
        </w:rPr>
        <w:t xml:space="preserve">.” </w:t>
      </w:r>
      <w:r w:rsidR="00AC0210" w:rsidRPr="003875F5">
        <w:rPr>
          <w:rFonts w:ascii="Times New Roman" w:hAnsi="Times New Roman" w:cs="Times New Roman"/>
          <w:sz w:val="24"/>
          <w:szCs w:val="24"/>
          <w:lang w:val="en-US"/>
        </w:rPr>
        <w:t xml:space="preserve">Despite that this regulation was effective in </w:t>
      </w:r>
      <w:proofErr w:type="gramStart"/>
      <w:r w:rsidR="00AC0210" w:rsidRPr="003875F5">
        <w:rPr>
          <w:rFonts w:ascii="Times New Roman" w:hAnsi="Times New Roman" w:cs="Times New Roman"/>
          <w:sz w:val="24"/>
          <w:szCs w:val="24"/>
          <w:lang w:val="en-US"/>
        </w:rPr>
        <w:t>October,</w:t>
      </w:r>
      <w:proofErr w:type="gramEnd"/>
      <w:r w:rsidR="00AC0210" w:rsidRPr="003875F5">
        <w:rPr>
          <w:rFonts w:ascii="Times New Roman" w:hAnsi="Times New Roman" w:cs="Times New Roman"/>
          <w:sz w:val="24"/>
          <w:szCs w:val="24"/>
          <w:lang w:val="en-US"/>
        </w:rPr>
        <w:t xml:space="preserve"> we think that the coding for 2012 must reflect this change. </w:t>
      </w:r>
    </w:p>
    <w:p w:rsidR="00B3630A" w:rsidRPr="003875F5" w:rsidRDefault="005434D0" w:rsidP="005434D0">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lastRenderedPageBreak/>
        <w:t>In derivatives (header) 1995</w:t>
      </w:r>
      <w:r w:rsidR="00203BBA" w:rsidRPr="003875F5">
        <w:rPr>
          <w:rFonts w:ascii="Times New Roman" w:hAnsi="Times New Roman" w:cs="Times New Roman"/>
          <w:sz w:val="24"/>
          <w:szCs w:val="24"/>
          <w:lang w:val="en-US"/>
        </w:rPr>
        <w:t>-199</w:t>
      </w:r>
      <w:r w:rsidR="00AE31DB" w:rsidRPr="003875F5">
        <w:rPr>
          <w:rFonts w:ascii="Times New Roman" w:hAnsi="Times New Roman" w:cs="Times New Roman"/>
          <w:sz w:val="24"/>
          <w:szCs w:val="24"/>
          <w:lang w:val="en-US"/>
        </w:rPr>
        <w:t>7</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are no derivative operations on the securities market, not even for commodities. As they do not exist, they are not regulated</w:t>
      </w:r>
      <w:r w:rsidRPr="003875F5">
        <w:rPr>
          <w:rFonts w:ascii="Times New Roman" w:hAnsi="Times New Roman" w:cs="Times New Roman"/>
          <w:sz w:val="24"/>
          <w:szCs w:val="24"/>
          <w:lang w:val="en-US"/>
        </w:rPr>
        <w:t>.”</w:t>
      </w:r>
      <w:r w:rsidR="00B3630A" w:rsidRPr="003875F5">
        <w:rPr>
          <w:rFonts w:ascii="Times New Roman" w:hAnsi="Times New Roman" w:cs="Times New Roman"/>
          <w:sz w:val="24"/>
          <w:szCs w:val="24"/>
          <w:lang w:val="en-US"/>
        </w:rPr>
        <w:t xml:space="preserve"> Subcategories were coded pursuant rule 3(i).</w:t>
      </w:r>
    </w:p>
    <w:p w:rsidR="005434D0" w:rsidRPr="003875F5" w:rsidRDefault="00C451EA" w:rsidP="00B3630A">
      <w:pPr>
        <w:pStyle w:val="Prrafodelista"/>
        <w:spacing w:line="240" w:lineRule="auto"/>
        <w:ind w:left="2160"/>
        <w:jc w:val="both"/>
        <w:rPr>
          <w:rFonts w:ascii="Times New Roman" w:hAnsi="Times New Roman" w:cs="Times New Roman"/>
          <w:sz w:val="24"/>
          <w:szCs w:val="24"/>
          <w:lang w:val="en-US"/>
        </w:rPr>
      </w:pPr>
      <w:proofErr w:type="gramStart"/>
      <w:r w:rsidRPr="003875F5">
        <w:rPr>
          <w:rFonts w:ascii="Times New Roman" w:hAnsi="Times New Roman" w:cs="Times New Roman"/>
          <w:sz w:val="24"/>
          <w:szCs w:val="24"/>
          <w:lang w:val="en-US"/>
        </w:rPr>
        <w:t>Note that</w:t>
      </w:r>
      <w:r w:rsidR="00B3630A" w:rsidRPr="003875F5">
        <w:rPr>
          <w:rFonts w:ascii="Times New Roman" w:hAnsi="Times New Roman" w:cs="Times New Roman"/>
          <w:sz w:val="24"/>
          <w:szCs w:val="24"/>
          <w:lang w:val="en-US"/>
        </w:rPr>
        <w:t xml:space="preserve"> in </w:t>
      </w:r>
      <w:r w:rsidRPr="003875F5">
        <w:rPr>
          <w:rFonts w:ascii="Times New Roman" w:hAnsi="Times New Roman" w:cs="Times New Roman"/>
          <w:sz w:val="24"/>
          <w:szCs w:val="24"/>
          <w:lang w:val="en-US"/>
        </w:rPr>
        <w:t>1998-2010, the report only shows “</w:t>
      </w:r>
      <w:proofErr w:type="spellStart"/>
      <w:r w:rsidRPr="003875F5">
        <w:rPr>
          <w:rFonts w:ascii="Times New Roman" w:hAnsi="Times New Roman" w:cs="Times New Roman"/>
          <w:i/>
          <w:sz w:val="24"/>
          <w:szCs w:val="24"/>
          <w:lang w:val="en-US"/>
        </w:rPr>
        <w:t>n.r</w:t>
      </w:r>
      <w:proofErr w:type="spellEnd"/>
      <w:r w:rsidRPr="003875F5">
        <w:rPr>
          <w:rFonts w:ascii="Times New Roman" w:hAnsi="Times New Roman" w:cs="Times New Roman"/>
          <w:sz w:val="24"/>
          <w:szCs w:val="24"/>
          <w:lang w:val="en-US"/>
        </w:rPr>
        <w:t>” (not regulated).</w:t>
      </w:r>
      <w:proofErr w:type="gramEnd"/>
      <w:r w:rsidRPr="003875F5">
        <w:rPr>
          <w:rFonts w:ascii="Times New Roman" w:hAnsi="Times New Roman" w:cs="Times New Roman"/>
          <w:sz w:val="24"/>
          <w:szCs w:val="24"/>
          <w:lang w:val="en-US"/>
        </w:rPr>
        <w:t xml:space="preserve"> In 2011, it is replaced by: “</w:t>
      </w:r>
      <w:r w:rsidRPr="003875F5">
        <w:rPr>
          <w:rFonts w:ascii="Times New Roman" w:hAnsi="Times New Roman" w:cs="Times New Roman"/>
          <w:i/>
          <w:sz w:val="24"/>
          <w:szCs w:val="24"/>
          <w:lang w:val="en-US"/>
        </w:rPr>
        <w:t>There are no restrictions on derivative transactions</w:t>
      </w:r>
      <w:r w:rsidRPr="003875F5">
        <w:rPr>
          <w:rFonts w:ascii="Times New Roman" w:hAnsi="Times New Roman" w:cs="Times New Roman"/>
          <w:sz w:val="24"/>
          <w:szCs w:val="24"/>
          <w:lang w:val="en-US"/>
        </w:rPr>
        <w:t>”.</w:t>
      </w:r>
    </w:p>
    <w:p w:rsidR="00811E0E" w:rsidRPr="003875F5" w:rsidRDefault="007A5548" w:rsidP="00B252C6">
      <w:pPr>
        <w:pStyle w:val="Estilo2"/>
      </w:pPr>
      <w:bookmarkStart w:id="87" w:name="_Toc402472385"/>
      <w:r w:rsidRPr="003875F5">
        <w:t>Uzbekistan</w:t>
      </w:r>
      <w:bookmarkEnd w:id="87"/>
    </w:p>
    <w:p w:rsidR="00CD1896" w:rsidRPr="003875F5" w:rsidRDefault="00CD1896"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w:t>
      </w:r>
      <w:proofErr w:type="spellStart"/>
      <w:r w:rsidRPr="003875F5">
        <w:rPr>
          <w:rFonts w:ascii="Times New Roman" w:hAnsi="Times New Roman" w:cs="Times New Roman"/>
          <w:sz w:val="24"/>
          <w:szCs w:val="24"/>
          <w:lang w:val="en-US"/>
        </w:rPr>
        <w:t>dio</w:t>
      </w:r>
      <w:proofErr w:type="spellEnd"/>
      <w:r w:rsidRPr="003875F5">
        <w:rPr>
          <w:rFonts w:ascii="Times New Roman" w:hAnsi="Times New Roman" w:cs="Times New Roman"/>
          <w:sz w:val="24"/>
          <w:szCs w:val="24"/>
          <w:lang w:val="en-US"/>
        </w:rPr>
        <w:t xml:space="preserve"> in 2006 and 2007 we continue to set it to 0 as it only alluded to notifications. This however changes to 1 in 2008 as they start requiring authorization.</w:t>
      </w:r>
    </w:p>
    <w:p w:rsidR="00CD1896" w:rsidRPr="003875F5" w:rsidRDefault="00CD1896"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For dii in 2010 and 2011 we continue to code as 1 as it continues to allude to minimum requirements. </w:t>
      </w:r>
    </w:p>
    <w:p w:rsidR="007F17DE" w:rsidRPr="003875F5" w:rsidRDefault="005E5E2E" w:rsidP="005E5E2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de_plbn</w:t>
      </w:r>
      <w:proofErr w:type="spellEnd"/>
      <w:r w:rsidRPr="003875F5">
        <w:rPr>
          <w:rFonts w:ascii="Times New Roman" w:hAnsi="Times New Roman" w:cs="Times New Roman"/>
          <w:sz w:val="24"/>
          <w:szCs w:val="24"/>
          <w:lang w:val="en-US"/>
        </w:rPr>
        <w:t xml:space="preserve"> 2007</w:t>
      </w:r>
      <w:r w:rsidR="00E94702" w:rsidRPr="003875F5">
        <w:rPr>
          <w:rFonts w:ascii="Times New Roman" w:hAnsi="Times New Roman" w:cs="Times New Roman"/>
          <w:sz w:val="24"/>
          <w:szCs w:val="24"/>
          <w:lang w:val="en-US"/>
        </w:rPr>
        <w:t>-2009</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Nonresidents may purchase for foreign currency any securities permitted for circulation in Uzbekistan, unless their terms of issue prohibit nonresidents from holding these securities</w:t>
      </w:r>
      <w:r w:rsidRPr="003875F5">
        <w:rPr>
          <w:rFonts w:ascii="Times New Roman" w:hAnsi="Times New Roman" w:cs="Times New Roman"/>
          <w:sz w:val="24"/>
          <w:szCs w:val="24"/>
          <w:lang w:val="en-US"/>
        </w:rPr>
        <w:t xml:space="preserve">.” </w:t>
      </w:r>
      <w:r w:rsidR="00F85E5D" w:rsidRPr="003875F5">
        <w:rPr>
          <w:rFonts w:ascii="Times New Roman" w:hAnsi="Times New Roman" w:cs="Times New Roman"/>
          <w:sz w:val="24"/>
          <w:szCs w:val="24"/>
          <w:lang w:val="en-US"/>
        </w:rPr>
        <w:t>We interpret this information to be a control.</w:t>
      </w:r>
    </w:p>
    <w:p w:rsidR="005E5E2E" w:rsidRPr="003875F5" w:rsidRDefault="007F17DE" w:rsidP="007F17D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re_pabr</w:t>
      </w:r>
      <w:proofErr w:type="spellEnd"/>
      <w:r w:rsidRPr="003875F5">
        <w:rPr>
          <w:rFonts w:ascii="Times New Roman" w:hAnsi="Times New Roman" w:cs="Times New Roman"/>
          <w:sz w:val="24"/>
          <w:szCs w:val="24"/>
          <w:lang w:val="en-US"/>
        </w:rPr>
        <w:t xml:space="preserve"> 2011-2012: “</w:t>
      </w:r>
      <w:r w:rsidRPr="003875F5">
        <w:rPr>
          <w:rFonts w:ascii="Times New Roman" w:hAnsi="Times New Roman" w:cs="Times New Roman"/>
          <w:i/>
          <w:sz w:val="24"/>
          <w:szCs w:val="24"/>
          <w:lang w:val="en-US"/>
        </w:rPr>
        <w:t>Foreign exchange transactions related to the purchase by resident individuals and legal entities of buildings, structures, and other real estate abroad are registered with the CBU. Foreign exchange transactions involving the movement of capital to purchase or build real property outside Uzbekistan for the needs of diplomatic and other representative offices are under the authority of the Cabinet of Ministers</w:t>
      </w:r>
      <w:r w:rsidRPr="003875F5">
        <w:rPr>
          <w:rFonts w:ascii="Times New Roman" w:hAnsi="Times New Roman" w:cs="Times New Roman"/>
          <w:sz w:val="24"/>
          <w:szCs w:val="24"/>
          <w:lang w:val="en-US"/>
        </w:rPr>
        <w:t xml:space="preserve">.” </w:t>
      </w:r>
      <w:r w:rsidR="004715C2" w:rsidRPr="003875F5">
        <w:rPr>
          <w:rFonts w:ascii="Times New Roman" w:hAnsi="Times New Roman" w:cs="Times New Roman"/>
          <w:sz w:val="24"/>
          <w:szCs w:val="24"/>
          <w:lang w:val="en-US"/>
        </w:rPr>
        <w:t>We</w:t>
      </w:r>
      <w:r w:rsidRPr="003875F5">
        <w:rPr>
          <w:rFonts w:ascii="Times New Roman" w:hAnsi="Times New Roman" w:cs="Times New Roman"/>
          <w:sz w:val="24"/>
          <w:szCs w:val="24"/>
          <w:lang w:val="en-US"/>
        </w:rPr>
        <w:t xml:space="preserve"> coded with zeros</w:t>
      </w:r>
      <w:r w:rsidR="004715C2" w:rsidRPr="003875F5">
        <w:rPr>
          <w:rFonts w:ascii="Times New Roman" w:hAnsi="Times New Roman" w:cs="Times New Roman"/>
          <w:sz w:val="24"/>
          <w:szCs w:val="24"/>
          <w:lang w:val="en-US"/>
        </w:rPr>
        <w:t xml:space="preserve">, since there are </w:t>
      </w:r>
      <w:r w:rsidR="002C4397" w:rsidRPr="003875F5">
        <w:rPr>
          <w:rFonts w:ascii="Times New Roman" w:hAnsi="Times New Roman" w:cs="Times New Roman"/>
          <w:sz w:val="24"/>
          <w:szCs w:val="24"/>
          <w:lang w:val="en-US"/>
        </w:rPr>
        <w:t>controls only to real estate with diplomatic and representation purposes</w:t>
      </w:r>
      <w:r w:rsidRPr="003875F5">
        <w:rPr>
          <w:rFonts w:ascii="Times New Roman" w:hAnsi="Times New Roman" w:cs="Times New Roman"/>
          <w:sz w:val="24"/>
          <w:szCs w:val="24"/>
          <w:lang w:val="en-US"/>
        </w:rPr>
        <w:t>.</w:t>
      </w:r>
    </w:p>
    <w:p w:rsidR="008F6000" w:rsidRPr="003875F5" w:rsidRDefault="008F6000" w:rsidP="00B252C6">
      <w:pPr>
        <w:pStyle w:val="Estilo2"/>
      </w:pPr>
      <w:bookmarkStart w:id="88" w:name="_Toc402472386"/>
      <w:r w:rsidRPr="003875F5">
        <w:t>Venezuela</w:t>
      </w:r>
      <w:bookmarkEnd w:id="88"/>
    </w:p>
    <w:p w:rsidR="008F6000" w:rsidRPr="003875F5" w:rsidRDefault="00465F62" w:rsidP="00D712AE">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2012, t</w:t>
      </w:r>
      <w:r w:rsidR="008F6000" w:rsidRPr="003875F5">
        <w:rPr>
          <w:rFonts w:ascii="Times New Roman" w:hAnsi="Times New Roman" w:cs="Times New Roman"/>
          <w:sz w:val="24"/>
          <w:szCs w:val="24"/>
          <w:lang w:val="en-US"/>
        </w:rPr>
        <w:t>he “</w:t>
      </w:r>
      <w:proofErr w:type="spellStart"/>
      <w:r w:rsidR="008F6000" w:rsidRPr="003875F5">
        <w:rPr>
          <w:rFonts w:ascii="Times New Roman" w:hAnsi="Times New Roman" w:cs="Times New Roman"/>
          <w:sz w:val="24"/>
          <w:szCs w:val="24"/>
          <w:lang w:val="en-US"/>
        </w:rPr>
        <w:t>n.r</w:t>
      </w:r>
      <w:proofErr w:type="spellEnd"/>
      <w:r w:rsidR="008F6000" w:rsidRPr="003875F5">
        <w:rPr>
          <w:rFonts w:ascii="Times New Roman" w:hAnsi="Times New Roman" w:cs="Times New Roman"/>
          <w:sz w:val="24"/>
          <w:szCs w:val="24"/>
          <w:lang w:val="en-US"/>
        </w:rPr>
        <w:t xml:space="preserve">” in </w:t>
      </w:r>
      <w:proofErr w:type="spellStart"/>
      <w:r w:rsidR="008F6000" w:rsidRPr="003875F5">
        <w:rPr>
          <w:rFonts w:ascii="Times New Roman" w:hAnsi="Times New Roman" w:cs="Times New Roman"/>
          <w:sz w:val="24"/>
          <w:szCs w:val="24"/>
          <w:lang w:val="en-US"/>
        </w:rPr>
        <w:t>fco</w:t>
      </w:r>
      <w:proofErr w:type="spellEnd"/>
      <w:r w:rsidR="008F6000" w:rsidRPr="003875F5">
        <w:rPr>
          <w:rFonts w:ascii="Times New Roman" w:hAnsi="Times New Roman" w:cs="Times New Roman"/>
          <w:sz w:val="24"/>
          <w:szCs w:val="24"/>
          <w:lang w:val="en-US"/>
        </w:rPr>
        <w:t xml:space="preserve"> was coded as a 0, in order to maintain consistency with previous years that had the same case.</w:t>
      </w:r>
    </w:p>
    <w:p w:rsidR="005320A3" w:rsidRPr="003875F5" w:rsidRDefault="005320A3" w:rsidP="005320A3">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dii </w:t>
      </w:r>
      <w:r w:rsidR="00CE6CBC" w:rsidRPr="003875F5">
        <w:rPr>
          <w:rFonts w:ascii="Times New Roman" w:hAnsi="Times New Roman" w:cs="Times New Roman"/>
          <w:sz w:val="24"/>
          <w:szCs w:val="24"/>
          <w:lang w:val="en-US"/>
        </w:rPr>
        <w:t>1995</w:t>
      </w:r>
      <w:r w:rsidRPr="003875F5">
        <w:rPr>
          <w:rFonts w:ascii="Times New Roman" w:hAnsi="Times New Roman" w:cs="Times New Roman"/>
          <w:sz w:val="24"/>
          <w:szCs w:val="24"/>
          <w:lang w:val="en-US"/>
        </w:rPr>
        <w:t>-2012: “</w:t>
      </w:r>
      <w:r w:rsidRPr="003875F5">
        <w:rPr>
          <w:rFonts w:ascii="Times New Roman" w:hAnsi="Times New Roman" w:cs="Times New Roman"/>
          <w:i/>
          <w:sz w:val="24"/>
          <w:szCs w:val="24"/>
          <w:lang w:val="en-US"/>
        </w:rPr>
        <w:t xml:space="preserve">Mass media, communications, newspapers in Spanish, and professional services are reserved for national ownership. New investments do not require prior authorization from the SIEX, but must be registered with the SIEX, and approval is automatically granted if the new investment is consistent with national legislation. Foreign enterprises may establish subsidiaries in the </w:t>
      </w:r>
      <w:proofErr w:type="spellStart"/>
      <w:r w:rsidRPr="003875F5">
        <w:rPr>
          <w:rFonts w:ascii="Times New Roman" w:hAnsi="Times New Roman" w:cs="Times New Roman"/>
          <w:i/>
          <w:sz w:val="24"/>
          <w:szCs w:val="24"/>
          <w:lang w:val="en-US"/>
        </w:rPr>
        <w:t>República</w:t>
      </w:r>
      <w:proofErr w:type="spellEnd"/>
      <w:r w:rsidRPr="003875F5">
        <w:rPr>
          <w:rFonts w:ascii="Times New Roman" w:hAnsi="Times New Roman" w:cs="Times New Roman"/>
          <w:i/>
          <w:sz w:val="24"/>
          <w:szCs w:val="24"/>
          <w:lang w:val="en-US"/>
        </w:rPr>
        <w:t xml:space="preserve"> </w:t>
      </w:r>
      <w:proofErr w:type="spellStart"/>
      <w:r w:rsidRPr="003875F5">
        <w:rPr>
          <w:rFonts w:ascii="Times New Roman" w:hAnsi="Times New Roman" w:cs="Times New Roman"/>
          <w:i/>
          <w:sz w:val="24"/>
          <w:szCs w:val="24"/>
          <w:lang w:val="en-US"/>
        </w:rPr>
        <w:t>Bolivariana</w:t>
      </w:r>
      <w:proofErr w:type="spellEnd"/>
      <w:r w:rsidRPr="003875F5">
        <w:rPr>
          <w:rFonts w:ascii="Times New Roman" w:hAnsi="Times New Roman" w:cs="Times New Roman"/>
          <w:i/>
          <w:sz w:val="24"/>
          <w:szCs w:val="24"/>
          <w:lang w:val="en-US"/>
        </w:rPr>
        <w:t xml:space="preserve"> de Venezuela without prior authorization as long as they are consistent with the commercial code. The SIEX must, however, be notified within 60 working days about newly established subsidiaries. Investment in the petroleum and iron sectors is subject to specific regulations</w:t>
      </w:r>
      <w:r w:rsidRPr="003875F5">
        <w:rPr>
          <w:rFonts w:ascii="Times New Roman" w:hAnsi="Times New Roman" w:cs="Times New Roman"/>
          <w:sz w:val="24"/>
          <w:szCs w:val="24"/>
          <w:lang w:val="en-US"/>
        </w:rPr>
        <w:t>.” Pursuant rule 9, the last sentence of the foregoing narrative is a control.</w:t>
      </w:r>
    </w:p>
    <w:p w:rsidR="00572E67" w:rsidRPr="003875F5" w:rsidRDefault="00572E67" w:rsidP="00572E67">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derivatives (header) 1997</w:t>
      </w:r>
      <w:r w:rsidR="00E94702" w:rsidRPr="003875F5">
        <w:rPr>
          <w:rFonts w:ascii="Times New Roman" w:hAnsi="Times New Roman" w:cs="Times New Roman"/>
          <w:sz w:val="24"/>
          <w:szCs w:val="24"/>
          <w:lang w:val="en-US"/>
        </w:rPr>
        <w:t>-</w:t>
      </w:r>
      <w:r w:rsidR="00333DD1" w:rsidRPr="003875F5">
        <w:rPr>
          <w:rFonts w:ascii="Times New Roman" w:hAnsi="Times New Roman" w:cs="Times New Roman"/>
          <w:sz w:val="24"/>
          <w:szCs w:val="24"/>
          <w:lang w:val="en-US"/>
        </w:rPr>
        <w:t>2004</w:t>
      </w:r>
      <w:r w:rsidRPr="003875F5">
        <w:rPr>
          <w:rFonts w:ascii="Times New Roman" w:hAnsi="Times New Roman" w:cs="Times New Roman"/>
          <w:sz w:val="24"/>
          <w:szCs w:val="24"/>
          <w:lang w:val="en-US"/>
        </w:rPr>
        <w:t>: “</w:t>
      </w:r>
      <w:r w:rsidRPr="003875F5">
        <w:rPr>
          <w:rFonts w:ascii="Times New Roman" w:hAnsi="Times New Roman" w:cs="Times New Roman"/>
          <w:i/>
          <w:sz w:val="24"/>
          <w:szCs w:val="24"/>
          <w:lang w:val="en-US"/>
        </w:rPr>
        <w:t>There are, however, some regulations for market participants</w:t>
      </w:r>
      <w:r w:rsidRPr="003875F5">
        <w:rPr>
          <w:rFonts w:ascii="Times New Roman" w:hAnsi="Times New Roman" w:cs="Times New Roman"/>
          <w:sz w:val="24"/>
          <w:szCs w:val="24"/>
          <w:lang w:val="en-US"/>
        </w:rPr>
        <w:t xml:space="preserve">.” </w:t>
      </w:r>
      <w:r w:rsidR="00F85E5D" w:rsidRPr="003875F5">
        <w:rPr>
          <w:rFonts w:ascii="Times New Roman" w:hAnsi="Times New Roman" w:cs="Times New Roman"/>
          <w:sz w:val="24"/>
          <w:szCs w:val="24"/>
          <w:lang w:val="en-US"/>
        </w:rPr>
        <w:t xml:space="preserve">Given the vagueness of this information, we coded </w:t>
      </w:r>
      <w:r w:rsidR="00323F79" w:rsidRPr="003875F5">
        <w:rPr>
          <w:rFonts w:ascii="Times New Roman" w:hAnsi="Times New Roman" w:cs="Times New Roman"/>
          <w:sz w:val="24"/>
          <w:szCs w:val="24"/>
          <w:lang w:val="en-US"/>
        </w:rPr>
        <w:t>pursuant rule 3(i).</w:t>
      </w:r>
    </w:p>
    <w:p w:rsidR="00D93F19" w:rsidRPr="003875F5" w:rsidRDefault="00D93F19" w:rsidP="00B252C6">
      <w:pPr>
        <w:pStyle w:val="Estilo2"/>
      </w:pPr>
      <w:bookmarkStart w:id="89" w:name="_Toc402472387"/>
      <w:r w:rsidRPr="003875F5">
        <w:lastRenderedPageBreak/>
        <w:t>Vietnam</w:t>
      </w:r>
      <w:bookmarkEnd w:id="89"/>
    </w:p>
    <w:p w:rsidR="00D93F19" w:rsidRPr="003875F5" w:rsidRDefault="00D93F19" w:rsidP="00D93F19">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mm_pabr</w:t>
      </w:r>
      <w:proofErr w:type="spellEnd"/>
      <w:r w:rsidRPr="003875F5">
        <w:rPr>
          <w:rFonts w:ascii="Times New Roman" w:hAnsi="Times New Roman" w:cs="Times New Roman"/>
          <w:sz w:val="24"/>
          <w:szCs w:val="24"/>
          <w:lang w:val="en-US"/>
        </w:rPr>
        <w:t xml:space="preserve"> 2011-2012: “</w:t>
      </w:r>
      <w:r w:rsidRPr="003875F5">
        <w:rPr>
          <w:rFonts w:ascii="Times New Roman" w:hAnsi="Times New Roman" w:cs="Times New Roman"/>
          <w:i/>
          <w:sz w:val="24"/>
          <w:szCs w:val="24"/>
          <w:lang w:val="en-US"/>
        </w:rPr>
        <w:t>Insurance companies, pension funds, investment firms, and collective investment funds are not permitted to invest in securities issued by nonresidents</w:t>
      </w:r>
      <w:r w:rsidRPr="003875F5">
        <w:rPr>
          <w:rFonts w:ascii="Times New Roman" w:hAnsi="Times New Roman" w:cs="Times New Roman"/>
          <w:sz w:val="24"/>
          <w:szCs w:val="24"/>
          <w:lang w:val="en-US"/>
        </w:rPr>
        <w:t xml:space="preserve">.” </w:t>
      </w:r>
      <w:r w:rsidR="00CF0EB6" w:rsidRPr="003875F5">
        <w:rPr>
          <w:rFonts w:ascii="Times New Roman" w:hAnsi="Times New Roman" w:cs="Times New Roman"/>
          <w:sz w:val="24"/>
          <w:szCs w:val="24"/>
          <w:lang w:val="en-US"/>
        </w:rPr>
        <w:t>This is considered to be a control since there are restriction on pension funds and other sectors bearing macro impacts.</w:t>
      </w:r>
    </w:p>
    <w:p w:rsidR="003C49FF" w:rsidRPr="003875F5" w:rsidRDefault="003C49FF" w:rsidP="003C49FF">
      <w:pPr>
        <w:pStyle w:val="Prrafodelista"/>
        <w:numPr>
          <w:ilvl w:val="2"/>
          <w:numId w:val="2"/>
        </w:numPr>
        <w:spacing w:line="240" w:lineRule="auto"/>
        <w:jc w:val="both"/>
        <w:rPr>
          <w:rFonts w:ascii="Times New Roman" w:hAnsi="Times New Roman" w:cs="Times New Roman"/>
          <w:b/>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cco</w:t>
      </w:r>
      <w:proofErr w:type="spellEnd"/>
      <w:r w:rsidRPr="003875F5">
        <w:rPr>
          <w:rFonts w:ascii="Times New Roman" w:hAnsi="Times New Roman" w:cs="Times New Roman"/>
          <w:sz w:val="24"/>
          <w:szCs w:val="24"/>
          <w:lang w:val="en-US"/>
        </w:rPr>
        <w:t xml:space="preserve"> 1996: “</w:t>
      </w:r>
      <w:r w:rsidRPr="003875F5">
        <w:rPr>
          <w:rFonts w:ascii="Times New Roman" w:hAnsi="Times New Roman" w:cs="Times New Roman"/>
          <w:i/>
          <w:sz w:val="24"/>
          <w:szCs w:val="24"/>
          <w:lang w:val="en-US"/>
        </w:rPr>
        <w:t>No specific regulations exist</w:t>
      </w:r>
      <w:r w:rsidRPr="003875F5">
        <w:rPr>
          <w:rFonts w:ascii="Times New Roman" w:hAnsi="Times New Roman" w:cs="Times New Roman"/>
          <w:sz w:val="24"/>
          <w:szCs w:val="24"/>
          <w:lang w:val="en-US"/>
        </w:rPr>
        <w:t>.” Similar to the decision we took on derivatives, I coded in accordance with rule 3(i).</w:t>
      </w:r>
    </w:p>
    <w:p w:rsidR="008F6000" w:rsidRPr="003875F5" w:rsidRDefault="008F6000" w:rsidP="00B252C6">
      <w:pPr>
        <w:pStyle w:val="Estilo2"/>
      </w:pPr>
      <w:bookmarkStart w:id="90" w:name="_Toc402472388"/>
      <w:r w:rsidRPr="003875F5">
        <w:t>Yemen</w:t>
      </w:r>
      <w:bookmarkEnd w:id="90"/>
    </w:p>
    <w:p w:rsidR="00C8315D" w:rsidRPr="003875F5" w:rsidRDefault="008D5F93" w:rsidP="00C8315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dii 2009-2012</w:t>
      </w:r>
      <w:r w:rsidR="008F6000" w:rsidRPr="003875F5">
        <w:rPr>
          <w:rFonts w:ascii="Times New Roman" w:hAnsi="Times New Roman" w:cs="Times New Roman"/>
          <w:sz w:val="24"/>
          <w:szCs w:val="24"/>
          <w:lang w:val="en-US"/>
        </w:rPr>
        <w:t>: “</w:t>
      </w:r>
      <w:r w:rsidR="008F6000" w:rsidRPr="003875F5">
        <w:rPr>
          <w:rFonts w:ascii="Times New Roman" w:hAnsi="Times New Roman" w:cs="Times New Roman"/>
          <w:i/>
          <w:sz w:val="24"/>
          <w:szCs w:val="24"/>
          <w:lang w:val="en-US"/>
        </w:rPr>
        <w:t>FDI is regulated by the Investment Law (IL). Application, registration, and approval to set up a project are all handled by the General Investment Authority. The IL allows all types of FDI, except exploration and extraction of oil and banking and exchange bureau activities, which are covered by other laws. The IL also does not apply to import, wholesale, and retail trade</w:t>
      </w:r>
      <w:r w:rsidR="008F6000" w:rsidRPr="003875F5">
        <w:rPr>
          <w:rFonts w:ascii="Times New Roman" w:hAnsi="Times New Roman" w:cs="Times New Roman"/>
          <w:sz w:val="24"/>
          <w:szCs w:val="24"/>
          <w:lang w:val="en-US"/>
        </w:rPr>
        <w:t xml:space="preserve">.” The General Investment Authority must </w:t>
      </w:r>
      <w:r w:rsidR="00465F62" w:rsidRPr="003875F5">
        <w:rPr>
          <w:rFonts w:ascii="Times New Roman" w:hAnsi="Times New Roman" w:cs="Times New Roman"/>
          <w:i/>
          <w:sz w:val="24"/>
          <w:szCs w:val="24"/>
          <w:lang w:val="en-US"/>
        </w:rPr>
        <w:t>approve</w:t>
      </w:r>
      <w:r w:rsidR="008F6000" w:rsidRPr="003875F5">
        <w:rPr>
          <w:rFonts w:ascii="Times New Roman" w:hAnsi="Times New Roman" w:cs="Times New Roman"/>
          <w:sz w:val="24"/>
          <w:szCs w:val="24"/>
          <w:lang w:val="en-US"/>
        </w:rPr>
        <w:t xml:space="preserve"> FDI.</w:t>
      </w:r>
      <w:r w:rsidRPr="003875F5">
        <w:rPr>
          <w:rFonts w:ascii="Times New Roman" w:hAnsi="Times New Roman" w:cs="Times New Roman"/>
          <w:sz w:val="24"/>
          <w:szCs w:val="24"/>
          <w:lang w:val="en-US"/>
        </w:rPr>
        <w:t xml:space="preserve"> Hence, we think that this must reflect a control.</w:t>
      </w:r>
    </w:p>
    <w:p w:rsidR="00EF3AFE" w:rsidRPr="003875F5" w:rsidRDefault="004263C4" w:rsidP="00C8315D">
      <w:pPr>
        <w:pStyle w:val="Prrafodelista"/>
        <w:numPr>
          <w:ilvl w:val="2"/>
          <w:numId w:val="2"/>
        </w:numPr>
        <w:spacing w:line="240" w:lineRule="auto"/>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 xml:space="preserve">In </w:t>
      </w:r>
      <w:proofErr w:type="spellStart"/>
      <w:r w:rsidRPr="003875F5">
        <w:rPr>
          <w:rFonts w:ascii="Times New Roman" w:hAnsi="Times New Roman" w:cs="Times New Roman"/>
          <w:sz w:val="24"/>
          <w:szCs w:val="24"/>
          <w:lang w:val="en-US"/>
        </w:rPr>
        <w:t>ldi</w:t>
      </w:r>
      <w:proofErr w:type="spellEnd"/>
      <w:r w:rsidRPr="003875F5">
        <w:rPr>
          <w:rFonts w:ascii="Times New Roman" w:hAnsi="Times New Roman" w:cs="Times New Roman"/>
          <w:sz w:val="24"/>
          <w:szCs w:val="24"/>
          <w:lang w:val="en-US"/>
        </w:rPr>
        <w:t xml:space="preserve"> 1996-2012</w:t>
      </w:r>
      <w:r w:rsidR="00E86532"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w:t>
      </w:r>
      <w:r w:rsidRPr="003875F5">
        <w:rPr>
          <w:rFonts w:ascii="Times New Roman" w:hAnsi="Times New Roman" w:cs="Times New Roman"/>
          <w:i/>
          <w:sz w:val="24"/>
          <w:szCs w:val="24"/>
          <w:lang w:val="en-US"/>
        </w:rPr>
        <w:t>Liquidation of direct investment is free of restrictions for approved and registered projects</w:t>
      </w:r>
      <w:r w:rsidRPr="003875F5">
        <w:rPr>
          <w:rFonts w:ascii="Times New Roman" w:hAnsi="Times New Roman" w:cs="Times New Roman"/>
          <w:sz w:val="24"/>
          <w:szCs w:val="24"/>
          <w:lang w:val="en-US"/>
        </w:rPr>
        <w:t xml:space="preserve">.” </w:t>
      </w:r>
      <w:r w:rsidR="00F27D04" w:rsidRPr="003875F5">
        <w:rPr>
          <w:rFonts w:ascii="Times New Roman" w:hAnsi="Times New Roman" w:cs="Times New Roman"/>
          <w:sz w:val="24"/>
          <w:szCs w:val="24"/>
          <w:lang w:val="en-US"/>
        </w:rPr>
        <w:t xml:space="preserve">Although we think that this information is unclear on whether there is an approval requirement, </w:t>
      </w:r>
      <w:r w:rsidR="00C8315D" w:rsidRPr="003875F5">
        <w:rPr>
          <w:rFonts w:ascii="Times New Roman" w:hAnsi="Times New Roman" w:cs="Times New Roman"/>
          <w:sz w:val="24"/>
          <w:szCs w:val="24"/>
          <w:lang w:val="en-US"/>
        </w:rPr>
        <w:t xml:space="preserve">we take the stand that this is not a control, keeping in mind that neither dii nor </w:t>
      </w:r>
      <w:proofErr w:type="spellStart"/>
      <w:r w:rsidR="00C8315D" w:rsidRPr="003875F5">
        <w:rPr>
          <w:rFonts w:ascii="Times New Roman" w:hAnsi="Times New Roman" w:cs="Times New Roman"/>
          <w:sz w:val="24"/>
          <w:szCs w:val="24"/>
          <w:lang w:val="en-US"/>
        </w:rPr>
        <w:t>dio</w:t>
      </w:r>
      <w:proofErr w:type="spellEnd"/>
      <w:r w:rsidR="00C8315D" w:rsidRPr="003875F5">
        <w:rPr>
          <w:rFonts w:ascii="Times New Roman" w:hAnsi="Times New Roman" w:cs="Times New Roman"/>
          <w:sz w:val="24"/>
          <w:szCs w:val="24"/>
          <w:lang w:val="en-US"/>
        </w:rPr>
        <w:t xml:space="preserve"> have controls.</w:t>
      </w:r>
    </w:p>
    <w:p w:rsidR="00883943" w:rsidRPr="003875F5" w:rsidRDefault="00883943" w:rsidP="00883943">
      <w:pPr>
        <w:pStyle w:val="Estilo1"/>
      </w:pPr>
      <w:bookmarkStart w:id="91" w:name="_Toc402472389"/>
      <w:r w:rsidRPr="003875F5">
        <w:t>DESCRIPTIVE STATISTICS</w:t>
      </w:r>
      <w:bookmarkEnd w:id="91"/>
    </w:p>
    <w:p w:rsidR="003875F5" w:rsidRPr="003875F5" w:rsidRDefault="00883943" w:rsidP="003875F5">
      <w:pPr>
        <w:jc w:val="both"/>
        <w:rPr>
          <w:rFonts w:ascii="Times New Roman" w:hAnsi="Times New Roman" w:cs="Times New Roman"/>
          <w:sz w:val="24"/>
          <w:szCs w:val="24"/>
          <w:lang w:val="en-US"/>
        </w:rPr>
      </w:pPr>
      <w:r w:rsidRPr="003875F5">
        <w:rPr>
          <w:rFonts w:ascii="Times New Roman" w:hAnsi="Times New Roman" w:cs="Times New Roman"/>
          <w:sz w:val="24"/>
          <w:szCs w:val="24"/>
          <w:lang w:val="en-US"/>
        </w:rPr>
        <w:t>In this section</w:t>
      </w:r>
      <w:r w:rsidR="00017D1D" w:rsidRPr="003875F5">
        <w:rPr>
          <w:rFonts w:ascii="Times New Roman" w:hAnsi="Times New Roman" w:cs="Times New Roman"/>
          <w:sz w:val="24"/>
          <w:szCs w:val="24"/>
          <w:lang w:val="en-US"/>
        </w:rPr>
        <w:t>,</w:t>
      </w:r>
      <w:r w:rsidRPr="003875F5">
        <w:rPr>
          <w:rFonts w:ascii="Times New Roman" w:hAnsi="Times New Roman" w:cs="Times New Roman"/>
          <w:sz w:val="24"/>
          <w:szCs w:val="24"/>
          <w:lang w:val="en-US"/>
        </w:rPr>
        <w:t xml:space="preserve"> descriptive statistics related to observations coded as either </w:t>
      </w:r>
      <w:proofErr w:type="spellStart"/>
      <w:r w:rsidRPr="003875F5">
        <w:rPr>
          <w:rFonts w:ascii="Times New Roman" w:hAnsi="Times New Roman" w:cs="Times New Roman"/>
          <w:i/>
          <w:sz w:val="24"/>
          <w:szCs w:val="24"/>
          <w:lang w:val="en-US"/>
        </w:rPr>
        <w:t>n.a</w:t>
      </w:r>
      <w:proofErr w:type="spellEnd"/>
      <w:r w:rsidRPr="003875F5">
        <w:rPr>
          <w:rFonts w:ascii="Times New Roman" w:hAnsi="Times New Roman" w:cs="Times New Roman"/>
          <w:sz w:val="24"/>
          <w:szCs w:val="24"/>
          <w:lang w:val="en-US"/>
        </w:rPr>
        <w:t xml:space="preserve"> </w:t>
      </w:r>
      <w:r w:rsidR="00017D1D" w:rsidRPr="003875F5">
        <w:rPr>
          <w:rFonts w:ascii="Times New Roman" w:hAnsi="Times New Roman" w:cs="Times New Roman"/>
          <w:sz w:val="24"/>
          <w:szCs w:val="24"/>
          <w:lang w:val="en-US"/>
        </w:rPr>
        <w:t xml:space="preserve">(not available) </w:t>
      </w:r>
      <w:r w:rsidRPr="003875F5">
        <w:rPr>
          <w:rFonts w:ascii="Times New Roman" w:hAnsi="Times New Roman" w:cs="Times New Roman"/>
          <w:sz w:val="24"/>
          <w:szCs w:val="24"/>
          <w:lang w:val="en-US"/>
        </w:rPr>
        <w:t xml:space="preserve">or </w:t>
      </w:r>
      <w:proofErr w:type="spellStart"/>
      <w:r w:rsidRPr="003875F5">
        <w:rPr>
          <w:rFonts w:ascii="Times New Roman" w:hAnsi="Times New Roman" w:cs="Times New Roman"/>
          <w:i/>
          <w:sz w:val="24"/>
          <w:szCs w:val="24"/>
          <w:lang w:val="en-US"/>
        </w:rPr>
        <w:t>n.r</w:t>
      </w:r>
      <w:proofErr w:type="spellEnd"/>
      <w:r w:rsidRPr="003875F5">
        <w:rPr>
          <w:rFonts w:ascii="Times New Roman" w:hAnsi="Times New Roman" w:cs="Times New Roman"/>
          <w:sz w:val="24"/>
          <w:szCs w:val="24"/>
          <w:lang w:val="en-US"/>
        </w:rPr>
        <w:t xml:space="preserve"> </w:t>
      </w:r>
      <w:r w:rsidR="00017D1D" w:rsidRPr="003875F5">
        <w:rPr>
          <w:rFonts w:ascii="Times New Roman" w:hAnsi="Times New Roman" w:cs="Times New Roman"/>
          <w:sz w:val="24"/>
          <w:szCs w:val="24"/>
          <w:lang w:val="en-US"/>
        </w:rPr>
        <w:t xml:space="preserve">(not regulated) </w:t>
      </w:r>
      <w:r w:rsidRPr="003875F5">
        <w:rPr>
          <w:rFonts w:ascii="Times New Roman" w:hAnsi="Times New Roman" w:cs="Times New Roman"/>
          <w:sz w:val="24"/>
          <w:szCs w:val="24"/>
          <w:lang w:val="en-US"/>
        </w:rPr>
        <w:t>are shown</w:t>
      </w:r>
      <w:r w:rsidR="003B2816" w:rsidRPr="003875F5">
        <w:rPr>
          <w:rStyle w:val="Refdenotaalpie"/>
          <w:rFonts w:ascii="Times New Roman" w:hAnsi="Times New Roman" w:cs="Times New Roman"/>
          <w:b/>
          <w:sz w:val="24"/>
          <w:szCs w:val="24"/>
          <w:lang w:val="en-US"/>
        </w:rPr>
        <w:footnoteReference w:id="2"/>
      </w:r>
      <w:r w:rsidRPr="003875F5">
        <w:rPr>
          <w:rFonts w:ascii="Times New Roman" w:hAnsi="Times New Roman" w:cs="Times New Roman"/>
          <w:sz w:val="24"/>
          <w:szCs w:val="24"/>
          <w:lang w:val="en-US"/>
        </w:rPr>
        <w:t>.</w:t>
      </w:r>
      <w:r w:rsidR="00017D1D" w:rsidRPr="003875F5">
        <w:rPr>
          <w:rFonts w:ascii="Times New Roman" w:hAnsi="Times New Roman" w:cs="Times New Roman"/>
          <w:sz w:val="24"/>
          <w:szCs w:val="24"/>
          <w:lang w:val="en-US"/>
        </w:rPr>
        <w:t xml:space="preserve"> We examine this sort of </w:t>
      </w:r>
      <w:r w:rsidR="003B2816" w:rsidRPr="003875F5">
        <w:rPr>
          <w:rFonts w:ascii="Times New Roman" w:hAnsi="Times New Roman" w:cs="Times New Roman"/>
          <w:sz w:val="24"/>
          <w:szCs w:val="24"/>
          <w:lang w:val="en-US"/>
        </w:rPr>
        <w:t xml:space="preserve">observations in four dimensions: First, we depict how many observations are present in each country and we compute their relative weight therein; second, we make a similar exercise by years; third, we calculate the share of </w:t>
      </w:r>
      <w:proofErr w:type="spellStart"/>
      <w:r w:rsidR="003B2816" w:rsidRPr="003875F5">
        <w:rPr>
          <w:rFonts w:ascii="Times New Roman" w:hAnsi="Times New Roman" w:cs="Times New Roman"/>
          <w:i/>
          <w:sz w:val="24"/>
          <w:szCs w:val="24"/>
          <w:lang w:val="en-US"/>
        </w:rPr>
        <w:t>n.a</w:t>
      </w:r>
      <w:r w:rsidR="003B2816" w:rsidRPr="003875F5">
        <w:rPr>
          <w:rFonts w:ascii="Times New Roman" w:hAnsi="Times New Roman" w:cs="Times New Roman"/>
          <w:sz w:val="24"/>
          <w:szCs w:val="24"/>
          <w:lang w:val="en-US"/>
        </w:rPr>
        <w:t>’s</w:t>
      </w:r>
      <w:proofErr w:type="spellEnd"/>
      <w:r w:rsidR="003B2816" w:rsidRPr="003875F5">
        <w:rPr>
          <w:rFonts w:ascii="Times New Roman" w:hAnsi="Times New Roman" w:cs="Times New Roman"/>
          <w:sz w:val="24"/>
          <w:szCs w:val="24"/>
          <w:lang w:val="en-US"/>
        </w:rPr>
        <w:t xml:space="preserve"> and </w:t>
      </w:r>
      <w:proofErr w:type="spellStart"/>
      <w:r w:rsidR="003B2816" w:rsidRPr="003875F5">
        <w:rPr>
          <w:rFonts w:ascii="Times New Roman" w:hAnsi="Times New Roman" w:cs="Times New Roman"/>
          <w:i/>
          <w:sz w:val="24"/>
          <w:szCs w:val="24"/>
          <w:lang w:val="en-US"/>
        </w:rPr>
        <w:t>n.r</w:t>
      </w:r>
      <w:r w:rsidR="003B2816" w:rsidRPr="003875F5">
        <w:rPr>
          <w:rFonts w:ascii="Times New Roman" w:hAnsi="Times New Roman" w:cs="Times New Roman"/>
          <w:sz w:val="24"/>
          <w:szCs w:val="24"/>
          <w:lang w:val="en-US"/>
        </w:rPr>
        <w:t>’s</w:t>
      </w:r>
      <w:proofErr w:type="spellEnd"/>
      <w:r w:rsidR="003B2816" w:rsidRPr="003875F5">
        <w:rPr>
          <w:rFonts w:ascii="Times New Roman" w:hAnsi="Times New Roman" w:cs="Times New Roman"/>
          <w:sz w:val="24"/>
          <w:szCs w:val="24"/>
          <w:lang w:val="en-US"/>
        </w:rPr>
        <w:t xml:space="preserve"> in each asset category; and fourth,</w:t>
      </w:r>
      <w:r w:rsidR="003875F5" w:rsidRPr="003875F5">
        <w:rPr>
          <w:rFonts w:ascii="Times New Roman" w:hAnsi="Times New Roman" w:cs="Times New Roman"/>
          <w:sz w:val="24"/>
          <w:szCs w:val="24"/>
          <w:lang w:val="en-US"/>
        </w:rPr>
        <w:t xml:space="preserve"> we display the aggregates.</w:t>
      </w:r>
    </w:p>
    <w:p w:rsidR="00883943" w:rsidRPr="003875F5" w:rsidRDefault="00755C57" w:rsidP="00755C57">
      <w:pPr>
        <w:pStyle w:val="Estilo2"/>
      </w:pPr>
      <w:bookmarkStart w:id="92" w:name="_Toc402472390"/>
      <w:r w:rsidRPr="003875F5">
        <w:t>Description by country</w:t>
      </w:r>
      <w:bookmarkEnd w:id="92"/>
    </w:p>
    <w:tbl>
      <w:tblPr>
        <w:tblW w:w="7320" w:type="dxa"/>
        <w:jc w:val="center"/>
        <w:tblInd w:w="40" w:type="dxa"/>
        <w:tblLayout w:type="fixed"/>
        <w:tblCellMar>
          <w:left w:w="70" w:type="dxa"/>
          <w:right w:w="70" w:type="dxa"/>
        </w:tblCellMar>
        <w:tblLook w:val="0000" w:firstRow="0" w:lastRow="0" w:firstColumn="0" w:lastColumn="0" w:noHBand="0" w:noVBand="0"/>
      </w:tblPr>
      <w:tblGrid>
        <w:gridCol w:w="2502"/>
        <w:gridCol w:w="2388"/>
        <w:gridCol w:w="2430"/>
      </w:tblGrid>
      <w:tr w:rsidR="00883943" w:rsidRPr="003875F5" w:rsidTr="00155B94">
        <w:trPr>
          <w:trHeight w:val="298"/>
          <w:jc w:val="center"/>
        </w:trPr>
        <w:tc>
          <w:tcPr>
            <w:tcW w:w="2502" w:type="dxa"/>
          </w:tcPr>
          <w:p w:rsidR="00883943" w:rsidRPr="003875F5" w:rsidRDefault="00883943" w:rsidP="00883943">
            <w:pPr>
              <w:widowControl w:val="0"/>
              <w:autoSpaceDE w:val="0"/>
              <w:autoSpaceDN w:val="0"/>
              <w:adjustRightInd w:val="0"/>
              <w:spacing w:after="0" w:line="240" w:lineRule="auto"/>
              <w:jc w:val="right"/>
              <w:rPr>
                <w:rFonts w:ascii="Times New Roman" w:hAnsi="Times New Roman" w:cs="Times New Roman"/>
                <w:color w:val="000000"/>
                <w:lang w:val="en-US"/>
              </w:rPr>
            </w:pPr>
          </w:p>
        </w:tc>
        <w:tc>
          <w:tcPr>
            <w:tcW w:w="2388" w:type="dxa"/>
            <w:tcBorders>
              <w:bottom w:val="single" w:sz="4" w:space="0" w:color="auto"/>
            </w:tcBorders>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 xml:space="preserve">Number of </w:t>
            </w:r>
            <w:proofErr w:type="spellStart"/>
            <w:r w:rsidRPr="003875F5">
              <w:rPr>
                <w:rFonts w:ascii="Times New Roman" w:hAnsi="Times New Roman" w:cs="Times New Roman"/>
                <w:i/>
                <w:iCs/>
                <w:color w:val="000000"/>
                <w:lang w:val="en-US"/>
              </w:rPr>
              <w:t>n.a</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and </w:t>
            </w:r>
            <w:proofErr w:type="spellStart"/>
            <w:r w:rsidRPr="003875F5">
              <w:rPr>
                <w:rFonts w:ascii="Times New Roman" w:hAnsi="Times New Roman" w:cs="Times New Roman"/>
                <w:i/>
                <w:iCs/>
                <w:color w:val="000000"/>
                <w:lang w:val="en-US"/>
              </w:rPr>
              <w:t>n.r</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by country</w:t>
            </w:r>
          </w:p>
        </w:tc>
        <w:tc>
          <w:tcPr>
            <w:tcW w:w="2430" w:type="dxa"/>
            <w:tcBorders>
              <w:bottom w:val="single" w:sz="4" w:space="0" w:color="auto"/>
            </w:tcBorders>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 xml:space="preserve">Share of </w:t>
            </w:r>
            <w:proofErr w:type="spellStart"/>
            <w:r w:rsidRPr="003875F5">
              <w:rPr>
                <w:rFonts w:ascii="Times New Roman" w:hAnsi="Times New Roman" w:cs="Times New Roman"/>
                <w:i/>
                <w:iCs/>
                <w:color w:val="000000"/>
                <w:lang w:val="en-US"/>
              </w:rPr>
              <w:t>n.a</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and </w:t>
            </w:r>
            <w:proofErr w:type="spellStart"/>
            <w:r w:rsidRPr="003875F5">
              <w:rPr>
                <w:rFonts w:ascii="Times New Roman" w:hAnsi="Times New Roman" w:cs="Times New Roman"/>
                <w:i/>
                <w:iCs/>
                <w:color w:val="000000"/>
                <w:lang w:val="en-US"/>
              </w:rPr>
              <w:t>n.r</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by country</w:t>
            </w:r>
          </w:p>
        </w:tc>
      </w:tr>
      <w:tr w:rsidR="00883943" w:rsidRPr="003875F5" w:rsidTr="00155B94">
        <w:trPr>
          <w:trHeight w:val="29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Algeria</w:t>
            </w:r>
          </w:p>
        </w:tc>
        <w:tc>
          <w:tcPr>
            <w:tcW w:w="2388" w:type="dxa"/>
            <w:tcBorders>
              <w:top w:val="single" w:sz="4" w:space="0" w:color="auto"/>
            </w:tcBorders>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206</w:t>
            </w:r>
          </w:p>
        </w:tc>
        <w:tc>
          <w:tcPr>
            <w:tcW w:w="2430" w:type="dxa"/>
            <w:tcBorders>
              <w:top w:val="single" w:sz="4" w:space="0" w:color="auto"/>
            </w:tcBorders>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35.76%</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Angola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78</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13.54%</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Argentina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9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Australia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0.35%</w:t>
            </w:r>
          </w:p>
        </w:tc>
      </w:tr>
      <w:tr w:rsidR="00883943" w:rsidRPr="003875F5" w:rsidTr="00155B94">
        <w:trPr>
          <w:trHeight w:val="29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Austria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9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Bahrain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lastRenderedPageBreak/>
              <w:t>Bangladesh</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0.69%</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Belgium</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3875F5" w:rsidRPr="003875F5" w:rsidTr="00972C1F">
        <w:trPr>
          <w:trHeight w:val="298"/>
          <w:jc w:val="center"/>
        </w:trPr>
        <w:tc>
          <w:tcPr>
            <w:tcW w:w="2502" w:type="dxa"/>
          </w:tcPr>
          <w:p w:rsidR="003875F5" w:rsidRPr="003875F5" w:rsidRDefault="003875F5" w:rsidP="00972C1F">
            <w:pPr>
              <w:widowControl w:val="0"/>
              <w:autoSpaceDE w:val="0"/>
              <w:autoSpaceDN w:val="0"/>
              <w:adjustRightInd w:val="0"/>
              <w:spacing w:after="0" w:line="240" w:lineRule="auto"/>
              <w:jc w:val="right"/>
              <w:rPr>
                <w:rFonts w:ascii="Times New Roman" w:hAnsi="Times New Roman" w:cs="Times New Roman"/>
                <w:color w:val="000000"/>
                <w:lang w:val="en-US"/>
              </w:rPr>
            </w:pPr>
          </w:p>
        </w:tc>
        <w:tc>
          <w:tcPr>
            <w:tcW w:w="2388" w:type="dxa"/>
            <w:tcBorders>
              <w:bottom w:val="single" w:sz="4" w:space="0" w:color="auto"/>
            </w:tcBorders>
          </w:tcPr>
          <w:p w:rsidR="003875F5" w:rsidRPr="003875F5" w:rsidRDefault="003875F5" w:rsidP="00972C1F">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 xml:space="preserve">Number of </w:t>
            </w:r>
            <w:proofErr w:type="spellStart"/>
            <w:r w:rsidRPr="003875F5">
              <w:rPr>
                <w:rFonts w:ascii="Times New Roman" w:hAnsi="Times New Roman" w:cs="Times New Roman"/>
                <w:i/>
                <w:iCs/>
                <w:color w:val="000000"/>
                <w:lang w:val="en-US"/>
              </w:rPr>
              <w:t>n.a</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and </w:t>
            </w:r>
            <w:proofErr w:type="spellStart"/>
            <w:r w:rsidRPr="003875F5">
              <w:rPr>
                <w:rFonts w:ascii="Times New Roman" w:hAnsi="Times New Roman" w:cs="Times New Roman"/>
                <w:i/>
                <w:iCs/>
                <w:color w:val="000000"/>
                <w:lang w:val="en-US"/>
              </w:rPr>
              <w:t>n.r</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by country</w:t>
            </w:r>
          </w:p>
        </w:tc>
        <w:tc>
          <w:tcPr>
            <w:tcW w:w="2430" w:type="dxa"/>
            <w:tcBorders>
              <w:bottom w:val="single" w:sz="4" w:space="0" w:color="auto"/>
            </w:tcBorders>
          </w:tcPr>
          <w:p w:rsidR="003875F5" w:rsidRPr="003875F5" w:rsidRDefault="003875F5" w:rsidP="00972C1F">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 xml:space="preserve">Share of </w:t>
            </w:r>
            <w:proofErr w:type="spellStart"/>
            <w:r w:rsidRPr="003875F5">
              <w:rPr>
                <w:rFonts w:ascii="Times New Roman" w:hAnsi="Times New Roman" w:cs="Times New Roman"/>
                <w:i/>
                <w:iCs/>
                <w:color w:val="000000"/>
                <w:lang w:val="en-US"/>
              </w:rPr>
              <w:t>n.a</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and </w:t>
            </w:r>
            <w:proofErr w:type="spellStart"/>
            <w:r w:rsidRPr="003875F5">
              <w:rPr>
                <w:rFonts w:ascii="Times New Roman" w:hAnsi="Times New Roman" w:cs="Times New Roman"/>
                <w:i/>
                <w:iCs/>
                <w:color w:val="000000"/>
                <w:lang w:val="en-US"/>
              </w:rPr>
              <w:t>n.r</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by country</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Bolivia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9</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1.56%</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Brazil</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16</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2.78%</w:t>
            </w:r>
          </w:p>
        </w:tc>
      </w:tr>
      <w:tr w:rsidR="00883943" w:rsidRPr="003875F5" w:rsidTr="00155B94">
        <w:trPr>
          <w:trHeight w:val="29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Brunei Darussalam</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14</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2.43%</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Bulgaria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9</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1.56%</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Burkina Faso</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0.69%</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Canada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Chile</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China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5</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0.87%</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Colombia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38</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6.60%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Costa Rica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3</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0.52%</w:t>
            </w:r>
          </w:p>
        </w:tc>
      </w:tr>
      <w:tr w:rsidR="00883943" w:rsidRPr="003875F5" w:rsidTr="00155B94">
        <w:trPr>
          <w:trHeight w:val="278"/>
          <w:jc w:val="center"/>
        </w:trPr>
        <w:tc>
          <w:tcPr>
            <w:tcW w:w="2502" w:type="dxa"/>
          </w:tcPr>
          <w:p w:rsidR="00883943" w:rsidRPr="003875F5" w:rsidRDefault="00755C57"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Cô</w:t>
            </w:r>
            <w:r w:rsidR="00883943" w:rsidRPr="003875F5">
              <w:rPr>
                <w:rFonts w:ascii="Times New Roman" w:hAnsi="Times New Roman" w:cs="Times New Roman"/>
                <w:b/>
                <w:bCs/>
                <w:color w:val="000000"/>
                <w:lang w:val="en-US"/>
              </w:rPr>
              <w:t>te d'Ivoire</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18</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3.13%</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Cyprus</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8</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1.39%</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Czech Republic</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Denmark</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0.69%</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Dominican Republic</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Ecuador</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0.69%</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Egypt</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12</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2.08%</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El Salvador</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7</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1.22%</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Ethiopia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119</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20.66%</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Finland</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France</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Georgia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12</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2.08%</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Germany</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Ghana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0.35%</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Greece</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Guatemala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0.35%</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Hong Kong</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Hungary</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0.69%</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Iceland</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India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0.17%</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Indonesia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755C57" w:rsidP="00755C57">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Iran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177</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30.73%</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Ireland</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Israel</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Italy</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Jamaica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48</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8.33%</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Japan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Kazakhstan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Kenya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Korea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Kuwait</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Kyrgyz Republic</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66</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11.46%</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lastRenderedPageBreak/>
              <w:t>Latvia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Lebanon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11</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1.91%</w:t>
            </w:r>
          </w:p>
        </w:tc>
      </w:tr>
      <w:tr w:rsidR="003875F5" w:rsidRPr="003875F5" w:rsidTr="00972C1F">
        <w:trPr>
          <w:trHeight w:val="298"/>
          <w:jc w:val="center"/>
        </w:trPr>
        <w:tc>
          <w:tcPr>
            <w:tcW w:w="2502" w:type="dxa"/>
          </w:tcPr>
          <w:p w:rsidR="003875F5" w:rsidRPr="003875F5" w:rsidRDefault="003875F5" w:rsidP="00972C1F">
            <w:pPr>
              <w:widowControl w:val="0"/>
              <w:autoSpaceDE w:val="0"/>
              <w:autoSpaceDN w:val="0"/>
              <w:adjustRightInd w:val="0"/>
              <w:spacing w:after="0" w:line="240" w:lineRule="auto"/>
              <w:jc w:val="right"/>
              <w:rPr>
                <w:rFonts w:ascii="Times New Roman" w:hAnsi="Times New Roman" w:cs="Times New Roman"/>
                <w:color w:val="000000"/>
                <w:lang w:val="en-US"/>
              </w:rPr>
            </w:pPr>
          </w:p>
        </w:tc>
        <w:tc>
          <w:tcPr>
            <w:tcW w:w="2388" w:type="dxa"/>
            <w:tcBorders>
              <w:bottom w:val="single" w:sz="4" w:space="0" w:color="auto"/>
            </w:tcBorders>
          </w:tcPr>
          <w:p w:rsidR="003875F5" w:rsidRPr="003875F5" w:rsidRDefault="003875F5" w:rsidP="00972C1F">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 xml:space="preserve">Number of </w:t>
            </w:r>
            <w:proofErr w:type="spellStart"/>
            <w:r w:rsidRPr="003875F5">
              <w:rPr>
                <w:rFonts w:ascii="Times New Roman" w:hAnsi="Times New Roman" w:cs="Times New Roman"/>
                <w:i/>
                <w:iCs/>
                <w:color w:val="000000"/>
                <w:lang w:val="en-US"/>
              </w:rPr>
              <w:t>n.a</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and </w:t>
            </w:r>
            <w:proofErr w:type="spellStart"/>
            <w:r w:rsidRPr="003875F5">
              <w:rPr>
                <w:rFonts w:ascii="Times New Roman" w:hAnsi="Times New Roman" w:cs="Times New Roman"/>
                <w:i/>
                <w:iCs/>
                <w:color w:val="000000"/>
                <w:lang w:val="en-US"/>
              </w:rPr>
              <w:t>n.r</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by country</w:t>
            </w:r>
          </w:p>
        </w:tc>
        <w:tc>
          <w:tcPr>
            <w:tcW w:w="2430" w:type="dxa"/>
            <w:tcBorders>
              <w:bottom w:val="single" w:sz="4" w:space="0" w:color="auto"/>
            </w:tcBorders>
          </w:tcPr>
          <w:p w:rsidR="003875F5" w:rsidRPr="003875F5" w:rsidRDefault="003875F5" w:rsidP="00972C1F">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 xml:space="preserve">Share of </w:t>
            </w:r>
            <w:proofErr w:type="spellStart"/>
            <w:r w:rsidRPr="003875F5">
              <w:rPr>
                <w:rFonts w:ascii="Times New Roman" w:hAnsi="Times New Roman" w:cs="Times New Roman"/>
                <w:i/>
                <w:iCs/>
                <w:color w:val="000000"/>
                <w:lang w:val="en-US"/>
              </w:rPr>
              <w:t>n.a</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and </w:t>
            </w:r>
            <w:proofErr w:type="spellStart"/>
            <w:r w:rsidRPr="003875F5">
              <w:rPr>
                <w:rFonts w:ascii="Times New Roman" w:hAnsi="Times New Roman" w:cs="Times New Roman"/>
                <w:i/>
                <w:iCs/>
                <w:color w:val="000000"/>
                <w:lang w:val="en-US"/>
              </w:rPr>
              <w:t>n.r</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by country</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Malaysia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Malta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0.69%</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Mauritius</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Mexico</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0.17%</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Moldova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9</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1.56%</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Morocco</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6</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1.04%</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Myanmar</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271</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47.05%</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Netherlands</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New Zealand</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Nicaragua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Nigeria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19</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3.30%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Norway</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Oman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Pakistan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0.17%</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Panama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Paraguay</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21</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3.65%</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Peru</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Philippines</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Poland</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6</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1.04%</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Portugal</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Qatar</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Romania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1.74%</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Russia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8</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1.39%</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Saudi Arabia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0.35%</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Singapore</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13</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2.26%</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Slovenia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0.17%</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South Africa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Spain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Sri Lanka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9</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1.56%</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Swaziland</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0.35%</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Sweden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Switzerland</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Tanzania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Thailand</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Togo</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30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5.21%</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Tunisia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8</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1.39%</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Turkey</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Uganda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Ukraine</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29</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5.03%</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United Arab Emirates</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0.17%</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United Kingdom</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United States</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lastRenderedPageBreak/>
              <w:t>Uruguay</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52</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9.03%</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Uzbekistan</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49</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8.51%</w:t>
            </w:r>
          </w:p>
        </w:tc>
      </w:tr>
      <w:tr w:rsidR="003875F5" w:rsidRPr="003875F5" w:rsidTr="00972C1F">
        <w:trPr>
          <w:trHeight w:val="298"/>
          <w:jc w:val="center"/>
        </w:trPr>
        <w:tc>
          <w:tcPr>
            <w:tcW w:w="2502" w:type="dxa"/>
          </w:tcPr>
          <w:p w:rsidR="003875F5" w:rsidRPr="003875F5" w:rsidRDefault="003875F5" w:rsidP="00972C1F">
            <w:pPr>
              <w:widowControl w:val="0"/>
              <w:autoSpaceDE w:val="0"/>
              <w:autoSpaceDN w:val="0"/>
              <w:adjustRightInd w:val="0"/>
              <w:spacing w:after="0" w:line="240" w:lineRule="auto"/>
              <w:jc w:val="right"/>
              <w:rPr>
                <w:rFonts w:ascii="Times New Roman" w:hAnsi="Times New Roman" w:cs="Times New Roman"/>
                <w:color w:val="000000"/>
                <w:lang w:val="en-US"/>
              </w:rPr>
            </w:pPr>
          </w:p>
        </w:tc>
        <w:tc>
          <w:tcPr>
            <w:tcW w:w="2388" w:type="dxa"/>
            <w:tcBorders>
              <w:bottom w:val="single" w:sz="4" w:space="0" w:color="auto"/>
            </w:tcBorders>
          </w:tcPr>
          <w:p w:rsidR="003875F5" w:rsidRPr="003875F5" w:rsidRDefault="003875F5" w:rsidP="00972C1F">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 xml:space="preserve">Number of </w:t>
            </w:r>
            <w:proofErr w:type="spellStart"/>
            <w:r w:rsidRPr="003875F5">
              <w:rPr>
                <w:rFonts w:ascii="Times New Roman" w:hAnsi="Times New Roman" w:cs="Times New Roman"/>
                <w:i/>
                <w:iCs/>
                <w:color w:val="000000"/>
                <w:lang w:val="en-US"/>
              </w:rPr>
              <w:t>n.a</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and </w:t>
            </w:r>
            <w:proofErr w:type="spellStart"/>
            <w:r w:rsidRPr="003875F5">
              <w:rPr>
                <w:rFonts w:ascii="Times New Roman" w:hAnsi="Times New Roman" w:cs="Times New Roman"/>
                <w:i/>
                <w:iCs/>
                <w:color w:val="000000"/>
                <w:lang w:val="en-US"/>
              </w:rPr>
              <w:t>n.r</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by country</w:t>
            </w:r>
          </w:p>
        </w:tc>
        <w:tc>
          <w:tcPr>
            <w:tcW w:w="2430" w:type="dxa"/>
            <w:tcBorders>
              <w:bottom w:val="single" w:sz="4" w:space="0" w:color="auto"/>
            </w:tcBorders>
          </w:tcPr>
          <w:p w:rsidR="003875F5" w:rsidRPr="003875F5" w:rsidRDefault="003875F5" w:rsidP="00972C1F">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 xml:space="preserve">Share of </w:t>
            </w:r>
            <w:proofErr w:type="spellStart"/>
            <w:r w:rsidRPr="003875F5">
              <w:rPr>
                <w:rFonts w:ascii="Times New Roman" w:hAnsi="Times New Roman" w:cs="Times New Roman"/>
                <w:i/>
                <w:iCs/>
                <w:color w:val="000000"/>
                <w:lang w:val="en-US"/>
              </w:rPr>
              <w:t>n.a</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and </w:t>
            </w:r>
            <w:proofErr w:type="spellStart"/>
            <w:r w:rsidRPr="003875F5">
              <w:rPr>
                <w:rFonts w:ascii="Times New Roman" w:hAnsi="Times New Roman" w:cs="Times New Roman"/>
                <w:i/>
                <w:iCs/>
                <w:color w:val="000000"/>
                <w:lang w:val="en-US"/>
              </w:rPr>
              <w:t>n.r</w:t>
            </w:r>
            <w:r w:rsidRPr="003875F5">
              <w:rPr>
                <w:rFonts w:ascii="Times New Roman" w:hAnsi="Times New Roman" w:cs="Times New Roman"/>
                <w:color w:val="000000"/>
                <w:lang w:val="en-US"/>
              </w:rPr>
              <w:t>'s</w:t>
            </w:r>
            <w:proofErr w:type="spellEnd"/>
            <w:r w:rsidRPr="003875F5">
              <w:rPr>
                <w:rFonts w:ascii="Times New Roman" w:hAnsi="Times New Roman" w:cs="Times New Roman"/>
                <w:color w:val="000000"/>
                <w:lang w:val="en-US"/>
              </w:rPr>
              <w:t xml:space="preserve"> by country</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Venezuela</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5</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0.87%</w:t>
            </w:r>
          </w:p>
        </w:tc>
      </w:tr>
      <w:tr w:rsidR="00883943" w:rsidRPr="003875F5" w:rsidTr="00155B94">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Vietnam</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114</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19.79%</w:t>
            </w:r>
          </w:p>
        </w:tc>
      </w:tr>
      <w:tr w:rsidR="00883943" w:rsidRPr="003875F5" w:rsidTr="001A70ED">
        <w:trPr>
          <w:trHeight w:val="278"/>
          <w:jc w:val="center"/>
        </w:trPr>
        <w:tc>
          <w:tcPr>
            <w:tcW w:w="2502" w:type="dxa"/>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Yemen, Republic of</w:t>
            </w:r>
          </w:p>
        </w:tc>
        <w:tc>
          <w:tcPr>
            <w:tcW w:w="2388"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6</w:t>
            </w:r>
          </w:p>
        </w:tc>
        <w:tc>
          <w:tcPr>
            <w:tcW w:w="2430" w:type="dxa"/>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1.04%</w:t>
            </w:r>
          </w:p>
        </w:tc>
      </w:tr>
      <w:tr w:rsidR="00883943" w:rsidRPr="003875F5" w:rsidTr="001A70ED">
        <w:trPr>
          <w:trHeight w:val="298"/>
          <w:jc w:val="center"/>
        </w:trPr>
        <w:tc>
          <w:tcPr>
            <w:tcW w:w="2502" w:type="dxa"/>
            <w:tcBorders>
              <w:bottom w:val="single" w:sz="4" w:space="0" w:color="auto"/>
            </w:tcBorders>
          </w:tcPr>
          <w:p w:rsidR="00883943" w:rsidRPr="003875F5" w:rsidRDefault="00883943" w:rsidP="00883943">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Zambia</w:t>
            </w:r>
          </w:p>
        </w:tc>
        <w:tc>
          <w:tcPr>
            <w:tcW w:w="2388" w:type="dxa"/>
            <w:tcBorders>
              <w:bottom w:val="single" w:sz="4" w:space="0" w:color="auto"/>
            </w:tcBorders>
          </w:tcPr>
          <w:p w:rsidR="00883943" w:rsidRPr="003875F5" w:rsidRDefault="00883943" w:rsidP="00883943">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Borders>
              <w:bottom w:val="single" w:sz="4" w:space="0" w:color="auto"/>
            </w:tcBorders>
          </w:tcPr>
          <w:p w:rsidR="00155B94" w:rsidRPr="003875F5" w:rsidRDefault="001A70ED" w:rsidP="001A70ED">
            <w:pPr>
              <w:widowControl w:val="0"/>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0.00%</w:t>
            </w:r>
          </w:p>
        </w:tc>
      </w:tr>
      <w:tr w:rsidR="00755C57" w:rsidRPr="003875F5" w:rsidTr="001A70ED">
        <w:trPr>
          <w:trHeight w:val="298"/>
          <w:jc w:val="center"/>
        </w:trPr>
        <w:tc>
          <w:tcPr>
            <w:tcW w:w="2502" w:type="dxa"/>
            <w:tcBorders>
              <w:top w:val="single" w:sz="4" w:space="0" w:color="auto"/>
            </w:tcBorders>
          </w:tcPr>
          <w:p w:rsidR="00755C57" w:rsidRPr="003875F5" w:rsidRDefault="00755C57" w:rsidP="00883943">
            <w:pPr>
              <w:widowControl w:val="0"/>
              <w:autoSpaceDE w:val="0"/>
              <w:autoSpaceDN w:val="0"/>
              <w:adjustRightInd w:val="0"/>
              <w:spacing w:after="0" w:line="240" w:lineRule="auto"/>
              <w:rPr>
                <w:rFonts w:ascii="Times New Roman" w:hAnsi="Times New Roman" w:cs="Times New Roman"/>
                <w:b/>
                <w:bCs/>
                <w:color w:val="000000"/>
                <w:lang w:val="en-US"/>
              </w:rPr>
            </w:pPr>
          </w:p>
        </w:tc>
        <w:tc>
          <w:tcPr>
            <w:tcW w:w="2388" w:type="dxa"/>
            <w:tcBorders>
              <w:top w:val="single" w:sz="4" w:space="0" w:color="auto"/>
            </w:tcBorders>
          </w:tcPr>
          <w:p w:rsidR="00755C57" w:rsidRPr="003875F5" w:rsidRDefault="00755C57" w:rsidP="00883943">
            <w:pPr>
              <w:widowControl w:val="0"/>
              <w:autoSpaceDE w:val="0"/>
              <w:autoSpaceDN w:val="0"/>
              <w:adjustRightInd w:val="0"/>
              <w:spacing w:after="0" w:line="240" w:lineRule="auto"/>
              <w:jc w:val="center"/>
              <w:rPr>
                <w:rFonts w:ascii="Times New Roman" w:hAnsi="Times New Roman" w:cs="Times New Roman"/>
                <w:color w:val="000000"/>
                <w:lang w:val="en-US"/>
              </w:rPr>
            </w:pPr>
          </w:p>
        </w:tc>
        <w:tc>
          <w:tcPr>
            <w:tcW w:w="2430" w:type="dxa"/>
            <w:tcBorders>
              <w:top w:val="single" w:sz="4" w:space="0" w:color="auto"/>
            </w:tcBorders>
          </w:tcPr>
          <w:p w:rsidR="00755C57" w:rsidRPr="003875F5" w:rsidRDefault="00755C57" w:rsidP="00883943">
            <w:pPr>
              <w:widowControl w:val="0"/>
              <w:autoSpaceDE w:val="0"/>
              <w:autoSpaceDN w:val="0"/>
              <w:adjustRightInd w:val="0"/>
              <w:spacing w:after="0" w:line="240" w:lineRule="auto"/>
              <w:jc w:val="center"/>
              <w:rPr>
                <w:rFonts w:ascii="Times New Roman" w:hAnsi="Times New Roman" w:cs="Times New Roman"/>
                <w:color w:val="000000"/>
                <w:lang w:val="en-US"/>
              </w:rPr>
            </w:pPr>
          </w:p>
        </w:tc>
      </w:tr>
      <w:tr w:rsidR="00755C57" w:rsidRPr="003875F5" w:rsidTr="00755C57">
        <w:trPr>
          <w:trHeight w:val="298"/>
          <w:jc w:val="center"/>
        </w:trPr>
        <w:tc>
          <w:tcPr>
            <w:tcW w:w="7320" w:type="dxa"/>
            <w:gridSpan w:val="3"/>
            <w:tcBorders>
              <w:bottom w:val="single" w:sz="4" w:space="0" w:color="auto"/>
            </w:tcBorders>
          </w:tcPr>
          <w:p w:rsidR="00755C57" w:rsidRPr="009D5884" w:rsidRDefault="00155B94"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9D5884">
              <w:rPr>
                <w:rFonts w:ascii="Times New Roman" w:hAnsi="Times New Roman" w:cs="Times New Roman"/>
                <w:bCs/>
                <w:color w:val="000000"/>
                <w:lang w:val="en-US"/>
              </w:rPr>
              <w:t xml:space="preserve">Summary </w:t>
            </w:r>
            <w:r w:rsidR="00755C57" w:rsidRPr="009D5884">
              <w:rPr>
                <w:rFonts w:ascii="Times New Roman" w:hAnsi="Times New Roman" w:cs="Times New Roman"/>
                <w:bCs/>
                <w:color w:val="000000"/>
                <w:lang w:val="en-US"/>
              </w:rPr>
              <w:t>Statistics</w:t>
            </w:r>
          </w:p>
        </w:tc>
      </w:tr>
      <w:tr w:rsidR="00755C57" w:rsidRPr="003875F5" w:rsidTr="00155B94">
        <w:trPr>
          <w:trHeight w:val="298"/>
          <w:jc w:val="center"/>
        </w:trPr>
        <w:tc>
          <w:tcPr>
            <w:tcW w:w="2502" w:type="dxa"/>
            <w:tcBorders>
              <w:top w:val="single" w:sz="4" w:space="0" w:color="auto"/>
            </w:tcBorders>
          </w:tcPr>
          <w:p w:rsidR="00755C57" w:rsidRPr="003875F5" w:rsidRDefault="00755C57" w:rsidP="00755C57">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Mean</w:t>
            </w:r>
          </w:p>
        </w:tc>
        <w:tc>
          <w:tcPr>
            <w:tcW w:w="2388" w:type="dxa"/>
            <w:tcBorders>
              <w:top w:val="single" w:sz="4" w:space="0" w:color="auto"/>
            </w:tcBorders>
          </w:tcPr>
          <w:p w:rsidR="00755C57" w:rsidRPr="003875F5" w:rsidRDefault="00755C57"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15.6</w:t>
            </w:r>
          </w:p>
        </w:tc>
        <w:tc>
          <w:tcPr>
            <w:tcW w:w="2430" w:type="dxa"/>
            <w:tcBorders>
              <w:top w:val="single" w:sz="4" w:space="0" w:color="auto"/>
            </w:tcBorders>
          </w:tcPr>
          <w:p w:rsidR="00755C57" w:rsidRPr="003875F5" w:rsidRDefault="00755C57"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2.71%</w:t>
            </w:r>
          </w:p>
        </w:tc>
      </w:tr>
      <w:tr w:rsidR="00755C57" w:rsidRPr="003875F5" w:rsidTr="00155B94">
        <w:trPr>
          <w:trHeight w:val="298"/>
          <w:jc w:val="center"/>
        </w:trPr>
        <w:tc>
          <w:tcPr>
            <w:tcW w:w="2502" w:type="dxa"/>
          </w:tcPr>
          <w:p w:rsidR="00755C57" w:rsidRPr="003875F5" w:rsidRDefault="00017D1D" w:rsidP="00017D1D">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Standard Deviation</w:t>
            </w:r>
          </w:p>
        </w:tc>
        <w:tc>
          <w:tcPr>
            <w:tcW w:w="2388" w:type="dxa"/>
          </w:tcPr>
          <w:p w:rsidR="00755C57" w:rsidRPr="003875F5" w:rsidRDefault="00755C57"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41.943926</w:t>
            </w:r>
          </w:p>
        </w:tc>
        <w:tc>
          <w:tcPr>
            <w:tcW w:w="2430" w:type="dxa"/>
          </w:tcPr>
          <w:p w:rsidR="00755C57" w:rsidRPr="003875F5" w:rsidRDefault="00755C57"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7.28%</w:t>
            </w:r>
          </w:p>
        </w:tc>
      </w:tr>
      <w:tr w:rsidR="00755C57" w:rsidRPr="003875F5" w:rsidTr="00155B94">
        <w:trPr>
          <w:trHeight w:val="298"/>
          <w:jc w:val="center"/>
        </w:trPr>
        <w:tc>
          <w:tcPr>
            <w:tcW w:w="2502" w:type="dxa"/>
          </w:tcPr>
          <w:p w:rsidR="00755C57" w:rsidRPr="003875F5" w:rsidRDefault="00755C57" w:rsidP="00755C57">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Min</w:t>
            </w:r>
            <w:r w:rsidR="00017D1D" w:rsidRPr="003875F5">
              <w:rPr>
                <w:rFonts w:ascii="Times New Roman" w:hAnsi="Times New Roman" w:cs="Times New Roman"/>
                <w:b/>
                <w:bCs/>
                <w:color w:val="000000"/>
                <w:lang w:val="en-US"/>
              </w:rPr>
              <w:t>imum</w:t>
            </w:r>
          </w:p>
        </w:tc>
        <w:tc>
          <w:tcPr>
            <w:tcW w:w="2388" w:type="dxa"/>
          </w:tcPr>
          <w:p w:rsidR="00755C57" w:rsidRPr="003875F5" w:rsidRDefault="00755C57"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w:t>
            </w:r>
          </w:p>
        </w:tc>
        <w:tc>
          <w:tcPr>
            <w:tcW w:w="2430" w:type="dxa"/>
          </w:tcPr>
          <w:p w:rsidR="00755C57" w:rsidRPr="003875F5" w:rsidRDefault="00755C57"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0.00%</w:t>
            </w:r>
          </w:p>
        </w:tc>
      </w:tr>
      <w:tr w:rsidR="00755C57" w:rsidRPr="003875F5" w:rsidTr="00155B94">
        <w:trPr>
          <w:trHeight w:val="298"/>
          <w:jc w:val="center"/>
        </w:trPr>
        <w:tc>
          <w:tcPr>
            <w:tcW w:w="2502" w:type="dxa"/>
          </w:tcPr>
          <w:p w:rsidR="00755C57" w:rsidRPr="003875F5" w:rsidRDefault="00755C57" w:rsidP="00755C57">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Max</w:t>
            </w:r>
            <w:r w:rsidR="00017D1D" w:rsidRPr="003875F5">
              <w:rPr>
                <w:rFonts w:ascii="Times New Roman" w:hAnsi="Times New Roman" w:cs="Times New Roman"/>
                <w:b/>
                <w:bCs/>
                <w:color w:val="000000"/>
                <w:lang w:val="en-US"/>
              </w:rPr>
              <w:t>imum</w:t>
            </w:r>
          </w:p>
        </w:tc>
        <w:tc>
          <w:tcPr>
            <w:tcW w:w="2388" w:type="dxa"/>
          </w:tcPr>
          <w:p w:rsidR="00755C57" w:rsidRPr="003875F5" w:rsidRDefault="00755C57"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271</w:t>
            </w:r>
          </w:p>
        </w:tc>
        <w:tc>
          <w:tcPr>
            <w:tcW w:w="2430" w:type="dxa"/>
          </w:tcPr>
          <w:p w:rsidR="00755C57" w:rsidRPr="003875F5" w:rsidRDefault="00755C57"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47.05%</w:t>
            </w:r>
          </w:p>
        </w:tc>
      </w:tr>
      <w:tr w:rsidR="00755C57" w:rsidRPr="003875F5" w:rsidTr="00155B94">
        <w:trPr>
          <w:trHeight w:val="298"/>
          <w:jc w:val="center"/>
        </w:trPr>
        <w:tc>
          <w:tcPr>
            <w:tcW w:w="2502" w:type="dxa"/>
            <w:tcBorders>
              <w:bottom w:val="single" w:sz="4" w:space="0" w:color="auto"/>
            </w:tcBorders>
          </w:tcPr>
          <w:p w:rsidR="00755C57" w:rsidRPr="003875F5" w:rsidRDefault="00755C57" w:rsidP="00755C57">
            <w:pPr>
              <w:widowControl w:val="0"/>
              <w:autoSpaceDE w:val="0"/>
              <w:autoSpaceDN w:val="0"/>
              <w:adjustRightInd w:val="0"/>
              <w:spacing w:after="0" w:line="240" w:lineRule="auto"/>
              <w:rPr>
                <w:rFonts w:ascii="Times New Roman" w:hAnsi="Times New Roman" w:cs="Times New Roman"/>
                <w:b/>
                <w:bCs/>
                <w:color w:val="000000"/>
                <w:lang w:val="en-US"/>
              </w:rPr>
            </w:pPr>
            <w:r w:rsidRPr="003875F5">
              <w:rPr>
                <w:rFonts w:ascii="Times New Roman" w:hAnsi="Times New Roman" w:cs="Times New Roman"/>
                <w:b/>
                <w:bCs/>
                <w:color w:val="000000"/>
                <w:lang w:val="en-US"/>
              </w:rPr>
              <w:t>Total</w:t>
            </w:r>
          </w:p>
        </w:tc>
        <w:tc>
          <w:tcPr>
            <w:tcW w:w="4818" w:type="dxa"/>
            <w:gridSpan w:val="2"/>
            <w:tcBorders>
              <w:bottom w:val="single" w:sz="4" w:space="0" w:color="auto"/>
            </w:tcBorders>
          </w:tcPr>
          <w:p w:rsidR="00755C57" w:rsidRPr="003875F5" w:rsidRDefault="00755C57" w:rsidP="00755C57">
            <w:pPr>
              <w:widowControl w:val="0"/>
              <w:autoSpaceDE w:val="0"/>
              <w:autoSpaceDN w:val="0"/>
              <w:adjustRightInd w:val="0"/>
              <w:spacing w:after="0" w:line="240" w:lineRule="auto"/>
              <w:jc w:val="center"/>
              <w:rPr>
                <w:rFonts w:ascii="Times New Roman" w:hAnsi="Times New Roman" w:cs="Times New Roman"/>
                <w:color w:val="000000"/>
                <w:lang w:val="en-US"/>
              </w:rPr>
            </w:pPr>
            <w:r w:rsidRPr="003875F5">
              <w:rPr>
                <w:rFonts w:ascii="Times New Roman" w:hAnsi="Times New Roman" w:cs="Times New Roman"/>
                <w:color w:val="000000"/>
                <w:lang w:val="en-US"/>
              </w:rPr>
              <w:t>1560</w:t>
            </w:r>
          </w:p>
        </w:tc>
      </w:tr>
    </w:tbl>
    <w:p w:rsidR="00CD1896" w:rsidRPr="003875F5" w:rsidRDefault="00CD1896" w:rsidP="00D712AE">
      <w:pPr>
        <w:spacing w:line="240" w:lineRule="auto"/>
        <w:contextualSpacing/>
        <w:jc w:val="both"/>
        <w:rPr>
          <w:rFonts w:ascii="Times New Roman" w:hAnsi="Times New Roman" w:cs="Times New Roman"/>
          <w:b/>
          <w:sz w:val="24"/>
          <w:szCs w:val="24"/>
          <w:lang w:val="en-US"/>
        </w:rPr>
      </w:pPr>
    </w:p>
    <w:p w:rsidR="00155B94" w:rsidRPr="003875F5" w:rsidRDefault="00017D1D" w:rsidP="00155B94">
      <w:pPr>
        <w:pStyle w:val="Estilo2"/>
      </w:pPr>
      <w:bookmarkStart w:id="93" w:name="_Toc402472391"/>
      <w:r w:rsidRPr="003875F5">
        <w:t>Description b</w:t>
      </w:r>
      <w:r w:rsidR="00155B94" w:rsidRPr="003875F5">
        <w:t>y years</w:t>
      </w:r>
      <w:bookmarkEnd w:id="93"/>
    </w:p>
    <w:tbl>
      <w:tblPr>
        <w:tblW w:w="0" w:type="auto"/>
        <w:tblInd w:w="921" w:type="dxa"/>
        <w:tblLayout w:type="fixed"/>
        <w:tblCellMar>
          <w:left w:w="70" w:type="dxa"/>
          <w:right w:w="70" w:type="dxa"/>
        </w:tblCellMar>
        <w:tblLook w:val="0000" w:firstRow="0" w:lastRow="0" w:firstColumn="0" w:lastColumn="0" w:noHBand="0" w:noVBand="0"/>
      </w:tblPr>
      <w:tblGrid>
        <w:gridCol w:w="1276"/>
        <w:gridCol w:w="2950"/>
        <w:gridCol w:w="3003"/>
      </w:tblGrid>
      <w:tr w:rsidR="00155B94" w:rsidRPr="003875F5" w:rsidTr="00155B94">
        <w:trPr>
          <w:trHeight w:val="305"/>
        </w:trPr>
        <w:tc>
          <w:tcPr>
            <w:tcW w:w="1276" w:type="dxa"/>
          </w:tcPr>
          <w:p w:rsidR="00155B94" w:rsidRPr="003875F5" w:rsidRDefault="00155B94">
            <w:pPr>
              <w:autoSpaceDE w:val="0"/>
              <w:autoSpaceDN w:val="0"/>
              <w:adjustRightInd w:val="0"/>
              <w:spacing w:after="0" w:line="240" w:lineRule="auto"/>
              <w:jc w:val="right"/>
              <w:rPr>
                <w:rFonts w:ascii="Times New Roman" w:hAnsi="Times New Roman" w:cs="Times New Roman"/>
                <w:color w:val="000000"/>
                <w:sz w:val="24"/>
                <w:szCs w:val="24"/>
              </w:rPr>
            </w:pPr>
          </w:p>
        </w:tc>
        <w:tc>
          <w:tcPr>
            <w:tcW w:w="2950" w:type="dxa"/>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3875F5">
              <w:rPr>
                <w:rFonts w:ascii="Times New Roman" w:hAnsi="Times New Roman" w:cs="Times New Roman"/>
                <w:color w:val="000000"/>
                <w:sz w:val="24"/>
                <w:szCs w:val="24"/>
              </w:rPr>
              <w:t>Number</w:t>
            </w:r>
            <w:proofErr w:type="spellEnd"/>
            <w:r w:rsidRPr="003875F5">
              <w:rPr>
                <w:rFonts w:ascii="Times New Roman" w:hAnsi="Times New Roman" w:cs="Times New Roman"/>
                <w:color w:val="000000"/>
                <w:sz w:val="24"/>
                <w:szCs w:val="24"/>
              </w:rPr>
              <w:t xml:space="preserve"> of </w:t>
            </w:r>
            <w:proofErr w:type="spellStart"/>
            <w:r w:rsidRPr="003875F5">
              <w:rPr>
                <w:rFonts w:ascii="Times New Roman" w:hAnsi="Times New Roman" w:cs="Times New Roman"/>
                <w:i/>
                <w:iCs/>
                <w:color w:val="000000"/>
                <w:sz w:val="24"/>
                <w:szCs w:val="24"/>
              </w:rPr>
              <w:t>n.a</w:t>
            </w:r>
            <w:r w:rsidRPr="003875F5">
              <w:rPr>
                <w:rFonts w:ascii="Times New Roman" w:hAnsi="Times New Roman" w:cs="Times New Roman"/>
                <w:color w:val="000000"/>
                <w:sz w:val="24"/>
                <w:szCs w:val="24"/>
              </w:rPr>
              <w:t>'s</w:t>
            </w:r>
            <w:proofErr w:type="spellEnd"/>
            <w:r w:rsidRPr="003875F5">
              <w:rPr>
                <w:rFonts w:ascii="Times New Roman" w:hAnsi="Times New Roman" w:cs="Times New Roman"/>
                <w:color w:val="000000"/>
                <w:sz w:val="24"/>
                <w:szCs w:val="24"/>
              </w:rPr>
              <w:t xml:space="preserve"> and </w:t>
            </w:r>
            <w:proofErr w:type="spellStart"/>
            <w:r w:rsidRPr="003875F5">
              <w:rPr>
                <w:rFonts w:ascii="Times New Roman" w:hAnsi="Times New Roman" w:cs="Times New Roman"/>
                <w:i/>
                <w:iCs/>
                <w:color w:val="000000"/>
                <w:sz w:val="24"/>
                <w:szCs w:val="24"/>
              </w:rPr>
              <w:t>n.r</w:t>
            </w:r>
            <w:r w:rsidRPr="003875F5">
              <w:rPr>
                <w:rFonts w:ascii="Times New Roman" w:hAnsi="Times New Roman" w:cs="Times New Roman"/>
                <w:color w:val="000000"/>
                <w:sz w:val="24"/>
                <w:szCs w:val="24"/>
              </w:rPr>
              <w:t>'s</w:t>
            </w:r>
            <w:proofErr w:type="spellEnd"/>
            <w:r w:rsidRPr="003875F5">
              <w:rPr>
                <w:rFonts w:ascii="Times New Roman" w:hAnsi="Times New Roman" w:cs="Times New Roman"/>
                <w:color w:val="000000"/>
                <w:sz w:val="24"/>
                <w:szCs w:val="24"/>
              </w:rPr>
              <w:t xml:space="preserve"> </w:t>
            </w:r>
            <w:proofErr w:type="spellStart"/>
            <w:r w:rsidRPr="003875F5">
              <w:rPr>
                <w:rFonts w:ascii="Times New Roman" w:hAnsi="Times New Roman" w:cs="Times New Roman"/>
                <w:color w:val="000000"/>
                <w:sz w:val="24"/>
                <w:szCs w:val="24"/>
              </w:rPr>
              <w:t>by</w:t>
            </w:r>
            <w:proofErr w:type="spellEnd"/>
            <w:r w:rsidRPr="003875F5">
              <w:rPr>
                <w:rFonts w:ascii="Times New Roman" w:hAnsi="Times New Roman" w:cs="Times New Roman"/>
                <w:color w:val="000000"/>
                <w:sz w:val="24"/>
                <w:szCs w:val="24"/>
              </w:rPr>
              <w:t xml:space="preserve"> </w:t>
            </w:r>
            <w:proofErr w:type="spellStart"/>
            <w:r w:rsidRPr="003875F5">
              <w:rPr>
                <w:rFonts w:ascii="Times New Roman" w:hAnsi="Times New Roman" w:cs="Times New Roman"/>
                <w:color w:val="000000"/>
                <w:sz w:val="24"/>
                <w:szCs w:val="24"/>
              </w:rPr>
              <w:t>year</w:t>
            </w:r>
            <w:proofErr w:type="spellEnd"/>
          </w:p>
        </w:tc>
        <w:tc>
          <w:tcPr>
            <w:tcW w:w="3003" w:type="dxa"/>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 xml:space="preserve">Share of </w:t>
            </w:r>
            <w:proofErr w:type="spellStart"/>
            <w:r w:rsidRPr="003875F5">
              <w:rPr>
                <w:rFonts w:ascii="Times New Roman" w:hAnsi="Times New Roman" w:cs="Times New Roman"/>
                <w:i/>
                <w:iCs/>
                <w:color w:val="000000"/>
                <w:sz w:val="24"/>
                <w:szCs w:val="24"/>
              </w:rPr>
              <w:t>n.a</w:t>
            </w:r>
            <w:r w:rsidRPr="003875F5">
              <w:rPr>
                <w:rFonts w:ascii="Times New Roman" w:hAnsi="Times New Roman" w:cs="Times New Roman"/>
                <w:color w:val="000000"/>
                <w:sz w:val="24"/>
                <w:szCs w:val="24"/>
              </w:rPr>
              <w:t>'s</w:t>
            </w:r>
            <w:proofErr w:type="spellEnd"/>
            <w:r w:rsidRPr="003875F5">
              <w:rPr>
                <w:rFonts w:ascii="Times New Roman" w:hAnsi="Times New Roman" w:cs="Times New Roman"/>
                <w:color w:val="000000"/>
                <w:sz w:val="24"/>
                <w:szCs w:val="24"/>
              </w:rPr>
              <w:t xml:space="preserve"> and</w:t>
            </w:r>
            <w:r w:rsidRPr="003875F5">
              <w:rPr>
                <w:rFonts w:ascii="Times New Roman" w:hAnsi="Times New Roman" w:cs="Times New Roman"/>
                <w:i/>
                <w:iCs/>
                <w:color w:val="000000"/>
                <w:sz w:val="24"/>
                <w:szCs w:val="24"/>
              </w:rPr>
              <w:t xml:space="preserve"> </w:t>
            </w:r>
            <w:proofErr w:type="spellStart"/>
            <w:r w:rsidRPr="003875F5">
              <w:rPr>
                <w:rFonts w:ascii="Times New Roman" w:hAnsi="Times New Roman" w:cs="Times New Roman"/>
                <w:i/>
                <w:iCs/>
                <w:color w:val="000000"/>
                <w:sz w:val="24"/>
                <w:szCs w:val="24"/>
              </w:rPr>
              <w:t>n.r</w:t>
            </w:r>
            <w:r w:rsidRPr="003875F5">
              <w:rPr>
                <w:rFonts w:ascii="Times New Roman" w:hAnsi="Times New Roman" w:cs="Times New Roman"/>
                <w:color w:val="000000"/>
                <w:sz w:val="24"/>
                <w:szCs w:val="24"/>
              </w:rPr>
              <w:t>'s</w:t>
            </w:r>
            <w:proofErr w:type="spellEnd"/>
            <w:r w:rsidRPr="003875F5">
              <w:rPr>
                <w:rFonts w:ascii="Times New Roman" w:hAnsi="Times New Roman" w:cs="Times New Roman"/>
                <w:color w:val="000000"/>
                <w:sz w:val="24"/>
                <w:szCs w:val="24"/>
              </w:rPr>
              <w:t xml:space="preserve"> </w:t>
            </w:r>
            <w:proofErr w:type="spellStart"/>
            <w:r w:rsidRPr="003875F5">
              <w:rPr>
                <w:rFonts w:ascii="Times New Roman" w:hAnsi="Times New Roman" w:cs="Times New Roman"/>
                <w:color w:val="000000"/>
                <w:sz w:val="24"/>
                <w:szCs w:val="24"/>
              </w:rPr>
              <w:t>by</w:t>
            </w:r>
            <w:proofErr w:type="spellEnd"/>
            <w:r w:rsidRPr="003875F5">
              <w:rPr>
                <w:rFonts w:ascii="Times New Roman" w:hAnsi="Times New Roman" w:cs="Times New Roman"/>
                <w:color w:val="000000"/>
                <w:sz w:val="24"/>
                <w:szCs w:val="24"/>
              </w:rPr>
              <w:t xml:space="preserve"> </w:t>
            </w:r>
            <w:proofErr w:type="spellStart"/>
            <w:r w:rsidRPr="003875F5">
              <w:rPr>
                <w:rFonts w:ascii="Times New Roman" w:hAnsi="Times New Roman" w:cs="Times New Roman"/>
                <w:color w:val="000000"/>
                <w:sz w:val="24"/>
                <w:szCs w:val="24"/>
              </w:rPr>
              <w:t>year</w:t>
            </w:r>
            <w:proofErr w:type="spellEnd"/>
          </w:p>
        </w:tc>
      </w:tr>
      <w:tr w:rsidR="00155B94" w:rsidRPr="003875F5" w:rsidTr="00155B94">
        <w:trPr>
          <w:trHeight w:val="305"/>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1995</w:t>
            </w:r>
          </w:p>
        </w:tc>
        <w:tc>
          <w:tcPr>
            <w:tcW w:w="2950" w:type="dxa"/>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277</w:t>
            </w:r>
          </w:p>
        </w:tc>
        <w:tc>
          <w:tcPr>
            <w:tcW w:w="3003" w:type="dxa"/>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8.66%</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1996</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155</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4.84%</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1997</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116</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3.63%</w:t>
            </w:r>
          </w:p>
        </w:tc>
      </w:tr>
      <w:tr w:rsidR="00155B94" w:rsidRPr="003875F5" w:rsidTr="00155B94">
        <w:trPr>
          <w:trHeight w:val="305"/>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1998</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104</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3.25%</w:t>
            </w:r>
          </w:p>
        </w:tc>
      </w:tr>
      <w:tr w:rsidR="00155B94" w:rsidRPr="003875F5" w:rsidTr="00155B94">
        <w:trPr>
          <w:trHeight w:val="305"/>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1999</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96</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3.00%</w:t>
            </w:r>
          </w:p>
        </w:tc>
      </w:tr>
      <w:tr w:rsidR="00155B94" w:rsidRPr="003875F5" w:rsidTr="00155B94">
        <w:trPr>
          <w:trHeight w:val="305"/>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2000</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93</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2.91%</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2001</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95</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2.97%</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2002</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96</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3.00%</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2003</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84</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2.63%</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2004</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83</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2.59%</w:t>
            </w:r>
          </w:p>
        </w:tc>
      </w:tr>
      <w:tr w:rsidR="00155B94" w:rsidRPr="003875F5" w:rsidTr="00155B94">
        <w:trPr>
          <w:trHeight w:val="305"/>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2005</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79</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2.47%</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2006</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70</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2.19%</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2007</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64</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2.00%</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2008</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43</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1.34%</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2009</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37</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1.16%</w:t>
            </w:r>
          </w:p>
        </w:tc>
      </w:tr>
      <w:tr w:rsidR="00155B94" w:rsidRPr="003875F5" w:rsidTr="00155B94">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2010</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26</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0.81%</w:t>
            </w:r>
          </w:p>
        </w:tc>
      </w:tr>
      <w:tr w:rsidR="00155B94" w:rsidRPr="003875F5" w:rsidTr="001A70ED">
        <w:trPr>
          <w:trHeight w:val="290"/>
        </w:trPr>
        <w:tc>
          <w:tcPr>
            <w:tcW w:w="1276" w:type="dxa"/>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2011</w:t>
            </w:r>
          </w:p>
        </w:tc>
        <w:tc>
          <w:tcPr>
            <w:tcW w:w="2950"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26</w:t>
            </w:r>
          </w:p>
        </w:tc>
        <w:tc>
          <w:tcPr>
            <w:tcW w:w="3003"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0.81%</w:t>
            </w:r>
          </w:p>
        </w:tc>
      </w:tr>
      <w:tr w:rsidR="00155B94" w:rsidRPr="003875F5" w:rsidTr="001A70ED">
        <w:trPr>
          <w:trHeight w:val="305"/>
        </w:trPr>
        <w:tc>
          <w:tcPr>
            <w:tcW w:w="1276" w:type="dxa"/>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2012</w:t>
            </w:r>
          </w:p>
        </w:tc>
        <w:tc>
          <w:tcPr>
            <w:tcW w:w="2950" w:type="dxa"/>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28</w:t>
            </w:r>
          </w:p>
        </w:tc>
        <w:tc>
          <w:tcPr>
            <w:tcW w:w="3003" w:type="dxa"/>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0.88%</w:t>
            </w:r>
          </w:p>
        </w:tc>
      </w:tr>
    </w:tbl>
    <w:p w:rsidR="00155B94" w:rsidRPr="003875F5" w:rsidRDefault="00155B94" w:rsidP="00155B94">
      <w:pPr>
        <w:pStyle w:val="Estilo1"/>
        <w:numPr>
          <w:ilvl w:val="0"/>
          <w:numId w:val="0"/>
        </w:numPr>
        <w:ind w:left="1080" w:hanging="720"/>
      </w:pPr>
    </w:p>
    <w:p w:rsidR="00155B94" w:rsidRPr="003875F5" w:rsidRDefault="00017D1D" w:rsidP="00155B94">
      <w:pPr>
        <w:pStyle w:val="Estilo2"/>
      </w:pPr>
      <w:bookmarkStart w:id="94" w:name="_Toc402472392"/>
      <w:r w:rsidRPr="003875F5">
        <w:t>Description b</w:t>
      </w:r>
      <w:r w:rsidR="00155B94" w:rsidRPr="003875F5">
        <w:t>y categories</w:t>
      </w:r>
      <w:bookmarkEnd w:id="94"/>
    </w:p>
    <w:tbl>
      <w:tblPr>
        <w:tblW w:w="5000" w:type="pct"/>
        <w:tblCellMar>
          <w:left w:w="70" w:type="dxa"/>
          <w:right w:w="70" w:type="dxa"/>
        </w:tblCellMar>
        <w:tblLook w:val="0000" w:firstRow="0" w:lastRow="0" w:firstColumn="0" w:lastColumn="0" w:noHBand="0" w:noVBand="0"/>
      </w:tblPr>
      <w:tblGrid>
        <w:gridCol w:w="897"/>
        <w:gridCol w:w="897"/>
        <w:gridCol w:w="898"/>
        <w:gridCol w:w="898"/>
        <w:gridCol w:w="898"/>
        <w:gridCol w:w="898"/>
        <w:gridCol w:w="898"/>
        <w:gridCol w:w="898"/>
        <w:gridCol w:w="898"/>
        <w:gridCol w:w="898"/>
      </w:tblGrid>
      <w:tr w:rsidR="00155B94" w:rsidRPr="003875F5" w:rsidTr="00155B94">
        <w:trPr>
          <w:trHeight w:val="300"/>
        </w:trPr>
        <w:tc>
          <w:tcPr>
            <w:tcW w:w="5000" w:type="pct"/>
            <w:gridSpan w:val="10"/>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 xml:space="preserve">Share of </w:t>
            </w:r>
            <w:proofErr w:type="spellStart"/>
            <w:r w:rsidRPr="003875F5">
              <w:rPr>
                <w:rFonts w:ascii="Times New Roman" w:hAnsi="Times New Roman" w:cs="Times New Roman"/>
                <w:i/>
                <w:iCs/>
                <w:color w:val="000000"/>
                <w:sz w:val="24"/>
                <w:szCs w:val="24"/>
                <w:lang w:val="en-US"/>
              </w:rPr>
              <w:t>n.a</w:t>
            </w:r>
            <w:r w:rsidRPr="003875F5">
              <w:rPr>
                <w:rFonts w:ascii="Times New Roman" w:hAnsi="Times New Roman" w:cs="Times New Roman"/>
                <w:color w:val="000000"/>
                <w:sz w:val="24"/>
                <w:szCs w:val="24"/>
                <w:lang w:val="en-US"/>
              </w:rPr>
              <w:t>'s</w:t>
            </w:r>
            <w:proofErr w:type="spellEnd"/>
            <w:r w:rsidRPr="003875F5">
              <w:rPr>
                <w:rFonts w:ascii="Times New Roman" w:hAnsi="Times New Roman" w:cs="Times New Roman"/>
                <w:color w:val="000000"/>
                <w:sz w:val="24"/>
                <w:szCs w:val="24"/>
                <w:lang w:val="en-US"/>
              </w:rPr>
              <w:t xml:space="preserve"> and </w:t>
            </w:r>
            <w:proofErr w:type="spellStart"/>
            <w:r w:rsidRPr="003875F5">
              <w:rPr>
                <w:rFonts w:ascii="Times New Roman" w:hAnsi="Times New Roman" w:cs="Times New Roman"/>
                <w:i/>
                <w:iCs/>
                <w:color w:val="000000"/>
                <w:sz w:val="24"/>
                <w:szCs w:val="24"/>
                <w:lang w:val="en-US"/>
              </w:rPr>
              <w:t>n.r</w:t>
            </w:r>
            <w:r w:rsidRPr="003875F5">
              <w:rPr>
                <w:rFonts w:ascii="Times New Roman" w:hAnsi="Times New Roman" w:cs="Times New Roman"/>
                <w:color w:val="000000"/>
                <w:sz w:val="24"/>
                <w:szCs w:val="24"/>
                <w:lang w:val="en-US"/>
              </w:rPr>
              <w:t>'s</w:t>
            </w:r>
            <w:proofErr w:type="spellEnd"/>
            <w:r w:rsidRPr="003875F5">
              <w:rPr>
                <w:rFonts w:ascii="Times New Roman" w:hAnsi="Times New Roman" w:cs="Times New Roman"/>
                <w:color w:val="000000"/>
                <w:sz w:val="24"/>
                <w:szCs w:val="24"/>
                <w:lang w:val="en-US"/>
              </w:rPr>
              <w:t xml:space="preserve"> by category (as a % of total observations per category)</w:t>
            </w:r>
          </w:p>
        </w:tc>
      </w:tr>
      <w:tr w:rsidR="00155B94" w:rsidRPr="003875F5" w:rsidTr="001A70ED">
        <w:trPr>
          <w:trHeight w:val="300"/>
        </w:trPr>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proofErr w:type="spellStart"/>
            <w:r w:rsidRPr="003875F5">
              <w:rPr>
                <w:rFonts w:ascii="Times New Roman" w:hAnsi="Times New Roman" w:cs="Times New Roman"/>
                <w:b/>
                <w:bCs/>
                <w:color w:val="000000"/>
                <w:sz w:val="24"/>
                <w:szCs w:val="24"/>
                <w:lang w:val="en-US"/>
              </w:rPr>
              <w:t>eq</w:t>
            </w:r>
            <w:proofErr w:type="spellEnd"/>
          </w:p>
        </w:tc>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proofErr w:type="spellStart"/>
            <w:r w:rsidRPr="003875F5">
              <w:rPr>
                <w:rFonts w:ascii="Times New Roman" w:hAnsi="Times New Roman" w:cs="Times New Roman"/>
                <w:b/>
                <w:bCs/>
                <w:color w:val="000000"/>
                <w:sz w:val="24"/>
                <w:szCs w:val="24"/>
                <w:lang w:val="en-US"/>
              </w:rPr>
              <w:t>bo</w:t>
            </w:r>
            <w:proofErr w:type="spellEnd"/>
          </w:p>
        </w:tc>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3875F5">
              <w:rPr>
                <w:rFonts w:ascii="Times New Roman" w:hAnsi="Times New Roman" w:cs="Times New Roman"/>
                <w:b/>
                <w:bCs/>
                <w:color w:val="000000"/>
                <w:sz w:val="24"/>
                <w:szCs w:val="24"/>
                <w:lang w:val="en-US"/>
              </w:rPr>
              <w:t>mm</w:t>
            </w:r>
          </w:p>
        </w:tc>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3875F5">
              <w:rPr>
                <w:rFonts w:ascii="Times New Roman" w:hAnsi="Times New Roman" w:cs="Times New Roman"/>
                <w:b/>
                <w:bCs/>
                <w:color w:val="000000"/>
                <w:sz w:val="24"/>
                <w:szCs w:val="24"/>
                <w:lang w:val="en-US"/>
              </w:rPr>
              <w:t>ci</w:t>
            </w:r>
          </w:p>
        </w:tc>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3875F5">
              <w:rPr>
                <w:rFonts w:ascii="Times New Roman" w:hAnsi="Times New Roman" w:cs="Times New Roman"/>
                <w:b/>
                <w:bCs/>
                <w:color w:val="000000"/>
                <w:sz w:val="24"/>
                <w:szCs w:val="24"/>
                <w:lang w:val="en-US"/>
              </w:rPr>
              <w:t>de</w:t>
            </w:r>
          </w:p>
        </w:tc>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3875F5">
              <w:rPr>
                <w:rFonts w:ascii="Times New Roman" w:hAnsi="Times New Roman" w:cs="Times New Roman"/>
                <w:b/>
                <w:bCs/>
                <w:color w:val="000000"/>
                <w:sz w:val="24"/>
                <w:szCs w:val="24"/>
                <w:lang w:val="en-US"/>
              </w:rPr>
              <w:t>re</w:t>
            </w:r>
          </w:p>
        </w:tc>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3875F5">
              <w:rPr>
                <w:rFonts w:ascii="Times New Roman" w:hAnsi="Times New Roman" w:cs="Times New Roman"/>
                <w:b/>
                <w:bCs/>
                <w:color w:val="000000"/>
                <w:sz w:val="24"/>
                <w:szCs w:val="24"/>
                <w:lang w:val="en-US"/>
              </w:rPr>
              <w:t>di</w:t>
            </w:r>
          </w:p>
        </w:tc>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3875F5">
              <w:rPr>
                <w:rFonts w:ascii="Times New Roman" w:hAnsi="Times New Roman" w:cs="Times New Roman"/>
                <w:b/>
                <w:bCs/>
                <w:color w:val="000000"/>
                <w:sz w:val="24"/>
                <w:szCs w:val="24"/>
                <w:lang w:val="en-US"/>
              </w:rPr>
              <w:t>fc</w:t>
            </w:r>
          </w:p>
        </w:tc>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3875F5">
              <w:rPr>
                <w:rFonts w:ascii="Times New Roman" w:hAnsi="Times New Roman" w:cs="Times New Roman"/>
                <w:b/>
                <w:bCs/>
                <w:color w:val="000000"/>
                <w:sz w:val="24"/>
                <w:szCs w:val="24"/>
                <w:lang w:val="en-US"/>
              </w:rPr>
              <w:t>cc</w:t>
            </w:r>
          </w:p>
        </w:tc>
        <w:tc>
          <w:tcPr>
            <w:tcW w:w="500" w:type="pct"/>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b/>
                <w:bCs/>
                <w:color w:val="000000"/>
                <w:sz w:val="24"/>
                <w:szCs w:val="24"/>
                <w:lang w:val="en-US"/>
              </w:rPr>
            </w:pPr>
            <w:proofErr w:type="spellStart"/>
            <w:r w:rsidRPr="003875F5">
              <w:rPr>
                <w:rFonts w:ascii="Times New Roman" w:hAnsi="Times New Roman" w:cs="Times New Roman"/>
                <w:b/>
                <w:bCs/>
                <w:color w:val="000000"/>
                <w:sz w:val="24"/>
                <w:szCs w:val="24"/>
                <w:lang w:val="en-US"/>
              </w:rPr>
              <w:t>gs</w:t>
            </w:r>
            <w:proofErr w:type="spellEnd"/>
          </w:p>
        </w:tc>
      </w:tr>
      <w:tr w:rsidR="00155B94" w:rsidRPr="003875F5" w:rsidTr="001A70ED">
        <w:trPr>
          <w:trHeight w:val="300"/>
        </w:trPr>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lastRenderedPageBreak/>
              <w:t>1.22%</w:t>
            </w:r>
          </w:p>
        </w:tc>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1.06%</w:t>
            </w:r>
          </w:p>
        </w:tc>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1.89%</w:t>
            </w:r>
          </w:p>
        </w:tc>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2.76%</w:t>
            </w:r>
          </w:p>
        </w:tc>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9.07%</w:t>
            </w:r>
          </w:p>
        </w:tc>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3.48%</w:t>
            </w:r>
          </w:p>
        </w:tc>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0.87%</w:t>
            </w:r>
          </w:p>
        </w:tc>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0.64%</w:t>
            </w:r>
          </w:p>
        </w:tc>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1.31%</w:t>
            </w:r>
          </w:p>
        </w:tc>
        <w:tc>
          <w:tcPr>
            <w:tcW w:w="500" w:type="pct"/>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lang w:val="en-US"/>
              </w:rPr>
            </w:pPr>
            <w:r w:rsidRPr="003875F5">
              <w:rPr>
                <w:rFonts w:ascii="Times New Roman" w:hAnsi="Times New Roman" w:cs="Times New Roman"/>
                <w:color w:val="000000"/>
                <w:sz w:val="24"/>
                <w:szCs w:val="24"/>
                <w:lang w:val="en-US"/>
              </w:rPr>
              <w:t>2.42%</w:t>
            </w:r>
          </w:p>
        </w:tc>
      </w:tr>
    </w:tbl>
    <w:p w:rsidR="001A70ED" w:rsidRDefault="001A70ED" w:rsidP="001A70ED">
      <w:pPr>
        <w:pStyle w:val="Estilo2"/>
        <w:numPr>
          <w:ilvl w:val="0"/>
          <w:numId w:val="0"/>
        </w:numPr>
        <w:ind w:left="1440"/>
      </w:pPr>
      <w:bookmarkStart w:id="95" w:name="_Toc402472393"/>
    </w:p>
    <w:p w:rsidR="00155B94" w:rsidRPr="003875F5" w:rsidRDefault="00155B94" w:rsidP="00155B94">
      <w:pPr>
        <w:pStyle w:val="Estilo2"/>
      </w:pPr>
      <w:r w:rsidRPr="003875F5">
        <w:t>Aggregate</w:t>
      </w:r>
      <w:bookmarkEnd w:id="95"/>
    </w:p>
    <w:tbl>
      <w:tblPr>
        <w:tblW w:w="0" w:type="auto"/>
        <w:jc w:val="center"/>
        <w:tblInd w:w="-398" w:type="dxa"/>
        <w:tblLayout w:type="fixed"/>
        <w:tblCellMar>
          <w:left w:w="70" w:type="dxa"/>
          <w:right w:w="70" w:type="dxa"/>
        </w:tblCellMar>
        <w:tblLook w:val="0000" w:firstRow="0" w:lastRow="0" w:firstColumn="0" w:lastColumn="0" w:noHBand="0" w:noVBand="0"/>
      </w:tblPr>
      <w:tblGrid>
        <w:gridCol w:w="2178"/>
        <w:gridCol w:w="1531"/>
        <w:gridCol w:w="1289"/>
      </w:tblGrid>
      <w:tr w:rsidR="00155B94" w:rsidRPr="003875F5" w:rsidTr="00155B94">
        <w:trPr>
          <w:trHeight w:val="305"/>
          <w:jc w:val="center"/>
        </w:trPr>
        <w:tc>
          <w:tcPr>
            <w:tcW w:w="4998" w:type="dxa"/>
            <w:gridSpan w:val="3"/>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3875F5">
              <w:rPr>
                <w:rFonts w:ascii="Times New Roman" w:hAnsi="Times New Roman" w:cs="Times New Roman"/>
                <w:color w:val="000000"/>
                <w:sz w:val="24"/>
                <w:szCs w:val="24"/>
              </w:rPr>
              <w:t>Number</w:t>
            </w:r>
            <w:proofErr w:type="spellEnd"/>
            <w:r w:rsidRPr="003875F5">
              <w:rPr>
                <w:rFonts w:ascii="Times New Roman" w:hAnsi="Times New Roman" w:cs="Times New Roman"/>
                <w:color w:val="000000"/>
                <w:sz w:val="24"/>
                <w:szCs w:val="24"/>
              </w:rPr>
              <w:t xml:space="preserve"> of </w:t>
            </w:r>
            <w:proofErr w:type="spellStart"/>
            <w:r w:rsidRPr="003875F5">
              <w:rPr>
                <w:rFonts w:ascii="Times New Roman" w:hAnsi="Times New Roman" w:cs="Times New Roman"/>
                <w:color w:val="000000"/>
                <w:sz w:val="24"/>
                <w:szCs w:val="24"/>
              </w:rPr>
              <w:t>n.a's</w:t>
            </w:r>
            <w:proofErr w:type="spellEnd"/>
            <w:r w:rsidRPr="003875F5">
              <w:rPr>
                <w:rFonts w:ascii="Times New Roman" w:hAnsi="Times New Roman" w:cs="Times New Roman"/>
                <w:color w:val="000000"/>
                <w:sz w:val="24"/>
                <w:szCs w:val="24"/>
              </w:rPr>
              <w:t xml:space="preserve"> and </w:t>
            </w:r>
            <w:proofErr w:type="spellStart"/>
            <w:r w:rsidRPr="003875F5">
              <w:rPr>
                <w:rFonts w:ascii="Times New Roman" w:hAnsi="Times New Roman" w:cs="Times New Roman"/>
                <w:color w:val="000000"/>
                <w:sz w:val="24"/>
                <w:szCs w:val="24"/>
              </w:rPr>
              <w:t>n.r's</w:t>
            </w:r>
            <w:proofErr w:type="spellEnd"/>
            <w:r w:rsidRPr="003875F5">
              <w:rPr>
                <w:rFonts w:ascii="Times New Roman" w:hAnsi="Times New Roman" w:cs="Times New Roman"/>
                <w:color w:val="000000"/>
                <w:sz w:val="24"/>
                <w:szCs w:val="24"/>
              </w:rPr>
              <w:t xml:space="preserve"> in </w:t>
            </w:r>
            <w:proofErr w:type="spellStart"/>
            <w:r w:rsidRPr="003875F5">
              <w:rPr>
                <w:rFonts w:ascii="Times New Roman" w:hAnsi="Times New Roman" w:cs="Times New Roman"/>
                <w:color w:val="000000"/>
                <w:sz w:val="24"/>
                <w:szCs w:val="24"/>
              </w:rPr>
              <w:t>dataset</w:t>
            </w:r>
            <w:proofErr w:type="spellEnd"/>
          </w:p>
        </w:tc>
      </w:tr>
      <w:tr w:rsidR="00155B94" w:rsidRPr="003875F5" w:rsidTr="00155B94">
        <w:trPr>
          <w:trHeight w:val="290"/>
          <w:jc w:val="center"/>
        </w:trPr>
        <w:tc>
          <w:tcPr>
            <w:tcW w:w="2178" w:type="dxa"/>
            <w:tcBorders>
              <w:top w:val="single" w:sz="4" w:space="0" w:color="auto"/>
            </w:tcBorders>
          </w:tcPr>
          <w:p w:rsidR="00155B94" w:rsidRPr="003875F5" w:rsidRDefault="00155B94">
            <w:pPr>
              <w:autoSpaceDE w:val="0"/>
              <w:autoSpaceDN w:val="0"/>
              <w:adjustRightInd w:val="0"/>
              <w:spacing w:after="0" w:line="240" w:lineRule="auto"/>
              <w:rPr>
                <w:rFonts w:ascii="Times New Roman" w:hAnsi="Times New Roman" w:cs="Times New Roman"/>
                <w:b/>
                <w:bCs/>
                <w:color w:val="000000"/>
                <w:sz w:val="24"/>
                <w:szCs w:val="24"/>
              </w:rPr>
            </w:pPr>
            <w:proofErr w:type="spellStart"/>
            <w:r w:rsidRPr="003875F5">
              <w:rPr>
                <w:rFonts w:ascii="Times New Roman" w:hAnsi="Times New Roman" w:cs="Times New Roman"/>
                <w:b/>
                <w:bCs/>
                <w:color w:val="000000"/>
                <w:sz w:val="24"/>
                <w:szCs w:val="24"/>
              </w:rPr>
              <w:t>Number</w:t>
            </w:r>
            <w:proofErr w:type="spellEnd"/>
            <w:r w:rsidRPr="003875F5">
              <w:rPr>
                <w:rFonts w:ascii="Times New Roman" w:hAnsi="Times New Roman" w:cs="Times New Roman"/>
                <w:b/>
                <w:bCs/>
                <w:color w:val="000000"/>
                <w:sz w:val="24"/>
                <w:szCs w:val="24"/>
              </w:rPr>
              <w:t xml:space="preserve"> of </w:t>
            </w:r>
            <w:proofErr w:type="spellStart"/>
            <w:r w:rsidRPr="003875F5">
              <w:rPr>
                <w:rFonts w:ascii="Times New Roman" w:hAnsi="Times New Roman" w:cs="Times New Roman"/>
                <w:b/>
                <w:bCs/>
                <w:i/>
                <w:iCs/>
                <w:color w:val="000000"/>
                <w:sz w:val="24"/>
                <w:szCs w:val="24"/>
              </w:rPr>
              <w:t>n.a</w:t>
            </w:r>
            <w:r w:rsidRPr="003875F5">
              <w:rPr>
                <w:rFonts w:ascii="Times New Roman" w:hAnsi="Times New Roman" w:cs="Times New Roman"/>
                <w:b/>
                <w:bCs/>
                <w:color w:val="000000"/>
                <w:sz w:val="24"/>
                <w:szCs w:val="24"/>
              </w:rPr>
              <w:t>'s</w:t>
            </w:r>
            <w:proofErr w:type="spellEnd"/>
          </w:p>
        </w:tc>
        <w:tc>
          <w:tcPr>
            <w:tcW w:w="1531" w:type="dxa"/>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1145</w:t>
            </w:r>
          </w:p>
        </w:tc>
        <w:tc>
          <w:tcPr>
            <w:tcW w:w="1289" w:type="dxa"/>
            <w:tcBorders>
              <w:top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p>
        </w:tc>
      </w:tr>
      <w:tr w:rsidR="00155B94" w:rsidRPr="003875F5" w:rsidTr="001A70ED">
        <w:trPr>
          <w:trHeight w:val="290"/>
          <w:jc w:val="center"/>
        </w:trPr>
        <w:tc>
          <w:tcPr>
            <w:tcW w:w="2178" w:type="dxa"/>
          </w:tcPr>
          <w:p w:rsidR="00155B94" w:rsidRPr="003875F5" w:rsidRDefault="00155B94">
            <w:pPr>
              <w:autoSpaceDE w:val="0"/>
              <w:autoSpaceDN w:val="0"/>
              <w:adjustRightInd w:val="0"/>
              <w:spacing w:after="0" w:line="240" w:lineRule="auto"/>
              <w:rPr>
                <w:rFonts w:ascii="Times New Roman" w:hAnsi="Times New Roman" w:cs="Times New Roman"/>
                <w:b/>
                <w:bCs/>
                <w:color w:val="000000"/>
                <w:sz w:val="24"/>
                <w:szCs w:val="24"/>
              </w:rPr>
            </w:pPr>
            <w:proofErr w:type="spellStart"/>
            <w:r w:rsidRPr="003875F5">
              <w:rPr>
                <w:rFonts w:ascii="Times New Roman" w:hAnsi="Times New Roman" w:cs="Times New Roman"/>
                <w:b/>
                <w:bCs/>
                <w:color w:val="000000"/>
                <w:sz w:val="24"/>
                <w:szCs w:val="24"/>
              </w:rPr>
              <w:t>Number</w:t>
            </w:r>
            <w:proofErr w:type="spellEnd"/>
            <w:r w:rsidRPr="003875F5">
              <w:rPr>
                <w:rFonts w:ascii="Times New Roman" w:hAnsi="Times New Roman" w:cs="Times New Roman"/>
                <w:b/>
                <w:bCs/>
                <w:color w:val="000000"/>
                <w:sz w:val="24"/>
                <w:szCs w:val="24"/>
              </w:rPr>
              <w:t xml:space="preserve"> of </w:t>
            </w:r>
            <w:proofErr w:type="spellStart"/>
            <w:r w:rsidRPr="003875F5">
              <w:rPr>
                <w:rFonts w:ascii="Times New Roman" w:hAnsi="Times New Roman" w:cs="Times New Roman"/>
                <w:b/>
                <w:bCs/>
                <w:i/>
                <w:iCs/>
                <w:color w:val="000000"/>
                <w:sz w:val="24"/>
                <w:szCs w:val="24"/>
              </w:rPr>
              <w:t>n.r</w:t>
            </w:r>
            <w:r w:rsidRPr="003875F5">
              <w:rPr>
                <w:rFonts w:ascii="Times New Roman" w:hAnsi="Times New Roman" w:cs="Times New Roman"/>
                <w:b/>
                <w:bCs/>
                <w:color w:val="000000"/>
                <w:sz w:val="24"/>
                <w:szCs w:val="24"/>
              </w:rPr>
              <w:t>'s</w:t>
            </w:r>
            <w:proofErr w:type="spellEnd"/>
          </w:p>
        </w:tc>
        <w:tc>
          <w:tcPr>
            <w:tcW w:w="1531"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415</w:t>
            </w:r>
          </w:p>
        </w:tc>
        <w:tc>
          <w:tcPr>
            <w:tcW w:w="1289" w:type="dxa"/>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p>
        </w:tc>
      </w:tr>
      <w:tr w:rsidR="00155B94" w:rsidRPr="003875F5" w:rsidTr="001A70ED">
        <w:trPr>
          <w:trHeight w:val="305"/>
          <w:jc w:val="center"/>
        </w:trPr>
        <w:tc>
          <w:tcPr>
            <w:tcW w:w="2178" w:type="dxa"/>
            <w:tcBorders>
              <w:bottom w:val="single" w:sz="4" w:space="0" w:color="auto"/>
            </w:tcBorders>
          </w:tcPr>
          <w:p w:rsidR="00155B94" w:rsidRPr="003875F5" w:rsidRDefault="00155B94">
            <w:pPr>
              <w:autoSpaceDE w:val="0"/>
              <w:autoSpaceDN w:val="0"/>
              <w:adjustRightInd w:val="0"/>
              <w:spacing w:after="0" w:line="240" w:lineRule="auto"/>
              <w:rPr>
                <w:rFonts w:ascii="Times New Roman" w:hAnsi="Times New Roman" w:cs="Times New Roman"/>
                <w:b/>
                <w:bCs/>
                <w:color w:val="000000"/>
                <w:sz w:val="24"/>
                <w:szCs w:val="24"/>
              </w:rPr>
            </w:pPr>
            <w:r w:rsidRPr="003875F5">
              <w:rPr>
                <w:rFonts w:ascii="Times New Roman" w:hAnsi="Times New Roman" w:cs="Times New Roman"/>
                <w:b/>
                <w:bCs/>
                <w:color w:val="000000"/>
                <w:sz w:val="24"/>
                <w:szCs w:val="24"/>
              </w:rPr>
              <w:t>Total</w:t>
            </w:r>
          </w:p>
        </w:tc>
        <w:tc>
          <w:tcPr>
            <w:tcW w:w="1531" w:type="dxa"/>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r w:rsidRPr="003875F5">
              <w:rPr>
                <w:rFonts w:ascii="Times New Roman" w:hAnsi="Times New Roman" w:cs="Times New Roman"/>
                <w:color w:val="000000"/>
                <w:sz w:val="24"/>
                <w:szCs w:val="24"/>
              </w:rPr>
              <w:t>1560</w:t>
            </w:r>
          </w:p>
        </w:tc>
        <w:tc>
          <w:tcPr>
            <w:tcW w:w="1289" w:type="dxa"/>
            <w:tcBorders>
              <w:bottom w:val="single" w:sz="4" w:space="0" w:color="auto"/>
            </w:tcBorders>
          </w:tcPr>
          <w:p w:rsidR="00155B94" w:rsidRPr="003875F5" w:rsidRDefault="00155B94">
            <w:pPr>
              <w:autoSpaceDE w:val="0"/>
              <w:autoSpaceDN w:val="0"/>
              <w:adjustRightInd w:val="0"/>
              <w:spacing w:after="0" w:line="240" w:lineRule="auto"/>
              <w:jc w:val="center"/>
              <w:rPr>
                <w:rFonts w:ascii="Times New Roman" w:hAnsi="Times New Roman" w:cs="Times New Roman"/>
                <w:color w:val="000000"/>
                <w:sz w:val="24"/>
                <w:szCs w:val="24"/>
              </w:rPr>
            </w:pPr>
          </w:p>
        </w:tc>
      </w:tr>
    </w:tbl>
    <w:p w:rsidR="00155B94" w:rsidRPr="003875F5" w:rsidRDefault="00155B94" w:rsidP="00017D1D">
      <w:pPr>
        <w:pStyle w:val="Estilo1"/>
        <w:numPr>
          <w:ilvl w:val="0"/>
          <w:numId w:val="0"/>
        </w:numPr>
      </w:pPr>
    </w:p>
    <w:sectPr w:rsidR="00155B94" w:rsidRPr="003875F5" w:rsidSect="0066717B">
      <w:headerReference w:type="default" r:id="rId9"/>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92" w:rsidRDefault="00D11192" w:rsidP="00026490">
      <w:pPr>
        <w:spacing w:after="0" w:line="240" w:lineRule="auto"/>
      </w:pPr>
      <w:r>
        <w:separator/>
      </w:r>
    </w:p>
  </w:endnote>
  <w:endnote w:type="continuationSeparator" w:id="0">
    <w:p w:rsidR="00D11192" w:rsidRDefault="00D11192" w:rsidP="00026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99841675"/>
      <w:docPartObj>
        <w:docPartGallery w:val="Page Numbers (Bottom of Page)"/>
        <w:docPartUnique/>
      </w:docPartObj>
    </w:sdtPr>
    <w:sdtEndPr/>
    <w:sdtContent>
      <w:p w:rsidR="001E09E1" w:rsidRPr="00114921" w:rsidRDefault="001E09E1">
        <w:pPr>
          <w:pStyle w:val="Piedepgina"/>
          <w:jc w:val="center"/>
          <w:rPr>
            <w:rFonts w:ascii="Times New Roman" w:hAnsi="Times New Roman" w:cs="Times New Roman"/>
          </w:rPr>
        </w:pPr>
        <w:r>
          <w:fldChar w:fldCharType="begin"/>
        </w:r>
        <w:r>
          <w:instrText>PAGE   \* MERGEFORMAT</w:instrText>
        </w:r>
        <w:r>
          <w:fldChar w:fldCharType="separate"/>
        </w:r>
        <w:r w:rsidR="00823749" w:rsidRPr="00823749">
          <w:rPr>
            <w:rFonts w:ascii="Times New Roman" w:hAnsi="Times New Roman" w:cs="Times New Roman"/>
            <w:noProof/>
            <w:lang w:val="es-ES"/>
          </w:rPr>
          <w:t>62</w:t>
        </w:r>
        <w:r>
          <w:rPr>
            <w:rFonts w:ascii="Times New Roman" w:hAnsi="Times New Roman" w:cs="Times New Roman"/>
            <w:noProof/>
            <w:lang w:val="es-ES"/>
          </w:rPr>
          <w:fldChar w:fldCharType="end"/>
        </w:r>
      </w:p>
    </w:sdtContent>
  </w:sdt>
  <w:p w:rsidR="001E09E1" w:rsidRPr="00114921" w:rsidRDefault="001E09E1">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92" w:rsidRDefault="00D11192" w:rsidP="00026490">
      <w:pPr>
        <w:spacing w:after="0" w:line="240" w:lineRule="auto"/>
      </w:pPr>
      <w:r>
        <w:separator/>
      </w:r>
    </w:p>
  </w:footnote>
  <w:footnote w:type="continuationSeparator" w:id="0">
    <w:p w:rsidR="00D11192" w:rsidRDefault="00D11192" w:rsidP="00026490">
      <w:pPr>
        <w:spacing w:after="0" w:line="240" w:lineRule="auto"/>
      </w:pPr>
      <w:r>
        <w:continuationSeparator/>
      </w:r>
    </w:p>
  </w:footnote>
  <w:footnote w:id="1">
    <w:p w:rsidR="001E09E1" w:rsidRPr="003B2816" w:rsidRDefault="001E09E1" w:rsidP="006A7633">
      <w:pPr>
        <w:pStyle w:val="Textonotapie"/>
        <w:jc w:val="both"/>
        <w:rPr>
          <w:rFonts w:ascii="Times New Roman" w:hAnsi="Times New Roman" w:cs="Times New Roman"/>
          <w:lang w:val="en-US"/>
        </w:rPr>
      </w:pPr>
      <w:r w:rsidRPr="003B2816">
        <w:rPr>
          <w:rStyle w:val="Refdenotaalpie"/>
          <w:rFonts w:ascii="Times New Roman" w:hAnsi="Times New Roman" w:cs="Times New Roman"/>
          <w:lang w:val="en-US"/>
        </w:rPr>
        <w:footnoteRef/>
      </w:r>
      <w:r w:rsidRPr="003B2816">
        <w:rPr>
          <w:rFonts w:ascii="Times New Roman" w:hAnsi="Times New Roman" w:cs="Times New Roman"/>
          <w:lang w:val="en-US"/>
        </w:rPr>
        <w:t xml:space="preserve"> </w:t>
      </w:r>
      <w:proofErr w:type="gramStart"/>
      <w:r w:rsidRPr="003B2816">
        <w:rPr>
          <w:rFonts w:ascii="Times New Roman" w:hAnsi="Times New Roman" w:cs="Times New Roman"/>
          <w:lang w:val="en-US"/>
        </w:rPr>
        <w:t>IMF</w:t>
      </w:r>
      <w:r w:rsidRPr="003B2816">
        <w:rPr>
          <w:rFonts w:ascii="Times New Roman" w:hAnsi="Times New Roman" w:cs="Times New Roman"/>
          <w:i/>
          <w:lang w:val="en-US"/>
        </w:rPr>
        <w:t>.</w:t>
      </w:r>
      <w:proofErr w:type="gramEnd"/>
      <w:r w:rsidRPr="003B2816">
        <w:rPr>
          <w:rFonts w:ascii="Times New Roman" w:hAnsi="Times New Roman" w:cs="Times New Roman"/>
          <w:i/>
          <w:lang w:val="en-US"/>
        </w:rPr>
        <w:t xml:space="preserve"> Annual Report on Exchange Arrangements and Exchange Restrictions</w:t>
      </w:r>
      <w:r w:rsidRPr="003B2816">
        <w:rPr>
          <w:rFonts w:ascii="Times New Roman" w:hAnsi="Times New Roman" w:cs="Times New Roman"/>
          <w:lang w:val="en-US"/>
        </w:rPr>
        <w:t>, 2011, p. 57-59.</w:t>
      </w:r>
    </w:p>
  </w:footnote>
  <w:footnote w:id="2">
    <w:p w:rsidR="001E09E1" w:rsidRPr="003B2816" w:rsidRDefault="001E09E1">
      <w:pPr>
        <w:pStyle w:val="Textonotapie"/>
        <w:rPr>
          <w:rFonts w:ascii="Times New Roman" w:hAnsi="Times New Roman" w:cs="Times New Roman"/>
          <w:lang w:val="en-US"/>
        </w:rPr>
      </w:pPr>
      <w:r w:rsidRPr="003B2816">
        <w:rPr>
          <w:rStyle w:val="Refdenotaalpie"/>
          <w:rFonts w:ascii="Times New Roman" w:hAnsi="Times New Roman" w:cs="Times New Roman"/>
          <w:lang w:val="en-US"/>
        </w:rPr>
        <w:footnoteRef/>
      </w:r>
      <w:r w:rsidRPr="003B2816">
        <w:rPr>
          <w:rFonts w:ascii="Times New Roman" w:hAnsi="Times New Roman" w:cs="Times New Roman"/>
          <w:lang w:val="en-US"/>
        </w:rPr>
        <w:t xml:space="preserve"> See section I</w:t>
      </w:r>
      <w:r>
        <w:rPr>
          <w:rFonts w:ascii="Times New Roman" w:hAnsi="Times New Roman" w:cs="Times New Roman"/>
          <w:lang w:val="en-US"/>
        </w:rPr>
        <w:t>I</w:t>
      </w:r>
      <w:r w:rsidRPr="003B2816">
        <w:rPr>
          <w:rFonts w:ascii="Times New Roman" w:hAnsi="Times New Roman" w:cs="Times New Roman"/>
          <w:lang w:val="en-US"/>
        </w:rPr>
        <w:t>I for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E1" w:rsidRPr="00B24673" w:rsidRDefault="001E09E1" w:rsidP="003833BA">
    <w:pPr>
      <w:pStyle w:val="Encabezado"/>
      <w:jc w:val="center"/>
      <w:rPr>
        <w:rFonts w:ascii="Times New Roman" w:hAnsi="Times New Roman" w:cs="Times New Roman"/>
        <w:lang w:val="en-US"/>
      </w:rPr>
    </w:pPr>
    <w:r>
      <w:rPr>
        <w:rFonts w:ascii="Times New Roman" w:hAnsi="Times New Roman" w:cs="Times New Roman"/>
        <w:lang w:val="en-US"/>
      </w:rPr>
      <w:t>Technical Appendix –</w:t>
    </w:r>
    <w:r w:rsidRPr="00B24673">
      <w:rPr>
        <w:rFonts w:ascii="Times New Roman" w:hAnsi="Times New Roman" w:cs="Times New Roman"/>
        <w:lang w:val="en-US"/>
      </w:rPr>
      <w:t xml:space="preserve"> FKRSU Dataset</w:t>
    </w:r>
  </w:p>
  <w:p w:rsidR="001E09E1" w:rsidRPr="00B24673" w:rsidRDefault="001E09E1">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8620F"/>
    <w:multiLevelType w:val="hybridMultilevel"/>
    <w:tmpl w:val="C70A423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42937CD"/>
    <w:multiLevelType w:val="hybridMultilevel"/>
    <w:tmpl w:val="30F0CCD6"/>
    <w:lvl w:ilvl="0" w:tplc="D44AB09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EE86371"/>
    <w:multiLevelType w:val="hybridMultilevel"/>
    <w:tmpl w:val="5C8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80A9B"/>
    <w:multiLevelType w:val="hybridMultilevel"/>
    <w:tmpl w:val="40125C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Symbo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Symbol"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E514CE2"/>
    <w:multiLevelType w:val="hybridMultilevel"/>
    <w:tmpl w:val="50A2A7A8"/>
    <w:lvl w:ilvl="0" w:tplc="677C5944">
      <w:start w:val="1"/>
      <w:numFmt w:val="upperRoman"/>
      <w:pStyle w:val="Estilo1"/>
      <w:lvlText w:val="%1."/>
      <w:lvlJc w:val="left"/>
      <w:pPr>
        <w:ind w:left="1080" w:hanging="720"/>
      </w:pPr>
      <w:rPr>
        <w:rFonts w:hint="default"/>
      </w:rPr>
    </w:lvl>
    <w:lvl w:ilvl="1" w:tplc="867225F6">
      <w:start w:val="1"/>
      <w:numFmt w:val="decimal"/>
      <w:pStyle w:val="Estilo2"/>
      <w:lvlText w:val="%2."/>
      <w:lvlJc w:val="left"/>
      <w:pPr>
        <w:ind w:left="1440" w:hanging="360"/>
      </w:pPr>
      <w:rPr>
        <w:rFonts w:ascii="Times New Roman" w:eastAsiaTheme="minorHAnsi" w:hAnsi="Times New Roman" w:cs="Times New Roman"/>
      </w:rPr>
    </w:lvl>
    <w:lvl w:ilvl="2" w:tplc="275A2F38">
      <w:start w:val="1"/>
      <w:numFmt w:val="lowerRoman"/>
      <w:lvlText w:val="%3."/>
      <w:lvlJc w:val="right"/>
      <w:pPr>
        <w:ind w:left="2160" w:hanging="180"/>
      </w:pPr>
      <w:rPr>
        <w:b/>
        <w:i w:val="0"/>
      </w:rPr>
    </w:lvl>
    <w:lvl w:ilvl="3" w:tplc="946426B4">
      <w:start w:val="1"/>
      <w:numFmt w:val="lowerRoman"/>
      <w:lvlText w:val="%4-"/>
      <w:lvlJc w:val="left"/>
      <w:pPr>
        <w:ind w:left="3240" w:hanging="720"/>
      </w:pPr>
      <w:rPr>
        <w:rFonts w:hint="default"/>
      </w:rPr>
    </w:lvl>
    <w:lvl w:ilvl="4" w:tplc="2C0A0019">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20BF"/>
    <w:rsid w:val="00000627"/>
    <w:rsid w:val="0000242D"/>
    <w:rsid w:val="00004908"/>
    <w:rsid w:val="00010985"/>
    <w:rsid w:val="00012D42"/>
    <w:rsid w:val="000131C1"/>
    <w:rsid w:val="000139E3"/>
    <w:rsid w:val="00014EC4"/>
    <w:rsid w:val="000160B5"/>
    <w:rsid w:val="00017D1D"/>
    <w:rsid w:val="00022723"/>
    <w:rsid w:val="00023D76"/>
    <w:rsid w:val="0002575B"/>
    <w:rsid w:val="00026490"/>
    <w:rsid w:val="000264D8"/>
    <w:rsid w:val="0003004A"/>
    <w:rsid w:val="000307C5"/>
    <w:rsid w:val="00031701"/>
    <w:rsid w:val="00035BBA"/>
    <w:rsid w:val="000404DF"/>
    <w:rsid w:val="0004191A"/>
    <w:rsid w:val="00045ABB"/>
    <w:rsid w:val="000478B9"/>
    <w:rsid w:val="00051AB7"/>
    <w:rsid w:val="00054E77"/>
    <w:rsid w:val="0005768C"/>
    <w:rsid w:val="000616A8"/>
    <w:rsid w:val="00061F99"/>
    <w:rsid w:val="0006212B"/>
    <w:rsid w:val="00062D44"/>
    <w:rsid w:val="00063AA7"/>
    <w:rsid w:val="00064CBA"/>
    <w:rsid w:val="00067877"/>
    <w:rsid w:val="000716B8"/>
    <w:rsid w:val="0007178E"/>
    <w:rsid w:val="00073BFE"/>
    <w:rsid w:val="0007790C"/>
    <w:rsid w:val="00081DB5"/>
    <w:rsid w:val="00082724"/>
    <w:rsid w:val="00082FC4"/>
    <w:rsid w:val="00083E03"/>
    <w:rsid w:val="000863BA"/>
    <w:rsid w:val="000865C1"/>
    <w:rsid w:val="00097325"/>
    <w:rsid w:val="0009761C"/>
    <w:rsid w:val="000A0541"/>
    <w:rsid w:val="000A1210"/>
    <w:rsid w:val="000A1817"/>
    <w:rsid w:val="000A41C6"/>
    <w:rsid w:val="000B3498"/>
    <w:rsid w:val="000B5C70"/>
    <w:rsid w:val="000C0AEA"/>
    <w:rsid w:val="000C0BF1"/>
    <w:rsid w:val="000C2B36"/>
    <w:rsid w:val="000D3056"/>
    <w:rsid w:val="000E0E28"/>
    <w:rsid w:val="000E1683"/>
    <w:rsid w:val="000E6678"/>
    <w:rsid w:val="000E6787"/>
    <w:rsid w:val="000E67C0"/>
    <w:rsid w:val="000F2CF4"/>
    <w:rsid w:val="000F3EA5"/>
    <w:rsid w:val="001023AF"/>
    <w:rsid w:val="00104824"/>
    <w:rsid w:val="00106772"/>
    <w:rsid w:val="001078E1"/>
    <w:rsid w:val="001079DE"/>
    <w:rsid w:val="00107ADE"/>
    <w:rsid w:val="00107DCC"/>
    <w:rsid w:val="001145D6"/>
    <w:rsid w:val="00114921"/>
    <w:rsid w:val="00114BC1"/>
    <w:rsid w:val="001175D3"/>
    <w:rsid w:val="00117F77"/>
    <w:rsid w:val="0012236D"/>
    <w:rsid w:val="00122E4A"/>
    <w:rsid w:val="001274E5"/>
    <w:rsid w:val="001363FC"/>
    <w:rsid w:val="001436AA"/>
    <w:rsid w:val="00146304"/>
    <w:rsid w:val="00151B33"/>
    <w:rsid w:val="00152960"/>
    <w:rsid w:val="00155997"/>
    <w:rsid w:val="00155B94"/>
    <w:rsid w:val="00155D6E"/>
    <w:rsid w:val="0016311B"/>
    <w:rsid w:val="00164879"/>
    <w:rsid w:val="0016687A"/>
    <w:rsid w:val="001669DD"/>
    <w:rsid w:val="001673D4"/>
    <w:rsid w:val="00170191"/>
    <w:rsid w:val="00174F20"/>
    <w:rsid w:val="0018274C"/>
    <w:rsid w:val="00186F40"/>
    <w:rsid w:val="001873BF"/>
    <w:rsid w:val="0019258A"/>
    <w:rsid w:val="00193312"/>
    <w:rsid w:val="001936F7"/>
    <w:rsid w:val="001A1406"/>
    <w:rsid w:val="001A3B77"/>
    <w:rsid w:val="001A47FD"/>
    <w:rsid w:val="001A55B6"/>
    <w:rsid w:val="001A5B23"/>
    <w:rsid w:val="001A5DB6"/>
    <w:rsid w:val="001A70ED"/>
    <w:rsid w:val="001B04C3"/>
    <w:rsid w:val="001B362F"/>
    <w:rsid w:val="001B3650"/>
    <w:rsid w:val="001B6FDA"/>
    <w:rsid w:val="001C0589"/>
    <w:rsid w:val="001C0AF3"/>
    <w:rsid w:val="001C52EC"/>
    <w:rsid w:val="001C5666"/>
    <w:rsid w:val="001D05EB"/>
    <w:rsid w:val="001D4AAB"/>
    <w:rsid w:val="001D5C0A"/>
    <w:rsid w:val="001D78EC"/>
    <w:rsid w:val="001E09E1"/>
    <w:rsid w:val="001E1FFC"/>
    <w:rsid w:val="001E2C87"/>
    <w:rsid w:val="001E3ABD"/>
    <w:rsid w:val="001E4E39"/>
    <w:rsid w:val="001E6C84"/>
    <w:rsid w:val="001E7B35"/>
    <w:rsid w:val="001F032D"/>
    <w:rsid w:val="001F09B5"/>
    <w:rsid w:val="001F28B3"/>
    <w:rsid w:val="001F2969"/>
    <w:rsid w:val="002006F5"/>
    <w:rsid w:val="00203BBA"/>
    <w:rsid w:val="00206989"/>
    <w:rsid w:val="00210708"/>
    <w:rsid w:val="00211C67"/>
    <w:rsid w:val="0021467C"/>
    <w:rsid w:val="00215A8E"/>
    <w:rsid w:val="00217576"/>
    <w:rsid w:val="002222F5"/>
    <w:rsid w:val="00222DC6"/>
    <w:rsid w:val="002273E1"/>
    <w:rsid w:val="00232E89"/>
    <w:rsid w:val="00237787"/>
    <w:rsid w:val="00242564"/>
    <w:rsid w:val="0024639F"/>
    <w:rsid w:val="00246CB8"/>
    <w:rsid w:val="00246FD2"/>
    <w:rsid w:val="00250094"/>
    <w:rsid w:val="002510AA"/>
    <w:rsid w:val="00252909"/>
    <w:rsid w:val="00252EE1"/>
    <w:rsid w:val="00253F92"/>
    <w:rsid w:val="0025684D"/>
    <w:rsid w:val="002650A6"/>
    <w:rsid w:val="0026589C"/>
    <w:rsid w:val="002746CB"/>
    <w:rsid w:val="00274BE8"/>
    <w:rsid w:val="002752DD"/>
    <w:rsid w:val="002771E8"/>
    <w:rsid w:val="00286385"/>
    <w:rsid w:val="002878A0"/>
    <w:rsid w:val="00292F73"/>
    <w:rsid w:val="002A37F1"/>
    <w:rsid w:val="002A5E79"/>
    <w:rsid w:val="002A668A"/>
    <w:rsid w:val="002B434B"/>
    <w:rsid w:val="002B526A"/>
    <w:rsid w:val="002C125F"/>
    <w:rsid w:val="002C2F78"/>
    <w:rsid w:val="002C4289"/>
    <w:rsid w:val="002C4397"/>
    <w:rsid w:val="002C5318"/>
    <w:rsid w:val="002C629D"/>
    <w:rsid w:val="002D0011"/>
    <w:rsid w:val="002D0026"/>
    <w:rsid w:val="002D02D4"/>
    <w:rsid w:val="002D1727"/>
    <w:rsid w:val="002D24D8"/>
    <w:rsid w:val="002D36ED"/>
    <w:rsid w:val="002E15DD"/>
    <w:rsid w:val="002E1DDF"/>
    <w:rsid w:val="002E74B8"/>
    <w:rsid w:val="002F0FA3"/>
    <w:rsid w:val="002F1871"/>
    <w:rsid w:val="002F37EF"/>
    <w:rsid w:val="002F4F5D"/>
    <w:rsid w:val="002F7B15"/>
    <w:rsid w:val="003018CD"/>
    <w:rsid w:val="00301BA0"/>
    <w:rsid w:val="0030334C"/>
    <w:rsid w:val="00303CCF"/>
    <w:rsid w:val="00306A2D"/>
    <w:rsid w:val="00307284"/>
    <w:rsid w:val="00310CA7"/>
    <w:rsid w:val="00312108"/>
    <w:rsid w:val="00314144"/>
    <w:rsid w:val="00317357"/>
    <w:rsid w:val="00322783"/>
    <w:rsid w:val="00323F79"/>
    <w:rsid w:val="003266E1"/>
    <w:rsid w:val="00331C86"/>
    <w:rsid w:val="003338CB"/>
    <w:rsid w:val="00333DD1"/>
    <w:rsid w:val="00334EC5"/>
    <w:rsid w:val="003350D8"/>
    <w:rsid w:val="00336BA5"/>
    <w:rsid w:val="003435F8"/>
    <w:rsid w:val="0035382D"/>
    <w:rsid w:val="00353D06"/>
    <w:rsid w:val="00354B37"/>
    <w:rsid w:val="00357E65"/>
    <w:rsid w:val="00357ED5"/>
    <w:rsid w:val="00361870"/>
    <w:rsid w:val="00362517"/>
    <w:rsid w:val="003632E8"/>
    <w:rsid w:val="00367A10"/>
    <w:rsid w:val="00371B1B"/>
    <w:rsid w:val="003744A6"/>
    <w:rsid w:val="00376860"/>
    <w:rsid w:val="00376D35"/>
    <w:rsid w:val="0038158D"/>
    <w:rsid w:val="00382F3B"/>
    <w:rsid w:val="003833BA"/>
    <w:rsid w:val="00384252"/>
    <w:rsid w:val="003842AB"/>
    <w:rsid w:val="00384C41"/>
    <w:rsid w:val="00386F0F"/>
    <w:rsid w:val="003875F5"/>
    <w:rsid w:val="003912F8"/>
    <w:rsid w:val="003940B8"/>
    <w:rsid w:val="0039478A"/>
    <w:rsid w:val="00396336"/>
    <w:rsid w:val="003963CD"/>
    <w:rsid w:val="003A14F6"/>
    <w:rsid w:val="003A73F5"/>
    <w:rsid w:val="003B09DB"/>
    <w:rsid w:val="003B2816"/>
    <w:rsid w:val="003B3C72"/>
    <w:rsid w:val="003B4ECE"/>
    <w:rsid w:val="003B69BC"/>
    <w:rsid w:val="003C00D2"/>
    <w:rsid w:val="003C044E"/>
    <w:rsid w:val="003C49FF"/>
    <w:rsid w:val="003D5607"/>
    <w:rsid w:val="003D735B"/>
    <w:rsid w:val="003E03B8"/>
    <w:rsid w:val="003E177F"/>
    <w:rsid w:val="003E73C9"/>
    <w:rsid w:val="003F0BD1"/>
    <w:rsid w:val="003F3FD7"/>
    <w:rsid w:val="003F6135"/>
    <w:rsid w:val="00400995"/>
    <w:rsid w:val="0040232F"/>
    <w:rsid w:val="00403B98"/>
    <w:rsid w:val="00406753"/>
    <w:rsid w:val="00410CE8"/>
    <w:rsid w:val="004114A4"/>
    <w:rsid w:val="0041513D"/>
    <w:rsid w:val="004170CE"/>
    <w:rsid w:val="00420898"/>
    <w:rsid w:val="004244C3"/>
    <w:rsid w:val="004263C4"/>
    <w:rsid w:val="00431A06"/>
    <w:rsid w:val="00433953"/>
    <w:rsid w:val="00437A1C"/>
    <w:rsid w:val="00442A22"/>
    <w:rsid w:val="004538B0"/>
    <w:rsid w:val="004632BC"/>
    <w:rsid w:val="004653CE"/>
    <w:rsid w:val="00465F55"/>
    <w:rsid w:val="00465F62"/>
    <w:rsid w:val="004670E1"/>
    <w:rsid w:val="004673CF"/>
    <w:rsid w:val="004715C2"/>
    <w:rsid w:val="0047351F"/>
    <w:rsid w:val="00473813"/>
    <w:rsid w:val="00473E9D"/>
    <w:rsid w:val="0047528D"/>
    <w:rsid w:val="004811CA"/>
    <w:rsid w:val="00481B4C"/>
    <w:rsid w:val="00490AF1"/>
    <w:rsid w:val="00491F46"/>
    <w:rsid w:val="004921A1"/>
    <w:rsid w:val="00494A3D"/>
    <w:rsid w:val="004A234D"/>
    <w:rsid w:val="004A30E1"/>
    <w:rsid w:val="004A3121"/>
    <w:rsid w:val="004A384D"/>
    <w:rsid w:val="004B3D3E"/>
    <w:rsid w:val="004B3E1B"/>
    <w:rsid w:val="004B3FBB"/>
    <w:rsid w:val="004B4723"/>
    <w:rsid w:val="004B65C9"/>
    <w:rsid w:val="004B771A"/>
    <w:rsid w:val="004C3D0A"/>
    <w:rsid w:val="004D2526"/>
    <w:rsid w:val="004D4518"/>
    <w:rsid w:val="004D4F0B"/>
    <w:rsid w:val="004D7D19"/>
    <w:rsid w:val="004E217E"/>
    <w:rsid w:val="004E5CAE"/>
    <w:rsid w:val="004F05B3"/>
    <w:rsid w:val="004F2D32"/>
    <w:rsid w:val="004F4338"/>
    <w:rsid w:val="004F60D4"/>
    <w:rsid w:val="004F7DB7"/>
    <w:rsid w:val="00501634"/>
    <w:rsid w:val="0050193B"/>
    <w:rsid w:val="00504277"/>
    <w:rsid w:val="00515D31"/>
    <w:rsid w:val="00517466"/>
    <w:rsid w:val="00521B3B"/>
    <w:rsid w:val="00523E81"/>
    <w:rsid w:val="00527262"/>
    <w:rsid w:val="005320A3"/>
    <w:rsid w:val="00532736"/>
    <w:rsid w:val="00537272"/>
    <w:rsid w:val="005372E9"/>
    <w:rsid w:val="005374D5"/>
    <w:rsid w:val="00542052"/>
    <w:rsid w:val="005434D0"/>
    <w:rsid w:val="00543C4B"/>
    <w:rsid w:val="00543DF8"/>
    <w:rsid w:val="00545B10"/>
    <w:rsid w:val="00551B91"/>
    <w:rsid w:val="00551E7D"/>
    <w:rsid w:val="00563D9C"/>
    <w:rsid w:val="00565998"/>
    <w:rsid w:val="0056662F"/>
    <w:rsid w:val="00566AE5"/>
    <w:rsid w:val="00572D97"/>
    <w:rsid w:val="00572E67"/>
    <w:rsid w:val="00586BE1"/>
    <w:rsid w:val="00587ACC"/>
    <w:rsid w:val="00591523"/>
    <w:rsid w:val="005920FB"/>
    <w:rsid w:val="00592221"/>
    <w:rsid w:val="00593A9C"/>
    <w:rsid w:val="005A0FF7"/>
    <w:rsid w:val="005A6486"/>
    <w:rsid w:val="005B3EC6"/>
    <w:rsid w:val="005B40AA"/>
    <w:rsid w:val="005B7974"/>
    <w:rsid w:val="005C3F0A"/>
    <w:rsid w:val="005C435A"/>
    <w:rsid w:val="005C662A"/>
    <w:rsid w:val="005C795C"/>
    <w:rsid w:val="005D1A71"/>
    <w:rsid w:val="005D1E76"/>
    <w:rsid w:val="005D2F98"/>
    <w:rsid w:val="005D3E4C"/>
    <w:rsid w:val="005D4E16"/>
    <w:rsid w:val="005D5C4B"/>
    <w:rsid w:val="005D5F8F"/>
    <w:rsid w:val="005D6149"/>
    <w:rsid w:val="005D6CCC"/>
    <w:rsid w:val="005E0E87"/>
    <w:rsid w:val="005E1581"/>
    <w:rsid w:val="005E5E2E"/>
    <w:rsid w:val="005E6ED5"/>
    <w:rsid w:val="005F0DB2"/>
    <w:rsid w:val="005F2E22"/>
    <w:rsid w:val="005F5CF9"/>
    <w:rsid w:val="005F5E21"/>
    <w:rsid w:val="005F7643"/>
    <w:rsid w:val="00605207"/>
    <w:rsid w:val="00611954"/>
    <w:rsid w:val="00612378"/>
    <w:rsid w:val="00613F11"/>
    <w:rsid w:val="00614203"/>
    <w:rsid w:val="00615B02"/>
    <w:rsid w:val="006164C9"/>
    <w:rsid w:val="00617C17"/>
    <w:rsid w:val="00621C7A"/>
    <w:rsid w:val="00624875"/>
    <w:rsid w:val="00624947"/>
    <w:rsid w:val="0062571D"/>
    <w:rsid w:val="00625E79"/>
    <w:rsid w:val="0063019C"/>
    <w:rsid w:val="0063076C"/>
    <w:rsid w:val="006328E6"/>
    <w:rsid w:val="0063429E"/>
    <w:rsid w:val="0063763E"/>
    <w:rsid w:val="006418D2"/>
    <w:rsid w:val="006420BF"/>
    <w:rsid w:val="00647DDA"/>
    <w:rsid w:val="006503AD"/>
    <w:rsid w:val="006510CF"/>
    <w:rsid w:val="00655F39"/>
    <w:rsid w:val="00657D24"/>
    <w:rsid w:val="006602AB"/>
    <w:rsid w:val="00662895"/>
    <w:rsid w:val="0066717B"/>
    <w:rsid w:val="00671F62"/>
    <w:rsid w:val="00671F81"/>
    <w:rsid w:val="006723E8"/>
    <w:rsid w:val="00675003"/>
    <w:rsid w:val="006813E9"/>
    <w:rsid w:val="00681ECD"/>
    <w:rsid w:val="00684917"/>
    <w:rsid w:val="00687DB7"/>
    <w:rsid w:val="00691C6B"/>
    <w:rsid w:val="006A04FE"/>
    <w:rsid w:val="006A2248"/>
    <w:rsid w:val="006A2ACB"/>
    <w:rsid w:val="006A5426"/>
    <w:rsid w:val="006A6816"/>
    <w:rsid w:val="006A6B45"/>
    <w:rsid w:val="006A7633"/>
    <w:rsid w:val="006B03F5"/>
    <w:rsid w:val="006B372E"/>
    <w:rsid w:val="006B49F9"/>
    <w:rsid w:val="006B5E4E"/>
    <w:rsid w:val="006B690A"/>
    <w:rsid w:val="006B715B"/>
    <w:rsid w:val="006B727A"/>
    <w:rsid w:val="006C065A"/>
    <w:rsid w:val="006C0780"/>
    <w:rsid w:val="006C2ADA"/>
    <w:rsid w:val="006C5515"/>
    <w:rsid w:val="006D0613"/>
    <w:rsid w:val="006E1947"/>
    <w:rsid w:val="006E28CD"/>
    <w:rsid w:val="006E55A4"/>
    <w:rsid w:val="006E71D4"/>
    <w:rsid w:val="006F292A"/>
    <w:rsid w:val="006F5C86"/>
    <w:rsid w:val="006F7E1C"/>
    <w:rsid w:val="00704654"/>
    <w:rsid w:val="00705FE2"/>
    <w:rsid w:val="00711A0D"/>
    <w:rsid w:val="00712683"/>
    <w:rsid w:val="00712BCA"/>
    <w:rsid w:val="00715FF0"/>
    <w:rsid w:val="00716AC2"/>
    <w:rsid w:val="00717802"/>
    <w:rsid w:val="00717BB5"/>
    <w:rsid w:val="007233C7"/>
    <w:rsid w:val="0072362D"/>
    <w:rsid w:val="00727541"/>
    <w:rsid w:val="00730274"/>
    <w:rsid w:val="00735AC6"/>
    <w:rsid w:val="00736C9A"/>
    <w:rsid w:val="00740700"/>
    <w:rsid w:val="0074237F"/>
    <w:rsid w:val="00742F7D"/>
    <w:rsid w:val="00747528"/>
    <w:rsid w:val="00750081"/>
    <w:rsid w:val="007509AA"/>
    <w:rsid w:val="00752BB1"/>
    <w:rsid w:val="007531B7"/>
    <w:rsid w:val="007552C5"/>
    <w:rsid w:val="007558C7"/>
    <w:rsid w:val="00755C57"/>
    <w:rsid w:val="0076219F"/>
    <w:rsid w:val="00763087"/>
    <w:rsid w:val="00764A4C"/>
    <w:rsid w:val="00766D31"/>
    <w:rsid w:val="00766FE4"/>
    <w:rsid w:val="00772C25"/>
    <w:rsid w:val="00776321"/>
    <w:rsid w:val="00776BA6"/>
    <w:rsid w:val="007773E1"/>
    <w:rsid w:val="007778FC"/>
    <w:rsid w:val="0078193F"/>
    <w:rsid w:val="0078433F"/>
    <w:rsid w:val="0078595F"/>
    <w:rsid w:val="007940AD"/>
    <w:rsid w:val="0079633B"/>
    <w:rsid w:val="007A5548"/>
    <w:rsid w:val="007A652F"/>
    <w:rsid w:val="007A79DA"/>
    <w:rsid w:val="007B29BD"/>
    <w:rsid w:val="007B31D1"/>
    <w:rsid w:val="007B4765"/>
    <w:rsid w:val="007B59CA"/>
    <w:rsid w:val="007B5B1D"/>
    <w:rsid w:val="007C37F0"/>
    <w:rsid w:val="007C7D31"/>
    <w:rsid w:val="007D4C88"/>
    <w:rsid w:val="007D548B"/>
    <w:rsid w:val="007D5C03"/>
    <w:rsid w:val="007D5CAE"/>
    <w:rsid w:val="007E12CC"/>
    <w:rsid w:val="007E315E"/>
    <w:rsid w:val="007E3914"/>
    <w:rsid w:val="007E3D81"/>
    <w:rsid w:val="007E3DA6"/>
    <w:rsid w:val="007F0DCB"/>
    <w:rsid w:val="007F17DE"/>
    <w:rsid w:val="007F2456"/>
    <w:rsid w:val="007F583E"/>
    <w:rsid w:val="007F69E9"/>
    <w:rsid w:val="00801667"/>
    <w:rsid w:val="00802E90"/>
    <w:rsid w:val="0080320A"/>
    <w:rsid w:val="00805915"/>
    <w:rsid w:val="008070A1"/>
    <w:rsid w:val="00811E0E"/>
    <w:rsid w:val="00813EE1"/>
    <w:rsid w:val="008141D9"/>
    <w:rsid w:val="00816666"/>
    <w:rsid w:val="0082067B"/>
    <w:rsid w:val="00820C8A"/>
    <w:rsid w:val="00821C0A"/>
    <w:rsid w:val="008227E9"/>
    <w:rsid w:val="00823749"/>
    <w:rsid w:val="008251F5"/>
    <w:rsid w:val="00833666"/>
    <w:rsid w:val="00834075"/>
    <w:rsid w:val="008357B8"/>
    <w:rsid w:val="00836A96"/>
    <w:rsid w:val="00840099"/>
    <w:rsid w:val="00845B49"/>
    <w:rsid w:val="0085235A"/>
    <w:rsid w:val="00852673"/>
    <w:rsid w:val="008546C3"/>
    <w:rsid w:val="00855047"/>
    <w:rsid w:val="00855A0F"/>
    <w:rsid w:val="00856758"/>
    <w:rsid w:val="00861ABB"/>
    <w:rsid w:val="00862327"/>
    <w:rsid w:val="00864B33"/>
    <w:rsid w:val="00870347"/>
    <w:rsid w:val="00874232"/>
    <w:rsid w:val="0087630F"/>
    <w:rsid w:val="0087662D"/>
    <w:rsid w:val="008809A9"/>
    <w:rsid w:val="00881492"/>
    <w:rsid w:val="00881DD5"/>
    <w:rsid w:val="00883943"/>
    <w:rsid w:val="008856CB"/>
    <w:rsid w:val="008871B2"/>
    <w:rsid w:val="0088756F"/>
    <w:rsid w:val="008908B2"/>
    <w:rsid w:val="00891DC9"/>
    <w:rsid w:val="008925A7"/>
    <w:rsid w:val="00893025"/>
    <w:rsid w:val="00895602"/>
    <w:rsid w:val="008A2542"/>
    <w:rsid w:val="008A4C8B"/>
    <w:rsid w:val="008A5184"/>
    <w:rsid w:val="008B077F"/>
    <w:rsid w:val="008B220A"/>
    <w:rsid w:val="008C2513"/>
    <w:rsid w:val="008C3E45"/>
    <w:rsid w:val="008C55C1"/>
    <w:rsid w:val="008D4799"/>
    <w:rsid w:val="008D5F93"/>
    <w:rsid w:val="008E53BB"/>
    <w:rsid w:val="008E7B32"/>
    <w:rsid w:val="008F2C24"/>
    <w:rsid w:val="008F6000"/>
    <w:rsid w:val="008F65E6"/>
    <w:rsid w:val="0090013C"/>
    <w:rsid w:val="0090147E"/>
    <w:rsid w:val="00901A30"/>
    <w:rsid w:val="00904D82"/>
    <w:rsid w:val="00904F10"/>
    <w:rsid w:val="00905D64"/>
    <w:rsid w:val="00906610"/>
    <w:rsid w:val="00910AA3"/>
    <w:rsid w:val="00910D62"/>
    <w:rsid w:val="0091157E"/>
    <w:rsid w:val="00912258"/>
    <w:rsid w:val="009145A2"/>
    <w:rsid w:val="0092086C"/>
    <w:rsid w:val="009235BD"/>
    <w:rsid w:val="00924B28"/>
    <w:rsid w:val="00931B8F"/>
    <w:rsid w:val="009321D7"/>
    <w:rsid w:val="009323AF"/>
    <w:rsid w:val="00935244"/>
    <w:rsid w:val="00952C17"/>
    <w:rsid w:val="0095322A"/>
    <w:rsid w:val="00956344"/>
    <w:rsid w:val="009668D7"/>
    <w:rsid w:val="00966D17"/>
    <w:rsid w:val="00971375"/>
    <w:rsid w:val="0097196B"/>
    <w:rsid w:val="009722D4"/>
    <w:rsid w:val="009727A4"/>
    <w:rsid w:val="00972C1F"/>
    <w:rsid w:val="009734CE"/>
    <w:rsid w:val="00974DEC"/>
    <w:rsid w:val="00977841"/>
    <w:rsid w:val="00981D7D"/>
    <w:rsid w:val="00982D9B"/>
    <w:rsid w:val="00984181"/>
    <w:rsid w:val="0098685F"/>
    <w:rsid w:val="0099114F"/>
    <w:rsid w:val="0099149B"/>
    <w:rsid w:val="009916B9"/>
    <w:rsid w:val="0099522B"/>
    <w:rsid w:val="00996BAC"/>
    <w:rsid w:val="009A003F"/>
    <w:rsid w:val="009A1391"/>
    <w:rsid w:val="009A2F68"/>
    <w:rsid w:val="009A3907"/>
    <w:rsid w:val="009A3E1F"/>
    <w:rsid w:val="009A5AE6"/>
    <w:rsid w:val="009B146B"/>
    <w:rsid w:val="009B50AF"/>
    <w:rsid w:val="009B636E"/>
    <w:rsid w:val="009B6B7E"/>
    <w:rsid w:val="009C423B"/>
    <w:rsid w:val="009C7513"/>
    <w:rsid w:val="009D3FA2"/>
    <w:rsid w:val="009D5884"/>
    <w:rsid w:val="009D788B"/>
    <w:rsid w:val="009E0A55"/>
    <w:rsid w:val="009E0CC3"/>
    <w:rsid w:val="009E660E"/>
    <w:rsid w:val="009E6AB0"/>
    <w:rsid w:val="009F0023"/>
    <w:rsid w:val="009F0451"/>
    <w:rsid w:val="009F434C"/>
    <w:rsid w:val="009F67E9"/>
    <w:rsid w:val="00A009BE"/>
    <w:rsid w:val="00A00C77"/>
    <w:rsid w:val="00A010CD"/>
    <w:rsid w:val="00A05561"/>
    <w:rsid w:val="00A055BB"/>
    <w:rsid w:val="00A10414"/>
    <w:rsid w:val="00A1445C"/>
    <w:rsid w:val="00A14DFA"/>
    <w:rsid w:val="00A16CD8"/>
    <w:rsid w:val="00A170D8"/>
    <w:rsid w:val="00A175FB"/>
    <w:rsid w:val="00A17E1A"/>
    <w:rsid w:val="00A23215"/>
    <w:rsid w:val="00A23D81"/>
    <w:rsid w:val="00A24207"/>
    <w:rsid w:val="00A250C5"/>
    <w:rsid w:val="00A25B84"/>
    <w:rsid w:val="00A25E6F"/>
    <w:rsid w:val="00A26BAF"/>
    <w:rsid w:val="00A26CEC"/>
    <w:rsid w:val="00A30014"/>
    <w:rsid w:val="00A313C3"/>
    <w:rsid w:val="00A377F6"/>
    <w:rsid w:val="00A409F8"/>
    <w:rsid w:val="00A46926"/>
    <w:rsid w:val="00A520BA"/>
    <w:rsid w:val="00A543C6"/>
    <w:rsid w:val="00A632F2"/>
    <w:rsid w:val="00A70039"/>
    <w:rsid w:val="00A73907"/>
    <w:rsid w:val="00A77214"/>
    <w:rsid w:val="00A81576"/>
    <w:rsid w:val="00A81FDD"/>
    <w:rsid w:val="00A83771"/>
    <w:rsid w:val="00A8653B"/>
    <w:rsid w:val="00A91884"/>
    <w:rsid w:val="00A92253"/>
    <w:rsid w:val="00A969EA"/>
    <w:rsid w:val="00AA17E6"/>
    <w:rsid w:val="00AA4F7B"/>
    <w:rsid w:val="00AA6A58"/>
    <w:rsid w:val="00AB2ACF"/>
    <w:rsid w:val="00AB4637"/>
    <w:rsid w:val="00AC0210"/>
    <w:rsid w:val="00AC1CB7"/>
    <w:rsid w:val="00AC653C"/>
    <w:rsid w:val="00AC6835"/>
    <w:rsid w:val="00AC69EE"/>
    <w:rsid w:val="00AC7D77"/>
    <w:rsid w:val="00AD1FD5"/>
    <w:rsid w:val="00AD2CB9"/>
    <w:rsid w:val="00AD337D"/>
    <w:rsid w:val="00AD434C"/>
    <w:rsid w:val="00AD6CEA"/>
    <w:rsid w:val="00AD6F76"/>
    <w:rsid w:val="00AD7B01"/>
    <w:rsid w:val="00AD7EB8"/>
    <w:rsid w:val="00AE18BE"/>
    <w:rsid w:val="00AE31DB"/>
    <w:rsid w:val="00AE32F9"/>
    <w:rsid w:val="00AE4C2B"/>
    <w:rsid w:val="00AE4D86"/>
    <w:rsid w:val="00AE7F45"/>
    <w:rsid w:val="00AF1042"/>
    <w:rsid w:val="00AF497D"/>
    <w:rsid w:val="00AF4CF8"/>
    <w:rsid w:val="00B03CC6"/>
    <w:rsid w:val="00B03DAD"/>
    <w:rsid w:val="00B06414"/>
    <w:rsid w:val="00B06B4A"/>
    <w:rsid w:val="00B11B67"/>
    <w:rsid w:val="00B12ED6"/>
    <w:rsid w:val="00B13A6C"/>
    <w:rsid w:val="00B15BFA"/>
    <w:rsid w:val="00B235A4"/>
    <w:rsid w:val="00B24673"/>
    <w:rsid w:val="00B252C6"/>
    <w:rsid w:val="00B26CE3"/>
    <w:rsid w:val="00B27EA9"/>
    <w:rsid w:val="00B33B45"/>
    <w:rsid w:val="00B33CAB"/>
    <w:rsid w:val="00B3630A"/>
    <w:rsid w:val="00B400FE"/>
    <w:rsid w:val="00B40D06"/>
    <w:rsid w:val="00B42218"/>
    <w:rsid w:val="00B50FEE"/>
    <w:rsid w:val="00B52291"/>
    <w:rsid w:val="00B572DB"/>
    <w:rsid w:val="00B57D14"/>
    <w:rsid w:val="00B61041"/>
    <w:rsid w:val="00B61A3A"/>
    <w:rsid w:val="00B63380"/>
    <w:rsid w:val="00B63394"/>
    <w:rsid w:val="00B716B7"/>
    <w:rsid w:val="00B74EEF"/>
    <w:rsid w:val="00B75C11"/>
    <w:rsid w:val="00B8009F"/>
    <w:rsid w:val="00B82736"/>
    <w:rsid w:val="00B8478B"/>
    <w:rsid w:val="00B86A33"/>
    <w:rsid w:val="00B90C90"/>
    <w:rsid w:val="00B92AB8"/>
    <w:rsid w:val="00B946DC"/>
    <w:rsid w:val="00B94C9A"/>
    <w:rsid w:val="00B94E21"/>
    <w:rsid w:val="00B95E3B"/>
    <w:rsid w:val="00BA0115"/>
    <w:rsid w:val="00BA2157"/>
    <w:rsid w:val="00BA4E34"/>
    <w:rsid w:val="00BA7DA0"/>
    <w:rsid w:val="00BB1409"/>
    <w:rsid w:val="00BC503B"/>
    <w:rsid w:val="00BD57DA"/>
    <w:rsid w:val="00BD7743"/>
    <w:rsid w:val="00BE1389"/>
    <w:rsid w:val="00BE40ED"/>
    <w:rsid w:val="00BF5459"/>
    <w:rsid w:val="00BF6C55"/>
    <w:rsid w:val="00C00DD3"/>
    <w:rsid w:val="00C02039"/>
    <w:rsid w:val="00C0298D"/>
    <w:rsid w:val="00C069D8"/>
    <w:rsid w:val="00C10744"/>
    <w:rsid w:val="00C13583"/>
    <w:rsid w:val="00C1557A"/>
    <w:rsid w:val="00C1592B"/>
    <w:rsid w:val="00C16E11"/>
    <w:rsid w:val="00C2449A"/>
    <w:rsid w:val="00C25E0A"/>
    <w:rsid w:val="00C275D8"/>
    <w:rsid w:val="00C30C75"/>
    <w:rsid w:val="00C3415B"/>
    <w:rsid w:val="00C347F7"/>
    <w:rsid w:val="00C36839"/>
    <w:rsid w:val="00C36F27"/>
    <w:rsid w:val="00C40CD9"/>
    <w:rsid w:val="00C40D47"/>
    <w:rsid w:val="00C410C1"/>
    <w:rsid w:val="00C41D72"/>
    <w:rsid w:val="00C442CF"/>
    <w:rsid w:val="00C44391"/>
    <w:rsid w:val="00C451EA"/>
    <w:rsid w:val="00C46B80"/>
    <w:rsid w:val="00C571DA"/>
    <w:rsid w:val="00C62009"/>
    <w:rsid w:val="00C65C0C"/>
    <w:rsid w:val="00C66A2B"/>
    <w:rsid w:val="00C66EED"/>
    <w:rsid w:val="00C7293B"/>
    <w:rsid w:val="00C74143"/>
    <w:rsid w:val="00C74F81"/>
    <w:rsid w:val="00C80018"/>
    <w:rsid w:val="00C81B75"/>
    <w:rsid w:val="00C8315D"/>
    <w:rsid w:val="00C8611F"/>
    <w:rsid w:val="00C865AB"/>
    <w:rsid w:val="00C86B0F"/>
    <w:rsid w:val="00C90010"/>
    <w:rsid w:val="00C973EA"/>
    <w:rsid w:val="00CA0223"/>
    <w:rsid w:val="00CA03A7"/>
    <w:rsid w:val="00CA2580"/>
    <w:rsid w:val="00CA2743"/>
    <w:rsid w:val="00CA3632"/>
    <w:rsid w:val="00CA4375"/>
    <w:rsid w:val="00CA4EDC"/>
    <w:rsid w:val="00CA5894"/>
    <w:rsid w:val="00CA6255"/>
    <w:rsid w:val="00CA7BAE"/>
    <w:rsid w:val="00CB44AB"/>
    <w:rsid w:val="00CC09F6"/>
    <w:rsid w:val="00CC0DCA"/>
    <w:rsid w:val="00CC21E5"/>
    <w:rsid w:val="00CC22BB"/>
    <w:rsid w:val="00CC3855"/>
    <w:rsid w:val="00CC60FB"/>
    <w:rsid w:val="00CC6F64"/>
    <w:rsid w:val="00CC71E6"/>
    <w:rsid w:val="00CC79C8"/>
    <w:rsid w:val="00CD1896"/>
    <w:rsid w:val="00CD750D"/>
    <w:rsid w:val="00CE444B"/>
    <w:rsid w:val="00CE6CBC"/>
    <w:rsid w:val="00CF0EB6"/>
    <w:rsid w:val="00CF1480"/>
    <w:rsid w:val="00CF28F8"/>
    <w:rsid w:val="00CF3302"/>
    <w:rsid w:val="00D01382"/>
    <w:rsid w:val="00D0168C"/>
    <w:rsid w:val="00D02A5F"/>
    <w:rsid w:val="00D0673F"/>
    <w:rsid w:val="00D06CE0"/>
    <w:rsid w:val="00D11192"/>
    <w:rsid w:val="00D1688E"/>
    <w:rsid w:val="00D20A72"/>
    <w:rsid w:val="00D22A79"/>
    <w:rsid w:val="00D263BB"/>
    <w:rsid w:val="00D26BCF"/>
    <w:rsid w:val="00D30FF3"/>
    <w:rsid w:val="00D3133C"/>
    <w:rsid w:val="00D32827"/>
    <w:rsid w:val="00D3395C"/>
    <w:rsid w:val="00D34307"/>
    <w:rsid w:val="00D35E4A"/>
    <w:rsid w:val="00D36BC5"/>
    <w:rsid w:val="00D4008B"/>
    <w:rsid w:val="00D41B00"/>
    <w:rsid w:val="00D44E30"/>
    <w:rsid w:val="00D472F9"/>
    <w:rsid w:val="00D5090B"/>
    <w:rsid w:val="00D55677"/>
    <w:rsid w:val="00D56B6C"/>
    <w:rsid w:val="00D57494"/>
    <w:rsid w:val="00D579F7"/>
    <w:rsid w:val="00D60A94"/>
    <w:rsid w:val="00D61472"/>
    <w:rsid w:val="00D64357"/>
    <w:rsid w:val="00D677A1"/>
    <w:rsid w:val="00D67BD2"/>
    <w:rsid w:val="00D712AE"/>
    <w:rsid w:val="00D716CC"/>
    <w:rsid w:val="00D73385"/>
    <w:rsid w:val="00D75605"/>
    <w:rsid w:val="00D808E6"/>
    <w:rsid w:val="00D813AE"/>
    <w:rsid w:val="00D81E7D"/>
    <w:rsid w:val="00D90303"/>
    <w:rsid w:val="00D92650"/>
    <w:rsid w:val="00D93F19"/>
    <w:rsid w:val="00D95270"/>
    <w:rsid w:val="00D95C89"/>
    <w:rsid w:val="00DA0B3E"/>
    <w:rsid w:val="00DA1052"/>
    <w:rsid w:val="00DA45C2"/>
    <w:rsid w:val="00DA6A4B"/>
    <w:rsid w:val="00DA6EFA"/>
    <w:rsid w:val="00DA734C"/>
    <w:rsid w:val="00DB3C7A"/>
    <w:rsid w:val="00DB48F1"/>
    <w:rsid w:val="00DB4C00"/>
    <w:rsid w:val="00DC1713"/>
    <w:rsid w:val="00DC7EBD"/>
    <w:rsid w:val="00DD0867"/>
    <w:rsid w:val="00DD1C34"/>
    <w:rsid w:val="00DD3465"/>
    <w:rsid w:val="00DD4849"/>
    <w:rsid w:val="00DD51E5"/>
    <w:rsid w:val="00DD5634"/>
    <w:rsid w:val="00DD570B"/>
    <w:rsid w:val="00DD7C86"/>
    <w:rsid w:val="00DE09CD"/>
    <w:rsid w:val="00DE0AAC"/>
    <w:rsid w:val="00DE137D"/>
    <w:rsid w:val="00DE2521"/>
    <w:rsid w:val="00DE564F"/>
    <w:rsid w:val="00DE63C7"/>
    <w:rsid w:val="00DE670D"/>
    <w:rsid w:val="00DF0463"/>
    <w:rsid w:val="00DF22A9"/>
    <w:rsid w:val="00DF61C7"/>
    <w:rsid w:val="00E00335"/>
    <w:rsid w:val="00E013DC"/>
    <w:rsid w:val="00E044FA"/>
    <w:rsid w:val="00E10787"/>
    <w:rsid w:val="00E11C46"/>
    <w:rsid w:val="00E1228D"/>
    <w:rsid w:val="00E213F0"/>
    <w:rsid w:val="00E215E8"/>
    <w:rsid w:val="00E21E80"/>
    <w:rsid w:val="00E259B6"/>
    <w:rsid w:val="00E30D9C"/>
    <w:rsid w:val="00E3267B"/>
    <w:rsid w:val="00E32C4C"/>
    <w:rsid w:val="00E33A34"/>
    <w:rsid w:val="00E34C05"/>
    <w:rsid w:val="00E34D7F"/>
    <w:rsid w:val="00E432FF"/>
    <w:rsid w:val="00E447CD"/>
    <w:rsid w:val="00E44833"/>
    <w:rsid w:val="00E44D3F"/>
    <w:rsid w:val="00E472DD"/>
    <w:rsid w:val="00E47CA7"/>
    <w:rsid w:val="00E5141B"/>
    <w:rsid w:val="00E52BAC"/>
    <w:rsid w:val="00E5368D"/>
    <w:rsid w:val="00E561D2"/>
    <w:rsid w:val="00E56A6D"/>
    <w:rsid w:val="00E5766A"/>
    <w:rsid w:val="00E607F2"/>
    <w:rsid w:val="00E61481"/>
    <w:rsid w:val="00E634F3"/>
    <w:rsid w:val="00E65169"/>
    <w:rsid w:val="00E664C9"/>
    <w:rsid w:val="00E67261"/>
    <w:rsid w:val="00E7167F"/>
    <w:rsid w:val="00E72717"/>
    <w:rsid w:val="00E81856"/>
    <w:rsid w:val="00E827E4"/>
    <w:rsid w:val="00E82822"/>
    <w:rsid w:val="00E85AD3"/>
    <w:rsid w:val="00E86532"/>
    <w:rsid w:val="00E90DFA"/>
    <w:rsid w:val="00E9130D"/>
    <w:rsid w:val="00E91E70"/>
    <w:rsid w:val="00E92F0F"/>
    <w:rsid w:val="00E9469D"/>
    <w:rsid w:val="00E94702"/>
    <w:rsid w:val="00E96127"/>
    <w:rsid w:val="00EA087E"/>
    <w:rsid w:val="00EA17B3"/>
    <w:rsid w:val="00EA1AB2"/>
    <w:rsid w:val="00EA2BF1"/>
    <w:rsid w:val="00EA51F1"/>
    <w:rsid w:val="00EA6780"/>
    <w:rsid w:val="00EA76FE"/>
    <w:rsid w:val="00EB0C4B"/>
    <w:rsid w:val="00EB7870"/>
    <w:rsid w:val="00EC00DE"/>
    <w:rsid w:val="00EC0C2E"/>
    <w:rsid w:val="00EC1AE6"/>
    <w:rsid w:val="00ED1C23"/>
    <w:rsid w:val="00EE0938"/>
    <w:rsid w:val="00EE09F0"/>
    <w:rsid w:val="00EE1EDF"/>
    <w:rsid w:val="00EE45A5"/>
    <w:rsid w:val="00EE5C18"/>
    <w:rsid w:val="00EF0761"/>
    <w:rsid w:val="00EF3AFE"/>
    <w:rsid w:val="00EF6FF1"/>
    <w:rsid w:val="00EF7079"/>
    <w:rsid w:val="00F01C64"/>
    <w:rsid w:val="00F04078"/>
    <w:rsid w:val="00F068FC"/>
    <w:rsid w:val="00F100ED"/>
    <w:rsid w:val="00F10976"/>
    <w:rsid w:val="00F16756"/>
    <w:rsid w:val="00F206C8"/>
    <w:rsid w:val="00F23317"/>
    <w:rsid w:val="00F245C2"/>
    <w:rsid w:val="00F25004"/>
    <w:rsid w:val="00F258BE"/>
    <w:rsid w:val="00F27D04"/>
    <w:rsid w:val="00F37950"/>
    <w:rsid w:val="00F37EC9"/>
    <w:rsid w:val="00F400AF"/>
    <w:rsid w:val="00F43B5D"/>
    <w:rsid w:val="00F45B32"/>
    <w:rsid w:val="00F47EC4"/>
    <w:rsid w:val="00F52BF8"/>
    <w:rsid w:val="00F55224"/>
    <w:rsid w:val="00F6135D"/>
    <w:rsid w:val="00F61B62"/>
    <w:rsid w:val="00F63A0A"/>
    <w:rsid w:val="00F675DD"/>
    <w:rsid w:val="00F7357D"/>
    <w:rsid w:val="00F75FCC"/>
    <w:rsid w:val="00F80574"/>
    <w:rsid w:val="00F85E5D"/>
    <w:rsid w:val="00F93D7D"/>
    <w:rsid w:val="00F95388"/>
    <w:rsid w:val="00FA3409"/>
    <w:rsid w:val="00FA5F93"/>
    <w:rsid w:val="00FB0C38"/>
    <w:rsid w:val="00FB4B65"/>
    <w:rsid w:val="00FB62C5"/>
    <w:rsid w:val="00FB6465"/>
    <w:rsid w:val="00FC4E3B"/>
    <w:rsid w:val="00FC5584"/>
    <w:rsid w:val="00FD4B95"/>
    <w:rsid w:val="00FD7EC2"/>
    <w:rsid w:val="00FE17E6"/>
    <w:rsid w:val="00FE2143"/>
    <w:rsid w:val="00FE2A8B"/>
    <w:rsid w:val="00FE2E44"/>
    <w:rsid w:val="00FE551F"/>
    <w:rsid w:val="00FF0E0C"/>
    <w:rsid w:val="00FF3A5E"/>
  </w:rsids>
  <m:mathPr>
    <m:mathFont m:val="Cambria Math"/>
    <m:brkBin m:val="before"/>
    <m:brkBinSub m:val="--"/>
    <m:smallFrac/>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atentStyles>
  <w:style w:type="paragraph" w:default="1" w:styleId="Normal">
    <w:name w:val="Normal"/>
    <w:qFormat/>
    <w:rsid w:val="00054E77"/>
  </w:style>
  <w:style w:type="paragraph" w:styleId="Ttulo1">
    <w:name w:val="heading 1"/>
    <w:basedOn w:val="Normal"/>
    <w:next w:val="Normal"/>
    <w:link w:val="Ttulo1Car"/>
    <w:rsid w:val="007558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20BF"/>
    <w:pPr>
      <w:ind w:left="720"/>
      <w:contextualSpacing/>
    </w:pPr>
  </w:style>
  <w:style w:type="paragraph" w:styleId="Encabezado">
    <w:name w:val="header"/>
    <w:basedOn w:val="Normal"/>
    <w:link w:val="EncabezadoCar"/>
    <w:uiPriority w:val="99"/>
    <w:unhideWhenUsed/>
    <w:rsid w:val="000264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490"/>
  </w:style>
  <w:style w:type="paragraph" w:styleId="Piedepgina">
    <w:name w:val="footer"/>
    <w:basedOn w:val="Normal"/>
    <w:link w:val="PiedepginaCar"/>
    <w:uiPriority w:val="99"/>
    <w:unhideWhenUsed/>
    <w:rsid w:val="000264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490"/>
  </w:style>
  <w:style w:type="paragraph" w:styleId="Textodeglobo">
    <w:name w:val="Balloon Text"/>
    <w:basedOn w:val="Normal"/>
    <w:link w:val="TextodegloboCar"/>
    <w:uiPriority w:val="99"/>
    <w:semiHidden/>
    <w:unhideWhenUsed/>
    <w:rsid w:val="000264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6490"/>
    <w:rPr>
      <w:rFonts w:ascii="Tahoma" w:hAnsi="Tahoma" w:cs="Tahoma"/>
      <w:sz w:val="16"/>
      <w:szCs w:val="16"/>
    </w:rPr>
  </w:style>
  <w:style w:type="table" w:styleId="Tablaconcuadrcula">
    <w:name w:val="Table Grid"/>
    <w:basedOn w:val="Tablanormal"/>
    <w:uiPriority w:val="59"/>
    <w:rsid w:val="006F7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246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4673"/>
    <w:rPr>
      <w:sz w:val="20"/>
      <w:szCs w:val="20"/>
    </w:rPr>
  </w:style>
  <w:style w:type="character" w:styleId="Refdenotaalpie">
    <w:name w:val="footnote reference"/>
    <w:basedOn w:val="Fuentedeprrafopredeter"/>
    <w:uiPriority w:val="99"/>
    <w:semiHidden/>
    <w:unhideWhenUsed/>
    <w:rsid w:val="00B24673"/>
    <w:rPr>
      <w:vertAlign w:val="superscript"/>
    </w:rPr>
  </w:style>
  <w:style w:type="paragraph" w:customStyle="1" w:styleId="Estilo1">
    <w:name w:val="Estilo1"/>
    <w:basedOn w:val="Ttulo"/>
    <w:link w:val="Estilo1Car"/>
    <w:qFormat/>
    <w:rsid w:val="00B252C6"/>
    <w:pPr>
      <w:numPr>
        <w:numId w:val="2"/>
      </w:numPr>
      <w:pBdr>
        <w:bottom w:val="none" w:sz="0" w:space="0" w:color="auto"/>
      </w:pBdr>
    </w:pPr>
    <w:rPr>
      <w:rFonts w:ascii="Times New Roman" w:hAnsi="Times New Roman" w:cs="Times New Roman"/>
      <w:b/>
      <w:color w:val="auto"/>
      <w:sz w:val="24"/>
      <w:szCs w:val="24"/>
      <w:lang w:val="en-US"/>
    </w:rPr>
  </w:style>
  <w:style w:type="paragraph" w:customStyle="1" w:styleId="Estilo2">
    <w:name w:val="Estilo2"/>
    <w:basedOn w:val="Lista"/>
    <w:link w:val="Estilo2Car"/>
    <w:qFormat/>
    <w:rsid w:val="00B252C6"/>
    <w:pPr>
      <w:numPr>
        <w:ilvl w:val="1"/>
        <w:numId w:val="2"/>
      </w:numPr>
      <w:spacing w:line="240" w:lineRule="auto"/>
    </w:pPr>
    <w:rPr>
      <w:rFonts w:ascii="Times New Roman" w:hAnsi="Times New Roman" w:cs="Times New Roman"/>
      <w:b/>
      <w:sz w:val="24"/>
      <w:szCs w:val="24"/>
      <w:lang w:val="en-US"/>
    </w:rPr>
  </w:style>
  <w:style w:type="paragraph" w:styleId="Ttulo">
    <w:name w:val="Title"/>
    <w:basedOn w:val="Normal"/>
    <w:next w:val="Normal"/>
    <w:link w:val="TtuloCar"/>
    <w:rsid w:val="00B252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B252C6"/>
    <w:rPr>
      <w:rFonts w:asciiTheme="majorHAnsi" w:eastAsiaTheme="majorEastAsia" w:hAnsiTheme="majorHAnsi" w:cstheme="majorBidi"/>
      <w:color w:val="17365D" w:themeColor="text2" w:themeShade="BF"/>
      <w:spacing w:val="5"/>
      <w:kern w:val="28"/>
      <w:sz w:val="52"/>
      <w:szCs w:val="52"/>
    </w:rPr>
  </w:style>
  <w:style w:type="character" w:customStyle="1" w:styleId="Estilo1Car">
    <w:name w:val="Estilo1 Car"/>
    <w:basedOn w:val="TtuloCar"/>
    <w:link w:val="Estilo1"/>
    <w:rsid w:val="00B252C6"/>
    <w:rPr>
      <w:rFonts w:ascii="Times New Roman" w:eastAsiaTheme="majorEastAsia" w:hAnsi="Times New Roman" w:cs="Times New Roman"/>
      <w:b/>
      <w:color w:val="17365D" w:themeColor="text2" w:themeShade="BF"/>
      <w:spacing w:val="5"/>
      <w:kern w:val="28"/>
      <w:sz w:val="24"/>
      <w:szCs w:val="24"/>
      <w:lang w:val="en-US"/>
    </w:rPr>
  </w:style>
  <w:style w:type="paragraph" w:styleId="Fecha">
    <w:name w:val="Date"/>
    <w:basedOn w:val="Normal"/>
    <w:next w:val="Normal"/>
    <w:link w:val="FechaCar"/>
    <w:rsid w:val="007558C7"/>
  </w:style>
  <w:style w:type="paragraph" w:styleId="Lista">
    <w:name w:val="List"/>
    <w:basedOn w:val="Normal"/>
    <w:link w:val="ListaCar"/>
    <w:rsid w:val="00B252C6"/>
    <w:pPr>
      <w:ind w:left="283" w:hanging="283"/>
      <w:contextualSpacing/>
    </w:pPr>
  </w:style>
  <w:style w:type="character" w:customStyle="1" w:styleId="ListaCar">
    <w:name w:val="Lista Car"/>
    <w:basedOn w:val="Fuentedeprrafopredeter"/>
    <w:link w:val="Lista"/>
    <w:rsid w:val="00B252C6"/>
  </w:style>
  <w:style w:type="character" w:customStyle="1" w:styleId="Estilo2Car">
    <w:name w:val="Estilo2 Car"/>
    <w:basedOn w:val="ListaCar"/>
    <w:link w:val="Estilo2"/>
    <w:rsid w:val="00B252C6"/>
    <w:rPr>
      <w:rFonts w:ascii="Times New Roman" w:hAnsi="Times New Roman" w:cs="Times New Roman"/>
      <w:b/>
      <w:sz w:val="24"/>
      <w:szCs w:val="24"/>
      <w:lang w:val="en-US"/>
    </w:rPr>
  </w:style>
  <w:style w:type="character" w:customStyle="1" w:styleId="FechaCar">
    <w:name w:val="Fecha Car"/>
    <w:basedOn w:val="Fuentedeprrafopredeter"/>
    <w:link w:val="Fecha"/>
    <w:rsid w:val="007558C7"/>
  </w:style>
  <w:style w:type="character" w:customStyle="1" w:styleId="Ttulo1Car">
    <w:name w:val="Título 1 Car"/>
    <w:basedOn w:val="Fuentedeprrafopredeter"/>
    <w:link w:val="Ttulo1"/>
    <w:rsid w:val="007558C7"/>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558C7"/>
    <w:pPr>
      <w:outlineLvl w:val="9"/>
    </w:pPr>
    <w:rPr>
      <w:lang w:eastAsia="zh-CN"/>
    </w:rPr>
  </w:style>
  <w:style w:type="paragraph" w:styleId="TDC2">
    <w:name w:val="toc 2"/>
    <w:basedOn w:val="Normal"/>
    <w:next w:val="Normal"/>
    <w:autoRedefine/>
    <w:uiPriority w:val="39"/>
    <w:unhideWhenUsed/>
    <w:qFormat/>
    <w:rsid w:val="007558C7"/>
    <w:pPr>
      <w:tabs>
        <w:tab w:val="left" w:pos="709"/>
        <w:tab w:val="right" w:leader="dot" w:pos="8828"/>
      </w:tabs>
      <w:spacing w:after="100"/>
      <w:ind w:left="220"/>
    </w:pPr>
    <w:rPr>
      <w:rFonts w:eastAsiaTheme="minorEastAsia"/>
      <w:lang w:eastAsia="zh-CN"/>
    </w:rPr>
  </w:style>
  <w:style w:type="paragraph" w:styleId="TDC1">
    <w:name w:val="toc 1"/>
    <w:basedOn w:val="Normal"/>
    <w:next w:val="Normal"/>
    <w:autoRedefine/>
    <w:uiPriority w:val="39"/>
    <w:unhideWhenUsed/>
    <w:qFormat/>
    <w:rsid w:val="007558C7"/>
    <w:pPr>
      <w:tabs>
        <w:tab w:val="left" w:pos="426"/>
        <w:tab w:val="right" w:leader="dot" w:pos="8828"/>
      </w:tabs>
      <w:spacing w:after="100"/>
    </w:pPr>
    <w:rPr>
      <w:rFonts w:eastAsiaTheme="minorEastAsia"/>
      <w:lang w:eastAsia="zh-CN"/>
    </w:rPr>
  </w:style>
  <w:style w:type="paragraph" w:styleId="TDC3">
    <w:name w:val="toc 3"/>
    <w:basedOn w:val="Normal"/>
    <w:next w:val="Normal"/>
    <w:autoRedefine/>
    <w:uiPriority w:val="39"/>
    <w:unhideWhenUsed/>
    <w:qFormat/>
    <w:rsid w:val="007558C7"/>
    <w:pPr>
      <w:spacing w:after="100"/>
      <w:ind w:left="440"/>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TOC Heading" w:uiPriority="39" w:qFormat="1"/>
  </w:latentStyles>
  <w:style w:type="paragraph" w:default="1" w:styleId="Normal">
    <w:name w:val="Normal"/>
    <w:qFormat/>
  </w:style>
  <w:style w:type="paragraph" w:styleId="Ttulo1">
    <w:name w:val="heading 1"/>
    <w:basedOn w:val="Normal"/>
    <w:next w:val="Normal"/>
    <w:link w:val="Ttulo1Car"/>
    <w:rsid w:val="007558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20BF"/>
    <w:pPr>
      <w:ind w:left="720"/>
      <w:contextualSpacing/>
    </w:pPr>
  </w:style>
  <w:style w:type="paragraph" w:styleId="Encabezado">
    <w:name w:val="header"/>
    <w:basedOn w:val="Normal"/>
    <w:link w:val="EncabezadoCar"/>
    <w:uiPriority w:val="99"/>
    <w:unhideWhenUsed/>
    <w:rsid w:val="000264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490"/>
  </w:style>
  <w:style w:type="paragraph" w:styleId="Piedepgina">
    <w:name w:val="footer"/>
    <w:basedOn w:val="Normal"/>
    <w:link w:val="PiedepginaCar"/>
    <w:uiPriority w:val="99"/>
    <w:unhideWhenUsed/>
    <w:rsid w:val="000264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490"/>
  </w:style>
  <w:style w:type="paragraph" w:styleId="Textodeglobo">
    <w:name w:val="Balloon Text"/>
    <w:basedOn w:val="Normal"/>
    <w:link w:val="TextodegloboCar"/>
    <w:uiPriority w:val="99"/>
    <w:semiHidden/>
    <w:unhideWhenUsed/>
    <w:rsid w:val="000264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6490"/>
    <w:rPr>
      <w:rFonts w:ascii="Tahoma" w:hAnsi="Tahoma" w:cs="Tahoma"/>
      <w:sz w:val="16"/>
      <w:szCs w:val="16"/>
    </w:rPr>
  </w:style>
  <w:style w:type="table" w:styleId="Tablaconcuadrcula">
    <w:name w:val="Table Grid"/>
    <w:basedOn w:val="Tablanormal"/>
    <w:uiPriority w:val="59"/>
    <w:rsid w:val="006F7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246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4673"/>
    <w:rPr>
      <w:sz w:val="20"/>
      <w:szCs w:val="20"/>
    </w:rPr>
  </w:style>
  <w:style w:type="character" w:styleId="Refdenotaalpie">
    <w:name w:val="footnote reference"/>
    <w:basedOn w:val="Fuentedeprrafopredeter"/>
    <w:uiPriority w:val="99"/>
    <w:semiHidden/>
    <w:unhideWhenUsed/>
    <w:rsid w:val="00B24673"/>
    <w:rPr>
      <w:vertAlign w:val="superscript"/>
    </w:rPr>
  </w:style>
  <w:style w:type="paragraph" w:customStyle="1" w:styleId="Estilo1">
    <w:name w:val="Estilo1"/>
    <w:basedOn w:val="Ttulo"/>
    <w:link w:val="Estilo1Car"/>
    <w:qFormat/>
    <w:rsid w:val="00B252C6"/>
    <w:pPr>
      <w:numPr>
        <w:numId w:val="2"/>
      </w:numPr>
      <w:pBdr>
        <w:bottom w:val="none" w:sz="0" w:space="0" w:color="auto"/>
      </w:pBdr>
    </w:pPr>
    <w:rPr>
      <w:rFonts w:ascii="Times New Roman" w:hAnsi="Times New Roman" w:cs="Times New Roman"/>
      <w:b/>
      <w:color w:val="auto"/>
      <w:sz w:val="24"/>
      <w:szCs w:val="24"/>
      <w:lang w:val="en-US"/>
    </w:rPr>
  </w:style>
  <w:style w:type="paragraph" w:customStyle="1" w:styleId="Estilo2">
    <w:name w:val="Estilo2"/>
    <w:basedOn w:val="Lista"/>
    <w:link w:val="Estilo2Car"/>
    <w:qFormat/>
    <w:rsid w:val="00B252C6"/>
    <w:pPr>
      <w:numPr>
        <w:ilvl w:val="1"/>
        <w:numId w:val="2"/>
      </w:numPr>
      <w:spacing w:line="240" w:lineRule="auto"/>
    </w:pPr>
    <w:rPr>
      <w:rFonts w:ascii="Times New Roman" w:hAnsi="Times New Roman" w:cs="Times New Roman"/>
      <w:b/>
      <w:sz w:val="24"/>
      <w:szCs w:val="24"/>
      <w:lang w:val="en-US"/>
    </w:rPr>
  </w:style>
  <w:style w:type="paragraph" w:styleId="Ttulo">
    <w:name w:val="Title"/>
    <w:basedOn w:val="Normal"/>
    <w:next w:val="Normal"/>
    <w:link w:val="TtuloCar"/>
    <w:rsid w:val="00B252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B252C6"/>
    <w:rPr>
      <w:rFonts w:asciiTheme="majorHAnsi" w:eastAsiaTheme="majorEastAsia" w:hAnsiTheme="majorHAnsi" w:cstheme="majorBidi"/>
      <w:color w:val="17365D" w:themeColor="text2" w:themeShade="BF"/>
      <w:spacing w:val="5"/>
      <w:kern w:val="28"/>
      <w:sz w:val="52"/>
      <w:szCs w:val="52"/>
    </w:rPr>
  </w:style>
  <w:style w:type="character" w:customStyle="1" w:styleId="Estilo1Car">
    <w:name w:val="Estilo1 Car"/>
    <w:basedOn w:val="TtuloCar"/>
    <w:link w:val="Estilo1"/>
    <w:rsid w:val="00B252C6"/>
    <w:rPr>
      <w:rFonts w:ascii="Times New Roman" w:eastAsiaTheme="majorEastAsia" w:hAnsi="Times New Roman" w:cs="Times New Roman"/>
      <w:b/>
      <w:color w:val="17365D" w:themeColor="text2" w:themeShade="BF"/>
      <w:spacing w:val="5"/>
      <w:kern w:val="28"/>
      <w:sz w:val="24"/>
      <w:szCs w:val="24"/>
      <w:lang w:val="en-US"/>
    </w:rPr>
  </w:style>
  <w:style w:type="paragraph" w:styleId="Fecha">
    <w:name w:val="Date"/>
    <w:basedOn w:val="Normal"/>
    <w:next w:val="Normal"/>
    <w:link w:val="FechaCar"/>
    <w:rsid w:val="007558C7"/>
  </w:style>
  <w:style w:type="paragraph" w:styleId="Lista">
    <w:name w:val="List"/>
    <w:basedOn w:val="Normal"/>
    <w:link w:val="ListaCar"/>
    <w:rsid w:val="00B252C6"/>
    <w:pPr>
      <w:ind w:left="283" w:hanging="283"/>
      <w:contextualSpacing/>
    </w:pPr>
  </w:style>
  <w:style w:type="character" w:customStyle="1" w:styleId="ListaCar">
    <w:name w:val="Lista Car"/>
    <w:basedOn w:val="Fuentedeprrafopredeter"/>
    <w:link w:val="Lista"/>
    <w:rsid w:val="00B252C6"/>
  </w:style>
  <w:style w:type="character" w:customStyle="1" w:styleId="Estilo2Car">
    <w:name w:val="Estilo2 Car"/>
    <w:basedOn w:val="ListaCar"/>
    <w:link w:val="Estilo2"/>
    <w:rsid w:val="00B252C6"/>
    <w:rPr>
      <w:rFonts w:ascii="Times New Roman" w:hAnsi="Times New Roman" w:cs="Times New Roman"/>
      <w:b/>
      <w:sz w:val="24"/>
      <w:szCs w:val="24"/>
      <w:lang w:val="en-US"/>
    </w:rPr>
  </w:style>
  <w:style w:type="character" w:customStyle="1" w:styleId="FechaCar">
    <w:name w:val="Fecha Car"/>
    <w:basedOn w:val="Fuentedeprrafopredeter"/>
    <w:link w:val="Fecha"/>
    <w:rsid w:val="007558C7"/>
  </w:style>
  <w:style w:type="character" w:customStyle="1" w:styleId="Ttulo1Car">
    <w:name w:val="Título 1 Car"/>
    <w:basedOn w:val="Fuentedeprrafopredeter"/>
    <w:link w:val="Ttulo1"/>
    <w:rsid w:val="007558C7"/>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558C7"/>
    <w:pPr>
      <w:outlineLvl w:val="9"/>
    </w:pPr>
    <w:rPr>
      <w:lang w:eastAsia="zh-CN"/>
    </w:rPr>
  </w:style>
  <w:style w:type="paragraph" w:styleId="TDC2">
    <w:name w:val="toc 2"/>
    <w:basedOn w:val="Normal"/>
    <w:next w:val="Normal"/>
    <w:autoRedefine/>
    <w:uiPriority w:val="39"/>
    <w:unhideWhenUsed/>
    <w:qFormat/>
    <w:rsid w:val="007558C7"/>
    <w:pPr>
      <w:tabs>
        <w:tab w:val="left" w:pos="709"/>
        <w:tab w:val="right" w:leader="dot" w:pos="8828"/>
      </w:tabs>
      <w:spacing w:after="100"/>
      <w:ind w:left="220"/>
    </w:pPr>
    <w:rPr>
      <w:rFonts w:eastAsiaTheme="minorEastAsia"/>
      <w:lang w:eastAsia="zh-CN"/>
    </w:rPr>
  </w:style>
  <w:style w:type="paragraph" w:styleId="TDC1">
    <w:name w:val="toc 1"/>
    <w:basedOn w:val="Normal"/>
    <w:next w:val="Normal"/>
    <w:autoRedefine/>
    <w:uiPriority w:val="39"/>
    <w:unhideWhenUsed/>
    <w:qFormat/>
    <w:rsid w:val="007558C7"/>
    <w:pPr>
      <w:tabs>
        <w:tab w:val="left" w:pos="426"/>
        <w:tab w:val="right" w:leader="dot" w:pos="8828"/>
      </w:tabs>
      <w:spacing w:after="100"/>
    </w:pPr>
    <w:rPr>
      <w:rFonts w:eastAsiaTheme="minorEastAsia"/>
      <w:lang w:eastAsia="zh-CN"/>
    </w:rPr>
  </w:style>
  <w:style w:type="paragraph" w:styleId="TDC3">
    <w:name w:val="toc 3"/>
    <w:basedOn w:val="Normal"/>
    <w:next w:val="Normal"/>
    <w:autoRedefine/>
    <w:uiPriority w:val="39"/>
    <w:unhideWhenUsed/>
    <w:qFormat/>
    <w:rsid w:val="007558C7"/>
    <w:pPr>
      <w:spacing w:after="100"/>
      <w:ind w:left="440"/>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5014">
      <w:bodyDiv w:val="1"/>
      <w:marLeft w:val="0"/>
      <w:marRight w:val="0"/>
      <w:marTop w:val="0"/>
      <w:marBottom w:val="0"/>
      <w:divBdr>
        <w:top w:val="none" w:sz="0" w:space="0" w:color="auto"/>
        <w:left w:val="none" w:sz="0" w:space="0" w:color="auto"/>
        <w:bottom w:val="none" w:sz="0" w:space="0" w:color="auto"/>
        <w:right w:val="none" w:sz="0" w:space="0" w:color="auto"/>
      </w:divBdr>
    </w:div>
    <w:div w:id="67463191">
      <w:bodyDiv w:val="1"/>
      <w:marLeft w:val="0"/>
      <w:marRight w:val="0"/>
      <w:marTop w:val="0"/>
      <w:marBottom w:val="0"/>
      <w:divBdr>
        <w:top w:val="none" w:sz="0" w:space="0" w:color="auto"/>
        <w:left w:val="none" w:sz="0" w:space="0" w:color="auto"/>
        <w:bottom w:val="none" w:sz="0" w:space="0" w:color="auto"/>
        <w:right w:val="none" w:sz="0" w:space="0" w:color="auto"/>
      </w:divBdr>
    </w:div>
    <w:div w:id="111169716">
      <w:bodyDiv w:val="1"/>
      <w:marLeft w:val="0"/>
      <w:marRight w:val="0"/>
      <w:marTop w:val="0"/>
      <w:marBottom w:val="0"/>
      <w:divBdr>
        <w:top w:val="none" w:sz="0" w:space="0" w:color="auto"/>
        <w:left w:val="none" w:sz="0" w:space="0" w:color="auto"/>
        <w:bottom w:val="none" w:sz="0" w:space="0" w:color="auto"/>
        <w:right w:val="none" w:sz="0" w:space="0" w:color="auto"/>
      </w:divBdr>
    </w:div>
    <w:div w:id="145171056">
      <w:bodyDiv w:val="1"/>
      <w:marLeft w:val="0"/>
      <w:marRight w:val="0"/>
      <w:marTop w:val="0"/>
      <w:marBottom w:val="0"/>
      <w:divBdr>
        <w:top w:val="none" w:sz="0" w:space="0" w:color="auto"/>
        <w:left w:val="none" w:sz="0" w:space="0" w:color="auto"/>
        <w:bottom w:val="none" w:sz="0" w:space="0" w:color="auto"/>
        <w:right w:val="none" w:sz="0" w:space="0" w:color="auto"/>
      </w:divBdr>
    </w:div>
    <w:div w:id="356586773">
      <w:bodyDiv w:val="1"/>
      <w:marLeft w:val="0"/>
      <w:marRight w:val="0"/>
      <w:marTop w:val="0"/>
      <w:marBottom w:val="0"/>
      <w:divBdr>
        <w:top w:val="none" w:sz="0" w:space="0" w:color="auto"/>
        <w:left w:val="none" w:sz="0" w:space="0" w:color="auto"/>
        <w:bottom w:val="none" w:sz="0" w:space="0" w:color="auto"/>
        <w:right w:val="none" w:sz="0" w:space="0" w:color="auto"/>
      </w:divBdr>
    </w:div>
    <w:div w:id="424813024">
      <w:bodyDiv w:val="1"/>
      <w:marLeft w:val="0"/>
      <w:marRight w:val="0"/>
      <w:marTop w:val="0"/>
      <w:marBottom w:val="0"/>
      <w:divBdr>
        <w:top w:val="none" w:sz="0" w:space="0" w:color="auto"/>
        <w:left w:val="none" w:sz="0" w:space="0" w:color="auto"/>
        <w:bottom w:val="none" w:sz="0" w:space="0" w:color="auto"/>
        <w:right w:val="none" w:sz="0" w:space="0" w:color="auto"/>
      </w:divBdr>
    </w:div>
    <w:div w:id="457183502">
      <w:bodyDiv w:val="1"/>
      <w:marLeft w:val="0"/>
      <w:marRight w:val="0"/>
      <w:marTop w:val="0"/>
      <w:marBottom w:val="0"/>
      <w:divBdr>
        <w:top w:val="none" w:sz="0" w:space="0" w:color="auto"/>
        <w:left w:val="none" w:sz="0" w:space="0" w:color="auto"/>
        <w:bottom w:val="none" w:sz="0" w:space="0" w:color="auto"/>
        <w:right w:val="none" w:sz="0" w:space="0" w:color="auto"/>
      </w:divBdr>
    </w:div>
    <w:div w:id="469369813">
      <w:bodyDiv w:val="1"/>
      <w:marLeft w:val="0"/>
      <w:marRight w:val="0"/>
      <w:marTop w:val="0"/>
      <w:marBottom w:val="0"/>
      <w:divBdr>
        <w:top w:val="none" w:sz="0" w:space="0" w:color="auto"/>
        <w:left w:val="none" w:sz="0" w:space="0" w:color="auto"/>
        <w:bottom w:val="none" w:sz="0" w:space="0" w:color="auto"/>
        <w:right w:val="none" w:sz="0" w:space="0" w:color="auto"/>
      </w:divBdr>
    </w:div>
    <w:div w:id="495805243">
      <w:bodyDiv w:val="1"/>
      <w:marLeft w:val="0"/>
      <w:marRight w:val="0"/>
      <w:marTop w:val="0"/>
      <w:marBottom w:val="0"/>
      <w:divBdr>
        <w:top w:val="none" w:sz="0" w:space="0" w:color="auto"/>
        <w:left w:val="none" w:sz="0" w:space="0" w:color="auto"/>
        <w:bottom w:val="none" w:sz="0" w:space="0" w:color="auto"/>
        <w:right w:val="none" w:sz="0" w:space="0" w:color="auto"/>
      </w:divBdr>
    </w:div>
    <w:div w:id="564679686">
      <w:bodyDiv w:val="1"/>
      <w:marLeft w:val="0"/>
      <w:marRight w:val="0"/>
      <w:marTop w:val="0"/>
      <w:marBottom w:val="0"/>
      <w:divBdr>
        <w:top w:val="none" w:sz="0" w:space="0" w:color="auto"/>
        <w:left w:val="none" w:sz="0" w:space="0" w:color="auto"/>
        <w:bottom w:val="none" w:sz="0" w:space="0" w:color="auto"/>
        <w:right w:val="none" w:sz="0" w:space="0" w:color="auto"/>
      </w:divBdr>
    </w:div>
    <w:div w:id="576937221">
      <w:bodyDiv w:val="1"/>
      <w:marLeft w:val="0"/>
      <w:marRight w:val="0"/>
      <w:marTop w:val="0"/>
      <w:marBottom w:val="0"/>
      <w:divBdr>
        <w:top w:val="none" w:sz="0" w:space="0" w:color="auto"/>
        <w:left w:val="none" w:sz="0" w:space="0" w:color="auto"/>
        <w:bottom w:val="none" w:sz="0" w:space="0" w:color="auto"/>
        <w:right w:val="none" w:sz="0" w:space="0" w:color="auto"/>
      </w:divBdr>
    </w:div>
    <w:div w:id="714811897">
      <w:bodyDiv w:val="1"/>
      <w:marLeft w:val="0"/>
      <w:marRight w:val="0"/>
      <w:marTop w:val="0"/>
      <w:marBottom w:val="0"/>
      <w:divBdr>
        <w:top w:val="none" w:sz="0" w:space="0" w:color="auto"/>
        <w:left w:val="none" w:sz="0" w:space="0" w:color="auto"/>
        <w:bottom w:val="none" w:sz="0" w:space="0" w:color="auto"/>
        <w:right w:val="none" w:sz="0" w:space="0" w:color="auto"/>
      </w:divBdr>
    </w:div>
    <w:div w:id="722557958">
      <w:bodyDiv w:val="1"/>
      <w:marLeft w:val="0"/>
      <w:marRight w:val="0"/>
      <w:marTop w:val="0"/>
      <w:marBottom w:val="0"/>
      <w:divBdr>
        <w:top w:val="none" w:sz="0" w:space="0" w:color="auto"/>
        <w:left w:val="none" w:sz="0" w:space="0" w:color="auto"/>
        <w:bottom w:val="none" w:sz="0" w:space="0" w:color="auto"/>
        <w:right w:val="none" w:sz="0" w:space="0" w:color="auto"/>
      </w:divBdr>
    </w:div>
    <w:div w:id="754085754">
      <w:bodyDiv w:val="1"/>
      <w:marLeft w:val="0"/>
      <w:marRight w:val="0"/>
      <w:marTop w:val="0"/>
      <w:marBottom w:val="0"/>
      <w:divBdr>
        <w:top w:val="none" w:sz="0" w:space="0" w:color="auto"/>
        <w:left w:val="none" w:sz="0" w:space="0" w:color="auto"/>
        <w:bottom w:val="none" w:sz="0" w:space="0" w:color="auto"/>
        <w:right w:val="none" w:sz="0" w:space="0" w:color="auto"/>
      </w:divBdr>
    </w:div>
    <w:div w:id="873074948">
      <w:bodyDiv w:val="1"/>
      <w:marLeft w:val="0"/>
      <w:marRight w:val="0"/>
      <w:marTop w:val="0"/>
      <w:marBottom w:val="0"/>
      <w:divBdr>
        <w:top w:val="none" w:sz="0" w:space="0" w:color="auto"/>
        <w:left w:val="none" w:sz="0" w:space="0" w:color="auto"/>
        <w:bottom w:val="none" w:sz="0" w:space="0" w:color="auto"/>
        <w:right w:val="none" w:sz="0" w:space="0" w:color="auto"/>
      </w:divBdr>
    </w:div>
    <w:div w:id="903419119">
      <w:bodyDiv w:val="1"/>
      <w:marLeft w:val="0"/>
      <w:marRight w:val="0"/>
      <w:marTop w:val="0"/>
      <w:marBottom w:val="0"/>
      <w:divBdr>
        <w:top w:val="none" w:sz="0" w:space="0" w:color="auto"/>
        <w:left w:val="none" w:sz="0" w:space="0" w:color="auto"/>
        <w:bottom w:val="none" w:sz="0" w:space="0" w:color="auto"/>
        <w:right w:val="none" w:sz="0" w:space="0" w:color="auto"/>
      </w:divBdr>
    </w:div>
    <w:div w:id="969700610">
      <w:bodyDiv w:val="1"/>
      <w:marLeft w:val="0"/>
      <w:marRight w:val="0"/>
      <w:marTop w:val="0"/>
      <w:marBottom w:val="0"/>
      <w:divBdr>
        <w:top w:val="none" w:sz="0" w:space="0" w:color="auto"/>
        <w:left w:val="none" w:sz="0" w:space="0" w:color="auto"/>
        <w:bottom w:val="none" w:sz="0" w:space="0" w:color="auto"/>
        <w:right w:val="none" w:sz="0" w:space="0" w:color="auto"/>
      </w:divBdr>
    </w:div>
    <w:div w:id="1001158279">
      <w:bodyDiv w:val="1"/>
      <w:marLeft w:val="0"/>
      <w:marRight w:val="0"/>
      <w:marTop w:val="0"/>
      <w:marBottom w:val="0"/>
      <w:divBdr>
        <w:top w:val="none" w:sz="0" w:space="0" w:color="auto"/>
        <w:left w:val="none" w:sz="0" w:space="0" w:color="auto"/>
        <w:bottom w:val="none" w:sz="0" w:space="0" w:color="auto"/>
        <w:right w:val="none" w:sz="0" w:space="0" w:color="auto"/>
      </w:divBdr>
    </w:div>
    <w:div w:id="1017733876">
      <w:bodyDiv w:val="1"/>
      <w:marLeft w:val="0"/>
      <w:marRight w:val="0"/>
      <w:marTop w:val="0"/>
      <w:marBottom w:val="0"/>
      <w:divBdr>
        <w:top w:val="none" w:sz="0" w:space="0" w:color="auto"/>
        <w:left w:val="none" w:sz="0" w:space="0" w:color="auto"/>
        <w:bottom w:val="none" w:sz="0" w:space="0" w:color="auto"/>
        <w:right w:val="none" w:sz="0" w:space="0" w:color="auto"/>
      </w:divBdr>
    </w:div>
    <w:div w:id="1032416772">
      <w:bodyDiv w:val="1"/>
      <w:marLeft w:val="0"/>
      <w:marRight w:val="0"/>
      <w:marTop w:val="0"/>
      <w:marBottom w:val="0"/>
      <w:divBdr>
        <w:top w:val="none" w:sz="0" w:space="0" w:color="auto"/>
        <w:left w:val="none" w:sz="0" w:space="0" w:color="auto"/>
        <w:bottom w:val="none" w:sz="0" w:space="0" w:color="auto"/>
        <w:right w:val="none" w:sz="0" w:space="0" w:color="auto"/>
      </w:divBdr>
    </w:div>
    <w:div w:id="1056440823">
      <w:bodyDiv w:val="1"/>
      <w:marLeft w:val="0"/>
      <w:marRight w:val="0"/>
      <w:marTop w:val="0"/>
      <w:marBottom w:val="0"/>
      <w:divBdr>
        <w:top w:val="none" w:sz="0" w:space="0" w:color="auto"/>
        <w:left w:val="none" w:sz="0" w:space="0" w:color="auto"/>
        <w:bottom w:val="none" w:sz="0" w:space="0" w:color="auto"/>
        <w:right w:val="none" w:sz="0" w:space="0" w:color="auto"/>
      </w:divBdr>
    </w:div>
    <w:div w:id="1116946633">
      <w:bodyDiv w:val="1"/>
      <w:marLeft w:val="0"/>
      <w:marRight w:val="0"/>
      <w:marTop w:val="0"/>
      <w:marBottom w:val="0"/>
      <w:divBdr>
        <w:top w:val="none" w:sz="0" w:space="0" w:color="auto"/>
        <w:left w:val="none" w:sz="0" w:space="0" w:color="auto"/>
        <w:bottom w:val="none" w:sz="0" w:space="0" w:color="auto"/>
        <w:right w:val="none" w:sz="0" w:space="0" w:color="auto"/>
      </w:divBdr>
    </w:div>
    <w:div w:id="1123963941">
      <w:bodyDiv w:val="1"/>
      <w:marLeft w:val="0"/>
      <w:marRight w:val="0"/>
      <w:marTop w:val="0"/>
      <w:marBottom w:val="0"/>
      <w:divBdr>
        <w:top w:val="none" w:sz="0" w:space="0" w:color="auto"/>
        <w:left w:val="none" w:sz="0" w:space="0" w:color="auto"/>
        <w:bottom w:val="none" w:sz="0" w:space="0" w:color="auto"/>
        <w:right w:val="none" w:sz="0" w:space="0" w:color="auto"/>
      </w:divBdr>
    </w:div>
    <w:div w:id="1146775774">
      <w:bodyDiv w:val="1"/>
      <w:marLeft w:val="0"/>
      <w:marRight w:val="0"/>
      <w:marTop w:val="0"/>
      <w:marBottom w:val="0"/>
      <w:divBdr>
        <w:top w:val="none" w:sz="0" w:space="0" w:color="auto"/>
        <w:left w:val="none" w:sz="0" w:space="0" w:color="auto"/>
        <w:bottom w:val="none" w:sz="0" w:space="0" w:color="auto"/>
        <w:right w:val="none" w:sz="0" w:space="0" w:color="auto"/>
      </w:divBdr>
    </w:div>
    <w:div w:id="1174153358">
      <w:bodyDiv w:val="1"/>
      <w:marLeft w:val="0"/>
      <w:marRight w:val="0"/>
      <w:marTop w:val="0"/>
      <w:marBottom w:val="0"/>
      <w:divBdr>
        <w:top w:val="none" w:sz="0" w:space="0" w:color="auto"/>
        <w:left w:val="none" w:sz="0" w:space="0" w:color="auto"/>
        <w:bottom w:val="none" w:sz="0" w:space="0" w:color="auto"/>
        <w:right w:val="none" w:sz="0" w:space="0" w:color="auto"/>
      </w:divBdr>
    </w:div>
    <w:div w:id="1244073589">
      <w:bodyDiv w:val="1"/>
      <w:marLeft w:val="0"/>
      <w:marRight w:val="0"/>
      <w:marTop w:val="0"/>
      <w:marBottom w:val="0"/>
      <w:divBdr>
        <w:top w:val="none" w:sz="0" w:space="0" w:color="auto"/>
        <w:left w:val="none" w:sz="0" w:space="0" w:color="auto"/>
        <w:bottom w:val="none" w:sz="0" w:space="0" w:color="auto"/>
        <w:right w:val="none" w:sz="0" w:space="0" w:color="auto"/>
      </w:divBdr>
    </w:div>
    <w:div w:id="1435205542">
      <w:bodyDiv w:val="1"/>
      <w:marLeft w:val="0"/>
      <w:marRight w:val="0"/>
      <w:marTop w:val="0"/>
      <w:marBottom w:val="0"/>
      <w:divBdr>
        <w:top w:val="none" w:sz="0" w:space="0" w:color="auto"/>
        <w:left w:val="none" w:sz="0" w:space="0" w:color="auto"/>
        <w:bottom w:val="none" w:sz="0" w:space="0" w:color="auto"/>
        <w:right w:val="none" w:sz="0" w:space="0" w:color="auto"/>
      </w:divBdr>
    </w:div>
    <w:div w:id="1492406760">
      <w:bodyDiv w:val="1"/>
      <w:marLeft w:val="0"/>
      <w:marRight w:val="0"/>
      <w:marTop w:val="0"/>
      <w:marBottom w:val="0"/>
      <w:divBdr>
        <w:top w:val="none" w:sz="0" w:space="0" w:color="auto"/>
        <w:left w:val="none" w:sz="0" w:space="0" w:color="auto"/>
        <w:bottom w:val="none" w:sz="0" w:space="0" w:color="auto"/>
        <w:right w:val="none" w:sz="0" w:space="0" w:color="auto"/>
      </w:divBdr>
    </w:div>
    <w:div w:id="1492528926">
      <w:bodyDiv w:val="1"/>
      <w:marLeft w:val="0"/>
      <w:marRight w:val="0"/>
      <w:marTop w:val="0"/>
      <w:marBottom w:val="0"/>
      <w:divBdr>
        <w:top w:val="none" w:sz="0" w:space="0" w:color="auto"/>
        <w:left w:val="none" w:sz="0" w:space="0" w:color="auto"/>
        <w:bottom w:val="none" w:sz="0" w:space="0" w:color="auto"/>
        <w:right w:val="none" w:sz="0" w:space="0" w:color="auto"/>
      </w:divBdr>
    </w:div>
    <w:div w:id="1519076750">
      <w:bodyDiv w:val="1"/>
      <w:marLeft w:val="0"/>
      <w:marRight w:val="0"/>
      <w:marTop w:val="0"/>
      <w:marBottom w:val="0"/>
      <w:divBdr>
        <w:top w:val="none" w:sz="0" w:space="0" w:color="auto"/>
        <w:left w:val="none" w:sz="0" w:space="0" w:color="auto"/>
        <w:bottom w:val="none" w:sz="0" w:space="0" w:color="auto"/>
        <w:right w:val="none" w:sz="0" w:space="0" w:color="auto"/>
      </w:divBdr>
    </w:div>
    <w:div w:id="1530298230">
      <w:bodyDiv w:val="1"/>
      <w:marLeft w:val="0"/>
      <w:marRight w:val="0"/>
      <w:marTop w:val="0"/>
      <w:marBottom w:val="0"/>
      <w:divBdr>
        <w:top w:val="none" w:sz="0" w:space="0" w:color="auto"/>
        <w:left w:val="none" w:sz="0" w:space="0" w:color="auto"/>
        <w:bottom w:val="none" w:sz="0" w:space="0" w:color="auto"/>
        <w:right w:val="none" w:sz="0" w:space="0" w:color="auto"/>
      </w:divBdr>
    </w:div>
    <w:div w:id="1575581707">
      <w:bodyDiv w:val="1"/>
      <w:marLeft w:val="0"/>
      <w:marRight w:val="0"/>
      <w:marTop w:val="0"/>
      <w:marBottom w:val="0"/>
      <w:divBdr>
        <w:top w:val="none" w:sz="0" w:space="0" w:color="auto"/>
        <w:left w:val="none" w:sz="0" w:space="0" w:color="auto"/>
        <w:bottom w:val="none" w:sz="0" w:space="0" w:color="auto"/>
        <w:right w:val="none" w:sz="0" w:space="0" w:color="auto"/>
      </w:divBdr>
    </w:div>
    <w:div w:id="1582177246">
      <w:bodyDiv w:val="1"/>
      <w:marLeft w:val="0"/>
      <w:marRight w:val="0"/>
      <w:marTop w:val="0"/>
      <w:marBottom w:val="0"/>
      <w:divBdr>
        <w:top w:val="none" w:sz="0" w:space="0" w:color="auto"/>
        <w:left w:val="none" w:sz="0" w:space="0" w:color="auto"/>
        <w:bottom w:val="none" w:sz="0" w:space="0" w:color="auto"/>
        <w:right w:val="none" w:sz="0" w:space="0" w:color="auto"/>
      </w:divBdr>
    </w:div>
    <w:div w:id="1592618823">
      <w:bodyDiv w:val="1"/>
      <w:marLeft w:val="0"/>
      <w:marRight w:val="0"/>
      <w:marTop w:val="0"/>
      <w:marBottom w:val="0"/>
      <w:divBdr>
        <w:top w:val="none" w:sz="0" w:space="0" w:color="auto"/>
        <w:left w:val="none" w:sz="0" w:space="0" w:color="auto"/>
        <w:bottom w:val="none" w:sz="0" w:space="0" w:color="auto"/>
        <w:right w:val="none" w:sz="0" w:space="0" w:color="auto"/>
      </w:divBdr>
    </w:div>
    <w:div w:id="1608805892">
      <w:bodyDiv w:val="1"/>
      <w:marLeft w:val="0"/>
      <w:marRight w:val="0"/>
      <w:marTop w:val="0"/>
      <w:marBottom w:val="0"/>
      <w:divBdr>
        <w:top w:val="none" w:sz="0" w:space="0" w:color="auto"/>
        <w:left w:val="none" w:sz="0" w:space="0" w:color="auto"/>
        <w:bottom w:val="none" w:sz="0" w:space="0" w:color="auto"/>
        <w:right w:val="none" w:sz="0" w:space="0" w:color="auto"/>
      </w:divBdr>
    </w:div>
    <w:div w:id="1669478776">
      <w:bodyDiv w:val="1"/>
      <w:marLeft w:val="0"/>
      <w:marRight w:val="0"/>
      <w:marTop w:val="0"/>
      <w:marBottom w:val="0"/>
      <w:divBdr>
        <w:top w:val="none" w:sz="0" w:space="0" w:color="auto"/>
        <w:left w:val="none" w:sz="0" w:space="0" w:color="auto"/>
        <w:bottom w:val="none" w:sz="0" w:space="0" w:color="auto"/>
        <w:right w:val="none" w:sz="0" w:space="0" w:color="auto"/>
      </w:divBdr>
    </w:div>
    <w:div w:id="1769889403">
      <w:bodyDiv w:val="1"/>
      <w:marLeft w:val="0"/>
      <w:marRight w:val="0"/>
      <w:marTop w:val="0"/>
      <w:marBottom w:val="0"/>
      <w:divBdr>
        <w:top w:val="none" w:sz="0" w:space="0" w:color="auto"/>
        <w:left w:val="none" w:sz="0" w:space="0" w:color="auto"/>
        <w:bottom w:val="none" w:sz="0" w:space="0" w:color="auto"/>
        <w:right w:val="none" w:sz="0" w:space="0" w:color="auto"/>
      </w:divBdr>
    </w:div>
    <w:div w:id="1788696486">
      <w:bodyDiv w:val="1"/>
      <w:marLeft w:val="0"/>
      <w:marRight w:val="0"/>
      <w:marTop w:val="0"/>
      <w:marBottom w:val="0"/>
      <w:divBdr>
        <w:top w:val="none" w:sz="0" w:space="0" w:color="auto"/>
        <w:left w:val="none" w:sz="0" w:space="0" w:color="auto"/>
        <w:bottom w:val="none" w:sz="0" w:space="0" w:color="auto"/>
        <w:right w:val="none" w:sz="0" w:space="0" w:color="auto"/>
      </w:divBdr>
    </w:div>
    <w:div w:id="1857112463">
      <w:bodyDiv w:val="1"/>
      <w:marLeft w:val="0"/>
      <w:marRight w:val="0"/>
      <w:marTop w:val="0"/>
      <w:marBottom w:val="0"/>
      <w:divBdr>
        <w:top w:val="none" w:sz="0" w:space="0" w:color="auto"/>
        <w:left w:val="none" w:sz="0" w:space="0" w:color="auto"/>
        <w:bottom w:val="none" w:sz="0" w:space="0" w:color="auto"/>
        <w:right w:val="none" w:sz="0" w:space="0" w:color="auto"/>
      </w:divBdr>
    </w:div>
    <w:div w:id="1910001124">
      <w:bodyDiv w:val="1"/>
      <w:marLeft w:val="0"/>
      <w:marRight w:val="0"/>
      <w:marTop w:val="0"/>
      <w:marBottom w:val="0"/>
      <w:divBdr>
        <w:top w:val="none" w:sz="0" w:space="0" w:color="auto"/>
        <w:left w:val="none" w:sz="0" w:space="0" w:color="auto"/>
        <w:bottom w:val="none" w:sz="0" w:space="0" w:color="auto"/>
        <w:right w:val="none" w:sz="0" w:space="0" w:color="auto"/>
      </w:divBdr>
    </w:div>
    <w:div w:id="1919053109">
      <w:bodyDiv w:val="1"/>
      <w:marLeft w:val="0"/>
      <w:marRight w:val="0"/>
      <w:marTop w:val="0"/>
      <w:marBottom w:val="0"/>
      <w:divBdr>
        <w:top w:val="none" w:sz="0" w:space="0" w:color="auto"/>
        <w:left w:val="none" w:sz="0" w:space="0" w:color="auto"/>
        <w:bottom w:val="none" w:sz="0" w:space="0" w:color="auto"/>
        <w:right w:val="none" w:sz="0" w:space="0" w:color="auto"/>
      </w:divBdr>
    </w:div>
    <w:div w:id="1957055831">
      <w:bodyDiv w:val="1"/>
      <w:marLeft w:val="0"/>
      <w:marRight w:val="0"/>
      <w:marTop w:val="0"/>
      <w:marBottom w:val="0"/>
      <w:divBdr>
        <w:top w:val="none" w:sz="0" w:space="0" w:color="auto"/>
        <w:left w:val="none" w:sz="0" w:space="0" w:color="auto"/>
        <w:bottom w:val="none" w:sz="0" w:space="0" w:color="auto"/>
        <w:right w:val="none" w:sz="0" w:space="0" w:color="auto"/>
      </w:divBdr>
    </w:div>
    <w:div w:id="2042316254">
      <w:bodyDiv w:val="1"/>
      <w:marLeft w:val="0"/>
      <w:marRight w:val="0"/>
      <w:marTop w:val="0"/>
      <w:marBottom w:val="0"/>
      <w:divBdr>
        <w:top w:val="none" w:sz="0" w:space="0" w:color="auto"/>
        <w:left w:val="none" w:sz="0" w:space="0" w:color="auto"/>
        <w:bottom w:val="none" w:sz="0" w:space="0" w:color="auto"/>
        <w:right w:val="none" w:sz="0" w:space="0" w:color="auto"/>
      </w:divBdr>
    </w:div>
    <w:div w:id="2056272077">
      <w:bodyDiv w:val="1"/>
      <w:marLeft w:val="0"/>
      <w:marRight w:val="0"/>
      <w:marTop w:val="0"/>
      <w:marBottom w:val="0"/>
      <w:divBdr>
        <w:top w:val="none" w:sz="0" w:space="0" w:color="auto"/>
        <w:left w:val="none" w:sz="0" w:space="0" w:color="auto"/>
        <w:bottom w:val="none" w:sz="0" w:space="0" w:color="auto"/>
        <w:right w:val="none" w:sz="0" w:space="0" w:color="auto"/>
      </w:divBdr>
    </w:div>
    <w:div w:id="2073380904">
      <w:bodyDiv w:val="1"/>
      <w:marLeft w:val="0"/>
      <w:marRight w:val="0"/>
      <w:marTop w:val="0"/>
      <w:marBottom w:val="0"/>
      <w:divBdr>
        <w:top w:val="none" w:sz="0" w:space="0" w:color="auto"/>
        <w:left w:val="none" w:sz="0" w:space="0" w:color="auto"/>
        <w:bottom w:val="none" w:sz="0" w:space="0" w:color="auto"/>
        <w:right w:val="none" w:sz="0" w:space="0" w:color="auto"/>
      </w:divBdr>
    </w:div>
    <w:div w:id="2119444275">
      <w:bodyDiv w:val="1"/>
      <w:marLeft w:val="0"/>
      <w:marRight w:val="0"/>
      <w:marTop w:val="0"/>
      <w:marBottom w:val="0"/>
      <w:divBdr>
        <w:top w:val="none" w:sz="0" w:space="0" w:color="auto"/>
        <w:left w:val="none" w:sz="0" w:space="0" w:color="auto"/>
        <w:bottom w:val="none" w:sz="0" w:space="0" w:color="auto"/>
        <w:right w:val="none" w:sz="0" w:space="0" w:color="auto"/>
      </w:divBdr>
    </w:div>
    <w:div w:id="21259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360E-2600-4A71-B44C-68B5A993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69</Pages>
  <Words>25676</Words>
  <Characters>141219</Characters>
  <Application>Microsoft Office Word</Application>
  <DocSecurity>0</DocSecurity>
  <Lines>1176</Lines>
  <Paragraphs>333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166562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dc:creator>
  <cp:lastModifiedBy>USA</cp:lastModifiedBy>
  <cp:revision>35</cp:revision>
  <cp:lastPrinted>2014-10-31T03:49:00Z</cp:lastPrinted>
  <dcterms:created xsi:type="dcterms:W3CDTF">2015-01-03T18:58:00Z</dcterms:created>
  <dcterms:modified xsi:type="dcterms:W3CDTF">2015-01-11T01:01:00Z</dcterms:modified>
</cp:coreProperties>
</file>