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charts/chart5.xml" ContentType="application/vnd.openxmlformats-officedocument.drawingml.chart+xml"/>
  <Override PartName="/word/drawings/drawing1.xml" ContentType="application/vnd.openxmlformats-officedocument.drawingml.chartshape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inorHAnsi"/>
          <w:caps/>
          <w:sz w:val="24"/>
          <w:szCs w:val="24"/>
          <w:lang w:val="en-GB" w:eastAsia="en-US"/>
        </w:rPr>
        <w:id w:val="267818027"/>
        <w:docPartObj>
          <w:docPartGallery w:val="Cover Pages"/>
          <w:docPartUnique/>
        </w:docPartObj>
      </w:sdtPr>
      <w:sdtEndPr>
        <w:rPr>
          <w:rFonts w:eastAsiaTheme="minorHAnsi" w:cstheme="minorBidi"/>
          <w:caps w:val="0"/>
          <w:sz w:val="22"/>
          <w:szCs w:val="22"/>
        </w:rPr>
      </w:sdtEndPr>
      <w:sdtContent>
        <w:tbl>
          <w:tblPr>
            <w:tblW w:w="5000" w:type="pct"/>
            <w:jc w:val="center"/>
            <w:tblLook w:val="04A0" w:firstRow="1" w:lastRow="0" w:firstColumn="1" w:lastColumn="0" w:noHBand="0" w:noVBand="1"/>
          </w:tblPr>
          <w:tblGrid>
            <w:gridCol w:w="9286"/>
          </w:tblGrid>
          <w:tr w:rsidR="000B1825" w14:paraId="4C5FE058" w14:textId="77777777">
            <w:trPr>
              <w:trHeight w:val="2880"/>
              <w:jc w:val="center"/>
            </w:trPr>
            <w:tc>
              <w:tcPr>
                <w:tcW w:w="5000" w:type="pct"/>
              </w:tcPr>
              <w:p w14:paraId="24C24864" w14:textId="77777777" w:rsidR="000B1825" w:rsidRPr="000B1825" w:rsidRDefault="000B1825" w:rsidP="00947587">
                <w:pPr>
                  <w:pStyle w:val="NoSpacing"/>
                  <w:jc w:val="both"/>
                  <w:rPr>
                    <w:rFonts w:eastAsiaTheme="majorEastAsia" w:cstheme="minorHAnsi"/>
                    <w:caps/>
                    <w:sz w:val="24"/>
                    <w:szCs w:val="24"/>
                  </w:rPr>
                </w:pPr>
              </w:p>
            </w:tc>
          </w:tr>
          <w:tr w:rsidR="000B1825" w14:paraId="33753B27" w14:textId="77777777">
            <w:trPr>
              <w:trHeight w:val="1440"/>
              <w:jc w:val="center"/>
            </w:trPr>
            <w:sdt>
              <w:sdtPr>
                <w:rPr>
                  <w:rFonts w:eastAsiaTheme="majorEastAsia" w:cstheme="minorHAnsi"/>
                  <w:b/>
                  <w:sz w:val="48"/>
                  <w:szCs w:val="48"/>
                </w:rPr>
                <w:alias w:val="Title"/>
                <w:id w:val="15524250"/>
                <w:dataBinding w:prefixMappings="xmlns:ns0='http://schemas.openxmlformats.org/package/2006/metadata/core-properties' xmlns:ns1='http://purl.org/dc/elements/1.1/'" w:xpath="/ns0:coreProperties[1]/ns1:title[1]" w:storeItemID="{6C3C8BC8-F283-45AE-878A-BAB7291924A1}"/>
                <w:text/>
              </w:sdtPr>
              <w:sdtEndPr>
                <w:rPr>
                  <w:b w:val="0"/>
                  <w:sz w:val="24"/>
                  <w:szCs w:val="24"/>
                </w:rPr>
              </w:sdtEndPr>
              <w:sdtContent>
                <w:tc>
                  <w:tcPr>
                    <w:tcW w:w="5000" w:type="pct"/>
                    <w:tcBorders>
                      <w:bottom w:val="single" w:sz="4" w:space="0" w:color="4F81BD" w:themeColor="accent1"/>
                    </w:tcBorders>
                    <w:vAlign w:val="center"/>
                  </w:tcPr>
                  <w:p w14:paraId="152E7CC4" w14:textId="77777777" w:rsidR="000B1825" w:rsidRPr="000B1825" w:rsidRDefault="00DB64DF" w:rsidP="00947587">
                    <w:pPr>
                      <w:pStyle w:val="NoSpacing"/>
                      <w:jc w:val="both"/>
                      <w:rPr>
                        <w:rFonts w:eastAsiaTheme="majorEastAsia" w:cstheme="minorHAnsi"/>
                        <w:sz w:val="24"/>
                        <w:szCs w:val="24"/>
                      </w:rPr>
                    </w:pPr>
                    <w:r>
                      <w:rPr>
                        <w:rFonts w:eastAsiaTheme="majorEastAsia" w:cstheme="minorHAnsi"/>
                        <w:b/>
                        <w:sz w:val="48"/>
                        <w:szCs w:val="48"/>
                        <w:lang w:val="en-GB"/>
                      </w:rPr>
                      <w:t>Will Brexit Age Well?</w:t>
                    </w:r>
                  </w:p>
                </w:tc>
              </w:sdtContent>
            </w:sdt>
          </w:tr>
          <w:tr w:rsidR="000B1825" w14:paraId="2EC747F2" w14:textId="77777777">
            <w:trPr>
              <w:trHeight w:val="720"/>
              <w:jc w:val="center"/>
            </w:trPr>
            <w:sdt>
              <w:sdtPr>
                <w:rPr>
                  <w:rFonts w:eastAsiaTheme="majorEastAsia" w:cstheme="minorHAnsi"/>
                  <w:sz w:val="40"/>
                  <w:szCs w:val="40"/>
                </w:rPr>
                <w:alias w:val="Subtitle"/>
                <w:id w:val="15524255"/>
                <w:dataBinding w:prefixMappings="xmlns:ns0='http://schemas.openxmlformats.org/package/2006/metadata/core-properties' xmlns:ns1='http://purl.org/dc/elements/1.1/'" w:xpath="/ns0:coreProperties[1]/ns1:subject[1]" w:storeItemID="{6C3C8BC8-F283-45AE-878A-BAB7291924A1}"/>
                <w:text/>
              </w:sdtPr>
              <w:sdtEndPr>
                <w:rPr>
                  <w:sz w:val="24"/>
                  <w:szCs w:val="24"/>
                </w:rPr>
              </w:sdtEndPr>
              <w:sdtContent>
                <w:tc>
                  <w:tcPr>
                    <w:tcW w:w="5000" w:type="pct"/>
                    <w:tcBorders>
                      <w:top w:val="single" w:sz="4" w:space="0" w:color="4F81BD" w:themeColor="accent1"/>
                    </w:tcBorders>
                    <w:vAlign w:val="center"/>
                  </w:tcPr>
                  <w:p w14:paraId="336B19BD" w14:textId="77777777" w:rsidR="000B1825" w:rsidRPr="000B1825" w:rsidRDefault="00DB64DF" w:rsidP="00947587">
                    <w:pPr>
                      <w:pStyle w:val="NoSpacing"/>
                      <w:jc w:val="both"/>
                      <w:rPr>
                        <w:rFonts w:eastAsiaTheme="majorEastAsia" w:cstheme="minorHAnsi"/>
                        <w:sz w:val="24"/>
                        <w:szCs w:val="24"/>
                      </w:rPr>
                    </w:pPr>
                    <w:r>
                      <w:rPr>
                        <w:rFonts w:eastAsiaTheme="majorEastAsia" w:cstheme="minorHAnsi"/>
                        <w:sz w:val="40"/>
                        <w:szCs w:val="40"/>
                        <w:lang w:val="en-GB"/>
                      </w:rPr>
                      <w:t>Cohorts, Seasoning and the Age-Leave Gradient,     Past, Present and Future</w:t>
                    </w:r>
                  </w:p>
                </w:tc>
              </w:sdtContent>
            </w:sdt>
          </w:tr>
          <w:tr w:rsidR="000B1825" w14:paraId="15CA0CF9" w14:textId="77777777">
            <w:trPr>
              <w:trHeight w:val="360"/>
              <w:jc w:val="center"/>
            </w:trPr>
            <w:tc>
              <w:tcPr>
                <w:tcW w:w="5000" w:type="pct"/>
                <w:vAlign w:val="center"/>
              </w:tcPr>
              <w:p w14:paraId="2E1FD20D" w14:textId="77777777" w:rsidR="000B1825" w:rsidRPr="000B1825" w:rsidRDefault="000B1825" w:rsidP="00947587">
                <w:pPr>
                  <w:pStyle w:val="NoSpacing"/>
                  <w:jc w:val="both"/>
                  <w:rPr>
                    <w:rFonts w:cstheme="minorHAnsi"/>
                    <w:sz w:val="24"/>
                    <w:szCs w:val="24"/>
                  </w:rPr>
                </w:pPr>
              </w:p>
            </w:tc>
          </w:tr>
          <w:tr w:rsidR="000B1825" w14:paraId="2663A1EF" w14:textId="77777777">
            <w:trPr>
              <w:trHeight w:val="360"/>
              <w:jc w:val="center"/>
            </w:trPr>
            <w:tc>
              <w:tcPr>
                <w:tcW w:w="5000" w:type="pct"/>
                <w:vAlign w:val="center"/>
              </w:tcPr>
              <w:p w14:paraId="0360748B" w14:textId="77777777" w:rsidR="000B1825" w:rsidRPr="000B1825" w:rsidRDefault="000B1825" w:rsidP="00947587">
                <w:pPr>
                  <w:pStyle w:val="NoSpacing"/>
                  <w:jc w:val="both"/>
                  <w:rPr>
                    <w:rFonts w:eastAsia="Times New Roman" w:cstheme="minorHAnsi"/>
                    <w:sz w:val="24"/>
                    <w:szCs w:val="24"/>
                    <w:lang w:val="tr-TR" w:eastAsia="en-US"/>
                  </w:rPr>
                </w:pPr>
                <w:r w:rsidRPr="000B1825">
                  <w:rPr>
                    <w:rFonts w:eastAsia="Times New Roman" w:cstheme="minorHAnsi"/>
                    <w:sz w:val="24"/>
                    <w:szCs w:val="24"/>
                    <w:lang w:val="tr-TR" w:eastAsia="en-US"/>
                  </w:rPr>
                  <w:t>Barry Eichengreen</w:t>
                </w:r>
                <w:r w:rsidRPr="000B1825">
                  <w:rPr>
                    <w:rFonts w:eastAsia="Times New Roman" w:cstheme="minorHAnsi"/>
                    <w:sz w:val="24"/>
                    <w:szCs w:val="24"/>
                    <w:vertAlign w:val="superscript"/>
                    <w:lang w:val="tr-TR" w:eastAsia="en-US"/>
                  </w:rPr>
                  <w:t>1</w:t>
                </w:r>
                <w:r w:rsidRPr="000B1825">
                  <w:rPr>
                    <w:rFonts w:eastAsia="Times New Roman" w:cstheme="minorHAnsi"/>
                    <w:sz w:val="24"/>
                    <w:szCs w:val="24"/>
                    <w:lang w:val="tr-TR" w:eastAsia="en-US"/>
                  </w:rPr>
                  <w:t>,</w:t>
                </w:r>
                <w:r w:rsidRPr="000B1825">
                  <w:rPr>
                    <w:rFonts w:eastAsia="Times New Roman" w:cstheme="minorHAnsi"/>
                    <w:sz w:val="24"/>
                    <w:szCs w:val="24"/>
                    <w:vertAlign w:val="superscript"/>
                    <w:lang w:val="tr-TR" w:eastAsia="en-US"/>
                  </w:rPr>
                  <w:t xml:space="preserve"> </w:t>
                </w:r>
                <w:r w:rsidRPr="000B1825">
                  <w:rPr>
                    <w:rFonts w:eastAsia="Times New Roman" w:cstheme="minorHAnsi"/>
                    <w:sz w:val="24"/>
                    <w:szCs w:val="24"/>
                    <w:lang w:val="tr-TR" w:eastAsia="en-US"/>
                  </w:rPr>
                  <w:t>Rebecca Maria Mari</w:t>
                </w:r>
                <w:r w:rsidRPr="000B1825">
                  <w:rPr>
                    <w:rFonts w:eastAsia="Times New Roman" w:cstheme="minorHAnsi"/>
                    <w:sz w:val="24"/>
                    <w:szCs w:val="24"/>
                    <w:vertAlign w:val="superscript"/>
                    <w:lang w:val="tr-TR" w:eastAsia="en-US"/>
                  </w:rPr>
                  <w:t>2</w:t>
                </w:r>
                <w:r w:rsidRPr="000B1825">
                  <w:rPr>
                    <w:rFonts w:eastAsia="Times New Roman" w:cstheme="minorHAnsi"/>
                    <w:sz w:val="24"/>
                    <w:szCs w:val="24"/>
                    <w:lang w:val="tr-TR" w:eastAsia="en-US"/>
                  </w:rPr>
                  <w:t>, Gregory Thwaites</w:t>
                </w:r>
                <w:r w:rsidRPr="000B1825">
                  <w:rPr>
                    <w:rFonts w:eastAsia="Times New Roman" w:cstheme="minorHAnsi"/>
                    <w:sz w:val="24"/>
                    <w:szCs w:val="24"/>
                    <w:vertAlign w:val="superscript"/>
                    <w:lang w:val="tr-TR" w:eastAsia="en-US"/>
                  </w:rPr>
                  <w:t>3</w:t>
                </w:r>
              </w:p>
            </w:tc>
          </w:tr>
          <w:tr w:rsidR="000B1825" w14:paraId="3E8F5341" w14:textId="77777777">
            <w:trPr>
              <w:trHeight w:val="360"/>
              <w:jc w:val="center"/>
            </w:trPr>
            <w:tc>
              <w:tcPr>
                <w:tcW w:w="5000" w:type="pct"/>
                <w:vAlign w:val="center"/>
              </w:tcPr>
              <w:p w14:paraId="57481275" w14:textId="5C35104D" w:rsidR="000B1825" w:rsidRPr="000B1825" w:rsidRDefault="000B1825" w:rsidP="00947587">
                <w:pPr>
                  <w:pStyle w:val="NoSpacing"/>
                  <w:jc w:val="both"/>
                  <w:rPr>
                    <w:rFonts w:eastAsia="Times New Roman" w:cstheme="minorHAnsi"/>
                    <w:i/>
                    <w:sz w:val="24"/>
                    <w:szCs w:val="24"/>
                    <w:lang w:val="tr-TR" w:eastAsia="en-US"/>
                  </w:rPr>
                </w:pPr>
                <w:r w:rsidRPr="000B1825">
                  <w:rPr>
                    <w:rFonts w:eastAsia="Times New Roman" w:cstheme="minorHAnsi"/>
                    <w:i/>
                    <w:sz w:val="24"/>
                    <w:szCs w:val="24"/>
                    <w:vertAlign w:val="superscript"/>
                    <w:lang w:val="tr-TR" w:eastAsia="en-US"/>
                  </w:rPr>
                  <w:t>1</w:t>
                </w:r>
                <w:r w:rsidRPr="000B1825">
                  <w:rPr>
                    <w:rFonts w:eastAsia="Times New Roman" w:cstheme="minorHAnsi"/>
                    <w:i/>
                    <w:sz w:val="24"/>
                    <w:szCs w:val="24"/>
                    <w:lang w:val="tr-TR" w:eastAsia="en-US"/>
                  </w:rPr>
                  <w:t>Department of Economics, University of California, Berkeley</w:t>
                </w:r>
              </w:p>
              <w:p w14:paraId="02F8FB08" w14:textId="77777777" w:rsidR="000B1825" w:rsidRPr="000B1825" w:rsidRDefault="00E621E0" w:rsidP="00947587">
                <w:pPr>
                  <w:pStyle w:val="NoSpacing"/>
                  <w:jc w:val="both"/>
                  <w:rPr>
                    <w:rFonts w:eastAsia="Times New Roman" w:cstheme="minorHAnsi"/>
                    <w:i/>
                    <w:sz w:val="24"/>
                    <w:szCs w:val="24"/>
                    <w:lang w:val="tr-TR" w:eastAsia="en-US"/>
                  </w:rPr>
                </w:pPr>
                <w:hyperlink r:id="rId10" w:history="1">
                  <w:r w:rsidR="000B1825" w:rsidRPr="000B1825">
                    <w:rPr>
                      <w:rStyle w:val="Hyperlink"/>
                      <w:rFonts w:eastAsia="Times New Roman" w:cstheme="minorHAnsi"/>
                      <w:i/>
                      <w:sz w:val="24"/>
                      <w:szCs w:val="24"/>
                      <w:lang w:val="tr-TR" w:eastAsia="en-US"/>
                    </w:rPr>
                    <w:t>eichengr@econ.berkeley.edu</w:t>
                  </w:r>
                </w:hyperlink>
              </w:p>
              <w:p w14:paraId="6D54288A" w14:textId="023FE8FE" w:rsidR="000B1825" w:rsidRDefault="000B1825" w:rsidP="00947587">
                <w:pPr>
                  <w:pStyle w:val="NoSpacing"/>
                  <w:jc w:val="both"/>
                  <w:rPr>
                    <w:rFonts w:eastAsia="Times New Roman" w:cstheme="minorHAnsi"/>
                    <w:i/>
                    <w:sz w:val="24"/>
                    <w:szCs w:val="24"/>
                    <w:lang w:val="tr-TR" w:eastAsia="en-US"/>
                  </w:rPr>
                </w:pPr>
                <w:r w:rsidRPr="000B1825">
                  <w:rPr>
                    <w:rFonts w:eastAsia="Times New Roman" w:cstheme="minorHAnsi"/>
                    <w:i/>
                    <w:sz w:val="24"/>
                    <w:szCs w:val="24"/>
                    <w:vertAlign w:val="superscript"/>
                    <w:lang w:val="tr-TR" w:eastAsia="en-US"/>
                  </w:rPr>
                  <w:t>2</w:t>
                </w:r>
                <w:r w:rsidR="00577DD1">
                  <w:rPr>
                    <w:rFonts w:eastAsia="Times New Roman" w:cstheme="minorHAnsi"/>
                    <w:i/>
                    <w:sz w:val="24"/>
                    <w:szCs w:val="24"/>
                    <w:lang w:val="tr-TR" w:eastAsia="en-US"/>
                  </w:rPr>
                  <w:t>BAFFI-Carefin Centre, Bocconi University</w:t>
                </w:r>
                <w:r w:rsidR="00C0630A">
                  <w:rPr>
                    <w:rFonts w:eastAsia="Times New Roman" w:cstheme="minorHAnsi"/>
                    <w:i/>
                    <w:sz w:val="24"/>
                    <w:szCs w:val="24"/>
                    <w:lang w:val="tr-TR" w:eastAsia="en-US"/>
                  </w:rPr>
                  <w:t xml:space="preserve"> </w:t>
                </w:r>
              </w:p>
              <w:p w14:paraId="07E7A1C1" w14:textId="68DA15CA" w:rsidR="00C0630A" w:rsidRPr="000B1825" w:rsidRDefault="00E621E0" w:rsidP="00947587">
                <w:pPr>
                  <w:pStyle w:val="NoSpacing"/>
                  <w:jc w:val="both"/>
                  <w:rPr>
                    <w:rFonts w:eastAsia="Times New Roman" w:cstheme="minorHAnsi"/>
                    <w:i/>
                    <w:sz w:val="24"/>
                    <w:szCs w:val="24"/>
                    <w:lang w:val="tr-TR" w:eastAsia="en-US"/>
                  </w:rPr>
                </w:pPr>
                <w:hyperlink r:id="rId11" w:history="1">
                  <w:r w:rsidR="00C0630A" w:rsidRPr="00C16BE0">
                    <w:rPr>
                      <w:rStyle w:val="Hyperlink"/>
                      <w:rFonts w:eastAsia="Times New Roman" w:cstheme="minorHAnsi"/>
                      <w:i/>
                      <w:sz w:val="24"/>
                      <w:szCs w:val="24"/>
                      <w:lang w:val="tr-TR" w:eastAsia="en-US"/>
                    </w:rPr>
                    <w:t>rebeccamariamari@gmail.com</w:t>
                  </w:r>
                </w:hyperlink>
              </w:p>
              <w:p w14:paraId="50A41810" w14:textId="40B013AB" w:rsidR="000B1825" w:rsidRPr="000B1825" w:rsidRDefault="000B1825" w:rsidP="00947587">
                <w:pPr>
                  <w:pStyle w:val="NoSpacing"/>
                  <w:jc w:val="both"/>
                  <w:rPr>
                    <w:rFonts w:eastAsia="Times New Roman" w:cstheme="minorHAnsi"/>
                    <w:i/>
                    <w:sz w:val="24"/>
                    <w:szCs w:val="24"/>
                    <w:lang w:val="tr-TR" w:eastAsia="en-US"/>
                  </w:rPr>
                </w:pPr>
                <w:r w:rsidRPr="000B1825">
                  <w:rPr>
                    <w:rFonts w:eastAsia="Times New Roman" w:cstheme="minorHAnsi"/>
                    <w:i/>
                    <w:sz w:val="24"/>
                    <w:szCs w:val="24"/>
                    <w:vertAlign w:val="superscript"/>
                    <w:lang w:val="tr-TR" w:eastAsia="en-US"/>
                  </w:rPr>
                  <w:t>3</w:t>
                </w:r>
                <w:r w:rsidR="00A35E0A">
                  <w:rPr>
                    <w:rFonts w:eastAsia="Times New Roman" w:cstheme="minorHAnsi"/>
                    <w:i/>
                    <w:sz w:val="24"/>
                    <w:szCs w:val="24"/>
                    <w:lang w:val="tr-TR" w:eastAsia="en-US"/>
                  </w:rPr>
                  <w:t xml:space="preserve"> Centre for Macroeconomics</w:t>
                </w:r>
                <w:r w:rsidRPr="000B1825">
                  <w:rPr>
                    <w:rFonts w:eastAsia="Times New Roman" w:cstheme="minorHAnsi"/>
                    <w:i/>
                    <w:sz w:val="24"/>
                    <w:szCs w:val="24"/>
                    <w:lang w:val="tr-TR" w:eastAsia="en-US"/>
                  </w:rPr>
                  <w:t>, London School of Economics</w:t>
                </w:r>
              </w:p>
              <w:p w14:paraId="423C073D" w14:textId="56D9A06D" w:rsidR="000B1825" w:rsidRPr="000B1825" w:rsidRDefault="00E621E0" w:rsidP="00947587">
                <w:pPr>
                  <w:pStyle w:val="NoSpacing"/>
                  <w:jc w:val="both"/>
                  <w:rPr>
                    <w:rFonts w:eastAsia="Times New Roman" w:cstheme="minorHAnsi"/>
                    <w:i/>
                    <w:sz w:val="24"/>
                    <w:szCs w:val="24"/>
                    <w:lang w:val="tr-TR" w:eastAsia="en-US"/>
                  </w:rPr>
                </w:pPr>
                <w:hyperlink r:id="rId12" w:history="1">
                  <w:r w:rsidR="00A35E0A" w:rsidRPr="00071262">
                    <w:rPr>
                      <w:rStyle w:val="Hyperlink"/>
                      <w:rFonts w:eastAsia="Times New Roman" w:cstheme="minorHAnsi"/>
                      <w:i/>
                      <w:sz w:val="24"/>
                      <w:szCs w:val="24"/>
                      <w:lang w:val="tr-TR" w:eastAsia="en-US"/>
                    </w:rPr>
                    <w:t>g.d.thwaites@lse.ac.uk</w:t>
                  </w:r>
                </w:hyperlink>
              </w:p>
              <w:p w14:paraId="13EE7871" w14:textId="77777777" w:rsidR="000B1825" w:rsidRPr="000B1825" w:rsidRDefault="000B1825" w:rsidP="00947587">
                <w:pPr>
                  <w:pStyle w:val="NoSpacing"/>
                  <w:jc w:val="both"/>
                  <w:rPr>
                    <w:rFonts w:cstheme="minorHAnsi"/>
                    <w:b/>
                    <w:bCs/>
                    <w:sz w:val="24"/>
                    <w:szCs w:val="24"/>
                  </w:rPr>
                </w:pPr>
              </w:p>
            </w:tc>
          </w:tr>
          <w:tr w:rsidR="000B1825" w14:paraId="26FCABCA" w14:textId="77777777">
            <w:trPr>
              <w:trHeight w:val="360"/>
              <w:jc w:val="center"/>
            </w:trPr>
            <w:sdt>
              <w:sdtPr>
                <w:rPr>
                  <w:rFonts w:cstheme="minorHAnsi"/>
                  <w:bCs/>
                  <w:sz w:val="24"/>
                  <w:szCs w:val="24"/>
                </w:rPr>
                <w:alias w:val="Date"/>
                <w:id w:val="516659546"/>
                <w:dataBinding w:prefixMappings="xmlns:ns0='http://schemas.microsoft.com/office/2006/coverPageProps'" w:xpath="/ns0:CoverPageProperties[1]/ns0:PublishDate[1]" w:storeItemID="{55AF091B-3C7A-41E3-B477-F2FDAA23CFDA}"/>
                <w:date w:fullDate="2018-10-24T00:00:00Z">
                  <w:dateFormat w:val="M/d/yyyy"/>
                  <w:lid w:val="en-US"/>
                  <w:storeMappedDataAs w:val="dateTime"/>
                  <w:calendar w:val="gregorian"/>
                </w:date>
              </w:sdtPr>
              <w:sdtEndPr/>
              <w:sdtContent>
                <w:tc>
                  <w:tcPr>
                    <w:tcW w:w="5000" w:type="pct"/>
                    <w:vAlign w:val="center"/>
                  </w:tcPr>
                  <w:p w14:paraId="1B79B40A" w14:textId="33BDA1DA" w:rsidR="000B1825" w:rsidRPr="000B1825" w:rsidRDefault="009428CE" w:rsidP="00923DB6">
                    <w:pPr>
                      <w:pStyle w:val="NoSpacing"/>
                      <w:jc w:val="both"/>
                      <w:rPr>
                        <w:rFonts w:cstheme="minorHAnsi"/>
                        <w:b/>
                        <w:bCs/>
                        <w:sz w:val="24"/>
                        <w:szCs w:val="24"/>
                      </w:rPr>
                    </w:pPr>
                    <w:r>
                      <w:rPr>
                        <w:rFonts w:cstheme="minorHAnsi"/>
                        <w:bCs/>
                        <w:sz w:val="24"/>
                        <w:szCs w:val="24"/>
                      </w:rPr>
                      <w:t>10/</w:t>
                    </w:r>
                    <w:r w:rsidR="00923DB6">
                      <w:rPr>
                        <w:rFonts w:cstheme="minorHAnsi"/>
                        <w:bCs/>
                        <w:sz w:val="24"/>
                        <w:szCs w:val="24"/>
                      </w:rPr>
                      <w:t>24</w:t>
                    </w:r>
                    <w:r w:rsidR="00DB64DF">
                      <w:rPr>
                        <w:rFonts w:cstheme="minorHAnsi"/>
                        <w:bCs/>
                        <w:sz w:val="24"/>
                        <w:szCs w:val="24"/>
                      </w:rPr>
                      <w:t>/2018</w:t>
                    </w:r>
                  </w:p>
                </w:tc>
              </w:sdtContent>
            </w:sdt>
          </w:tr>
        </w:tbl>
        <w:p w14:paraId="033CBCCF" w14:textId="77777777" w:rsidR="00577DD1" w:rsidRDefault="00577DD1" w:rsidP="0049400B">
          <w:pPr>
            <w:spacing w:line="240" w:lineRule="auto"/>
            <w:jc w:val="both"/>
          </w:pPr>
        </w:p>
        <w:p w14:paraId="4C23F131" w14:textId="77777777" w:rsidR="00577DD1" w:rsidRDefault="00577DD1" w:rsidP="0049400B">
          <w:pPr>
            <w:spacing w:line="240" w:lineRule="auto"/>
            <w:jc w:val="both"/>
          </w:pPr>
        </w:p>
        <w:p w14:paraId="19E8D426" w14:textId="77777777" w:rsidR="00577DD1" w:rsidRDefault="00577DD1" w:rsidP="0049400B">
          <w:pPr>
            <w:spacing w:line="240" w:lineRule="auto"/>
            <w:jc w:val="both"/>
          </w:pPr>
        </w:p>
        <w:p w14:paraId="1B8507AF" w14:textId="5F1D546D" w:rsidR="004A5D6A" w:rsidRDefault="004A5D6A" w:rsidP="0049400B">
          <w:pPr>
            <w:spacing w:line="240" w:lineRule="auto"/>
            <w:jc w:val="both"/>
          </w:pPr>
          <w:r>
            <w:t xml:space="preserve">We thank John </w:t>
          </w:r>
          <w:proofErr w:type="spellStart"/>
          <w:r>
            <w:t>Curtice</w:t>
          </w:r>
          <w:proofErr w:type="spellEnd"/>
          <w:r w:rsidR="00AA248C">
            <w:t>, Maria Grasso</w:t>
          </w:r>
          <w:r w:rsidR="008826DD">
            <w:t>,</w:t>
          </w:r>
          <w:r>
            <w:t xml:space="preserve"> </w:t>
          </w:r>
          <w:proofErr w:type="spellStart"/>
          <w:r w:rsidR="008826DD">
            <w:t>Ashoka</w:t>
          </w:r>
          <w:proofErr w:type="spellEnd"/>
          <w:r w:rsidR="008826DD">
            <w:t xml:space="preserve"> </w:t>
          </w:r>
          <w:proofErr w:type="spellStart"/>
          <w:r w:rsidR="008826DD">
            <w:t>Mody</w:t>
          </w:r>
          <w:proofErr w:type="spellEnd"/>
          <w:r w:rsidR="008826DD">
            <w:t xml:space="preserve"> </w:t>
          </w:r>
          <w:r>
            <w:t>and James Tilley for helpful advice. All errors remain our own.</w:t>
          </w:r>
        </w:p>
        <w:p w14:paraId="5984871C" w14:textId="77777777" w:rsidR="000B1825" w:rsidRDefault="000B1825" w:rsidP="00947587">
          <w:pPr>
            <w:jc w:val="both"/>
          </w:pPr>
        </w:p>
        <w:p w14:paraId="4C402266" w14:textId="77777777" w:rsidR="000B1825" w:rsidRDefault="000B1825" w:rsidP="00947587">
          <w:pPr>
            <w:jc w:val="both"/>
          </w:pPr>
        </w:p>
        <w:p w14:paraId="53748C1A" w14:textId="77777777" w:rsidR="000B1825" w:rsidRDefault="000B1825" w:rsidP="00947587">
          <w:pPr>
            <w:jc w:val="both"/>
          </w:pPr>
          <w:r>
            <w:br w:type="page"/>
          </w:r>
        </w:p>
      </w:sdtContent>
    </w:sdt>
    <w:p w14:paraId="392FB49C" w14:textId="77777777" w:rsidR="00914F9D" w:rsidRDefault="00914F9D" w:rsidP="00947587">
      <w:pPr>
        <w:spacing w:line="360" w:lineRule="auto"/>
        <w:jc w:val="both"/>
      </w:pPr>
    </w:p>
    <w:p w14:paraId="7630A57A" w14:textId="77777777" w:rsidR="000B1825" w:rsidRPr="000B1825" w:rsidRDefault="000B1825" w:rsidP="00947587">
      <w:pPr>
        <w:pStyle w:val="IntenseQuote"/>
        <w:ind w:left="0"/>
        <w:jc w:val="both"/>
        <w:rPr>
          <w:sz w:val="28"/>
          <w:szCs w:val="28"/>
        </w:rPr>
      </w:pPr>
      <w:r w:rsidRPr="000B1825">
        <w:rPr>
          <w:sz w:val="28"/>
          <w:szCs w:val="28"/>
        </w:rPr>
        <w:t>Abstract</w:t>
      </w:r>
    </w:p>
    <w:tbl>
      <w:tblPr>
        <w:tblpPr w:leftFromText="187" w:rightFromText="187" w:vertAnchor="page" w:horzAnchor="margin" w:tblpY="2899"/>
        <w:tblW w:w="5000" w:type="pct"/>
        <w:tblLook w:val="04A0" w:firstRow="1" w:lastRow="0" w:firstColumn="1" w:lastColumn="0" w:noHBand="0" w:noVBand="1"/>
      </w:tblPr>
      <w:tblGrid>
        <w:gridCol w:w="9286"/>
      </w:tblGrid>
      <w:tr w:rsidR="000B1825" w14:paraId="695930A2" w14:textId="77777777" w:rsidTr="000B1825">
        <w:sdt>
          <w:sdtPr>
            <w:alias w:val="Abstract"/>
            <w:id w:val="8276291"/>
            <w:dataBinding w:prefixMappings="xmlns:ns0='http://schemas.microsoft.com/office/2006/coverPageProps'" w:xpath="/ns0:CoverPageProperties[1]/ns0:Abstract[1]" w:storeItemID="{55AF091B-3C7A-41E3-B477-F2FDAA23CFDA}"/>
            <w:text/>
          </w:sdtPr>
          <w:sdtContent>
            <w:tc>
              <w:tcPr>
                <w:tcW w:w="5000" w:type="pct"/>
              </w:tcPr>
              <w:p w14:paraId="43492D3C" w14:textId="2C9ED0EE" w:rsidR="000B1825" w:rsidRDefault="00274FC1" w:rsidP="000765FB">
                <w:pPr>
                  <w:pStyle w:val="NoSpacing"/>
                  <w:jc w:val="both"/>
                </w:pPr>
                <w:r w:rsidRPr="00274FC1">
                  <w:t xml:space="preserve"> </w:t>
                </w:r>
                <w:r w:rsidRPr="00274FC1">
                  <w:t xml:space="preserve">In the UK’s 2016 referendum on EU membership, young voters were more likely than their elders to vote Remain. Applying new methods to a half century of data, we show that this pattern reflects both ageing and cohort effects.  Although voters become more Eurosceptical as they age, recent cohorts are also more pro-European than their predecessors.  Much of the pro-Europeanism of these recent cohorts is accounted for by their greater years of education. Going forward, the ageing of the electorate will thus be offset by the replacement of older cohorts with younger, better-educated and more pro-European ones. But we also document large nationwide swings in sentiment that have little to do with either seasoning or cohort effects.  Hence these demographic trends are unlikely to be the decisive determinants of future changes in European sentiment. Rather, nationwide changes in sentiment, reflecting macroeconomic or other conditions, and the age-turnout gradient will be </w:t>
                </w:r>
                <w:proofErr w:type="gramStart"/>
                <w:r w:rsidRPr="00274FC1">
                  <w:t>key</w:t>
                </w:r>
                <w:proofErr w:type="gramEnd"/>
                <w:r w:rsidRPr="00274FC1">
                  <w:t>.</w:t>
                </w:r>
              </w:p>
            </w:tc>
          </w:sdtContent>
        </w:sdt>
      </w:tr>
    </w:tbl>
    <w:p w14:paraId="1DABAEE4" w14:textId="77777777" w:rsidR="000B1825" w:rsidRDefault="000B1825" w:rsidP="00947587">
      <w:pPr>
        <w:jc w:val="both"/>
        <w:rPr>
          <w:sz w:val="24"/>
          <w:szCs w:val="24"/>
        </w:rPr>
      </w:pPr>
    </w:p>
    <w:p w14:paraId="5E6113DA" w14:textId="77777777" w:rsidR="000B1825" w:rsidRPr="000B1825" w:rsidRDefault="000B1825">
      <w:pPr>
        <w:pStyle w:val="BodyText2"/>
        <w:spacing w:after="0" w:line="240" w:lineRule="auto"/>
        <w:jc w:val="both"/>
        <w:outlineLvl w:val="0"/>
        <w:rPr>
          <w:rFonts w:asciiTheme="minorHAnsi" w:eastAsiaTheme="minorHAnsi" w:hAnsiTheme="minorHAnsi" w:cstheme="minorBidi"/>
          <w:sz w:val="24"/>
          <w:lang w:val="en-GB"/>
        </w:rPr>
      </w:pPr>
      <w:r w:rsidRPr="000B1825">
        <w:rPr>
          <w:rFonts w:asciiTheme="minorHAnsi" w:eastAsiaTheme="minorHAnsi" w:hAnsiTheme="minorHAnsi" w:cstheme="minorBidi"/>
          <w:sz w:val="24"/>
          <w:lang w:val="en-GB"/>
        </w:rPr>
        <w:t>Keywords</w:t>
      </w:r>
      <w:r>
        <w:rPr>
          <w:rFonts w:asciiTheme="minorHAnsi" w:eastAsiaTheme="minorHAnsi" w:hAnsiTheme="minorHAnsi" w:cstheme="minorBidi"/>
          <w:sz w:val="24"/>
          <w:lang w:val="en-GB"/>
        </w:rPr>
        <w:t xml:space="preserve">: </w:t>
      </w:r>
      <w:r w:rsidRPr="000B1825">
        <w:rPr>
          <w:rFonts w:asciiTheme="minorHAnsi" w:eastAsiaTheme="minorHAnsi" w:hAnsiTheme="minorHAnsi" w:cstheme="minorBidi"/>
          <w:sz w:val="24"/>
          <w:lang w:val="en-GB"/>
        </w:rPr>
        <w:t>Brexit,</w:t>
      </w:r>
      <w:r w:rsidR="00AF79A1">
        <w:rPr>
          <w:rFonts w:asciiTheme="minorHAnsi" w:eastAsiaTheme="minorHAnsi" w:hAnsiTheme="minorHAnsi" w:cstheme="minorBidi"/>
          <w:sz w:val="24"/>
          <w:lang w:val="en-GB"/>
        </w:rPr>
        <w:t xml:space="preserve"> voting,</w:t>
      </w:r>
      <w:r w:rsidRPr="000B1825">
        <w:rPr>
          <w:rFonts w:asciiTheme="minorHAnsi" w:eastAsiaTheme="minorHAnsi" w:hAnsiTheme="minorHAnsi" w:cstheme="minorBidi"/>
          <w:sz w:val="24"/>
          <w:lang w:val="en-GB"/>
        </w:rPr>
        <w:t xml:space="preserve"> </w:t>
      </w:r>
      <w:r w:rsidR="00AF79A1">
        <w:rPr>
          <w:rFonts w:asciiTheme="minorHAnsi" w:eastAsiaTheme="minorHAnsi" w:hAnsiTheme="minorHAnsi" w:cstheme="minorBidi"/>
          <w:sz w:val="24"/>
          <w:lang w:val="en-GB"/>
        </w:rPr>
        <w:t>demographics, APC effects, age period cohort effects</w:t>
      </w:r>
    </w:p>
    <w:p w14:paraId="4D4386C9" w14:textId="77777777" w:rsidR="000B1825" w:rsidRDefault="000B1825" w:rsidP="00947587">
      <w:pPr>
        <w:jc w:val="both"/>
        <w:rPr>
          <w:sz w:val="24"/>
          <w:szCs w:val="24"/>
        </w:rPr>
      </w:pPr>
    </w:p>
    <w:p w14:paraId="329698C6" w14:textId="77777777" w:rsidR="000B1825" w:rsidRDefault="000B1825" w:rsidP="00947587">
      <w:pPr>
        <w:jc w:val="both"/>
        <w:rPr>
          <w:sz w:val="24"/>
          <w:szCs w:val="24"/>
        </w:rPr>
      </w:pPr>
      <w:r>
        <w:rPr>
          <w:sz w:val="24"/>
          <w:szCs w:val="24"/>
        </w:rPr>
        <w:br w:type="page"/>
      </w:r>
    </w:p>
    <w:p w14:paraId="566FAFE8" w14:textId="77777777" w:rsidR="00F07F10" w:rsidRPr="000B1825" w:rsidRDefault="000B1825" w:rsidP="00947587">
      <w:pPr>
        <w:pStyle w:val="Title"/>
        <w:jc w:val="both"/>
      </w:pPr>
      <w:r>
        <w:rPr>
          <w:sz w:val="32"/>
          <w:szCs w:val="32"/>
        </w:rPr>
        <w:lastRenderedPageBreak/>
        <w:t xml:space="preserve">1 </w:t>
      </w:r>
      <w:r w:rsidRPr="000B1825">
        <w:rPr>
          <w:sz w:val="32"/>
          <w:szCs w:val="32"/>
        </w:rPr>
        <w:t>Introduction</w:t>
      </w:r>
    </w:p>
    <w:tbl>
      <w:tblPr>
        <w:tblStyle w:val="TableGrid"/>
        <w:tblpPr w:leftFromText="180" w:rightFromText="180" w:vertAnchor="text" w:horzAnchor="margin" w:tblpY="6037"/>
        <w:tblOverlap w:val="never"/>
        <w:tblW w:w="4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tblGrid>
      <w:tr w:rsidR="008A0F1B" w14:paraId="15D6E2F0" w14:textId="77777777" w:rsidTr="008A0F1B">
        <w:trPr>
          <w:cantSplit/>
          <w:trHeight w:hRule="exact" w:val="387"/>
        </w:trPr>
        <w:tc>
          <w:tcPr>
            <w:tcW w:w="0" w:type="auto"/>
          </w:tcPr>
          <w:p w14:paraId="15BC382B" w14:textId="77777777" w:rsidR="008A0F1B" w:rsidRDefault="008A0F1B" w:rsidP="00947587">
            <w:pPr>
              <w:spacing w:line="360" w:lineRule="auto"/>
              <w:jc w:val="both"/>
              <w:rPr>
                <w:b/>
                <w:noProof/>
                <w:lang w:eastAsia="en-GB"/>
              </w:rPr>
            </w:pPr>
            <w:r>
              <w:rPr>
                <w:b/>
                <w:noProof/>
                <w:lang w:eastAsia="en-GB"/>
              </w:rPr>
              <w:t>Figure</w:t>
            </w:r>
            <w:r w:rsidRPr="00875179">
              <w:rPr>
                <w:b/>
                <w:noProof/>
                <w:lang w:eastAsia="en-GB"/>
              </w:rPr>
              <w:t xml:space="preserve"> </w:t>
            </w:r>
            <w:r>
              <w:rPr>
                <w:b/>
                <w:noProof/>
                <w:lang w:eastAsia="en-GB"/>
              </w:rPr>
              <w:t>1</w:t>
            </w:r>
            <w:r w:rsidRPr="00875179">
              <w:rPr>
                <w:b/>
                <w:noProof/>
                <w:lang w:eastAsia="en-GB"/>
              </w:rPr>
              <w:t xml:space="preserve">: </w:t>
            </w:r>
            <w:r>
              <w:rPr>
                <w:b/>
                <w:noProof/>
                <w:lang w:eastAsia="en-GB"/>
              </w:rPr>
              <w:t>R</w:t>
            </w:r>
            <w:r w:rsidRPr="00875179">
              <w:rPr>
                <w:b/>
                <w:noProof/>
                <w:lang w:eastAsia="en-GB"/>
              </w:rPr>
              <w:t>eferendum breakdown by age</w:t>
            </w:r>
            <w:r>
              <w:rPr>
                <w:rStyle w:val="FootnoteReference"/>
                <w:b/>
                <w:noProof/>
                <w:lang w:eastAsia="en-GB"/>
              </w:rPr>
              <w:footnoteReference w:id="1"/>
            </w:r>
            <w:r w:rsidRPr="00875179">
              <w:rPr>
                <w:b/>
                <w:noProof/>
                <w:lang w:eastAsia="en-GB"/>
              </w:rPr>
              <w:t xml:space="preserve"> </w:t>
            </w:r>
          </w:p>
          <w:p w14:paraId="70C377C6" w14:textId="77777777" w:rsidR="008A0F1B" w:rsidRPr="00875179" w:rsidRDefault="008A0F1B" w:rsidP="00947587">
            <w:pPr>
              <w:tabs>
                <w:tab w:val="left" w:pos="3825"/>
              </w:tabs>
              <w:jc w:val="both"/>
              <w:rPr>
                <w:lang w:eastAsia="en-GB"/>
              </w:rPr>
            </w:pPr>
            <w:r>
              <w:rPr>
                <w:lang w:eastAsia="en-GB"/>
              </w:rPr>
              <w:tab/>
            </w:r>
          </w:p>
        </w:tc>
      </w:tr>
      <w:tr w:rsidR="008A0F1B" w14:paraId="212DD691" w14:textId="77777777" w:rsidTr="008A0F1B">
        <w:trPr>
          <w:cantSplit/>
          <w:trHeight w:val="2070"/>
        </w:trPr>
        <w:tc>
          <w:tcPr>
            <w:tcW w:w="0" w:type="auto"/>
          </w:tcPr>
          <w:p w14:paraId="6FCCDC57" w14:textId="77777777" w:rsidR="008A0F1B" w:rsidRDefault="008A0F1B" w:rsidP="00947587">
            <w:pPr>
              <w:spacing w:line="360" w:lineRule="auto"/>
              <w:jc w:val="both"/>
              <w:rPr>
                <w:color w:val="548DD4" w:themeColor="text2" w:themeTint="99"/>
              </w:rPr>
            </w:pPr>
            <w:r>
              <w:rPr>
                <w:noProof/>
                <w:lang w:val="en-US"/>
              </w:rPr>
              <w:drawing>
                <wp:inline distT="0" distB="0" distL="0" distR="0" wp14:anchorId="63C96F73" wp14:editId="41C587DD">
                  <wp:extent cx="2828925" cy="226695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68D2DF2" w14:textId="5A869314" w:rsidR="000E648E" w:rsidRDefault="0025152D" w:rsidP="00947587">
      <w:pPr>
        <w:spacing w:line="360" w:lineRule="auto"/>
        <w:jc w:val="both"/>
      </w:pPr>
      <w:r w:rsidRPr="000B1825">
        <w:t xml:space="preserve">In </w:t>
      </w:r>
      <w:r w:rsidR="000E648E">
        <w:t>its</w:t>
      </w:r>
      <w:r w:rsidRPr="000B1825">
        <w:t xml:space="preserve"> 23 June 2016</w:t>
      </w:r>
      <w:r w:rsidR="000E648E">
        <w:t xml:space="preserve"> referendum</w:t>
      </w:r>
      <w:r w:rsidRPr="000B1825">
        <w:t>, the UK vote</w:t>
      </w:r>
      <w:r>
        <w:t xml:space="preserve">d to leave the European Union. </w:t>
      </w:r>
      <w:r w:rsidR="00F07F10" w:rsidRPr="000B1825">
        <w:t xml:space="preserve">One clear pattern </w:t>
      </w:r>
      <w:r w:rsidR="004D220A">
        <w:t xml:space="preserve">in the returns </w:t>
      </w:r>
      <w:r w:rsidR="000A134A">
        <w:t>is a</w:t>
      </w:r>
      <w:r w:rsidR="00F07F10" w:rsidRPr="000B1825">
        <w:t xml:space="preserve"> positive correlation between age and </w:t>
      </w:r>
      <w:r w:rsidR="00F37162">
        <w:t xml:space="preserve">the probability of </w:t>
      </w:r>
      <w:r w:rsidR="00F07F10" w:rsidRPr="000B1825">
        <w:t>voting Leave</w:t>
      </w:r>
      <w:r w:rsidR="009A1B28">
        <w:t xml:space="preserve">.  </w:t>
      </w:r>
      <w:r w:rsidR="004D1001">
        <w:t xml:space="preserve">25% of those aged 18-24 voted </w:t>
      </w:r>
      <w:proofErr w:type="gramStart"/>
      <w:r w:rsidR="004D1001">
        <w:t>L</w:t>
      </w:r>
      <w:r w:rsidR="00F07F10" w:rsidRPr="000B1825">
        <w:t>eave</w:t>
      </w:r>
      <w:proofErr w:type="gramEnd"/>
      <w:r w:rsidR="00F07F10" w:rsidRPr="000B1825">
        <w:t xml:space="preserve">, </w:t>
      </w:r>
      <w:r w:rsidR="00FF25E9">
        <w:t xml:space="preserve">for example, </w:t>
      </w:r>
      <w:r w:rsidR="00F07F10" w:rsidRPr="000B1825">
        <w:t xml:space="preserve">compared to 56% of those 50 and </w:t>
      </w:r>
      <w:r w:rsidR="003F0111">
        <w:t>older</w:t>
      </w:r>
      <w:r w:rsidR="00F07F10" w:rsidRPr="000B1825">
        <w:t>.</w:t>
      </w:r>
      <w:r w:rsidR="00FD0F28">
        <w:rPr>
          <w:rStyle w:val="FootnoteReference"/>
        </w:rPr>
        <w:footnoteReference w:id="2"/>
      </w:r>
      <w:r w:rsidR="00F07F10">
        <w:t xml:space="preserve">  </w:t>
      </w:r>
    </w:p>
    <w:p w14:paraId="2128A2BD" w14:textId="74A14AF1" w:rsidR="000E648E" w:rsidRDefault="00FF25E9" w:rsidP="00947587">
      <w:pPr>
        <w:spacing w:line="360" w:lineRule="auto"/>
        <w:jc w:val="both"/>
      </w:pPr>
      <w:r>
        <w:t>H</w:t>
      </w:r>
      <w:r w:rsidR="000E648E">
        <w:t>ow should we interpret this pattern? Does it</w:t>
      </w:r>
      <w:r w:rsidR="007C4D56">
        <w:t xml:space="preserve"> mean that voters become more Eurosceptic as they age</w:t>
      </w:r>
      <w:r w:rsidR="00024788">
        <w:t xml:space="preserve"> (</w:t>
      </w:r>
      <w:r w:rsidR="00B87CA3">
        <w:t xml:space="preserve">that the observed pattern is </w:t>
      </w:r>
      <w:r w:rsidR="00024788">
        <w:t>a seasoning effect)</w:t>
      </w:r>
      <w:r w:rsidR="004D220A">
        <w:t>?</w:t>
      </w:r>
      <w:r w:rsidR="000E648E">
        <w:t xml:space="preserve"> Or does it indicate</w:t>
      </w:r>
      <w:r w:rsidR="007C4D56">
        <w:t xml:space="preserve"> that recent cohorts are more pro-European </w:t>
      </w:r>
      <w:r w:rsidR="00024788">
        <w:t>(</w:t>
      </w:r>
      <w:r w:rsidR="00B87CA3">
        <w:t xml:space="preserve">that the pattern is </w:t>
      </w:r>
      <w:r w:rsidR="00024788">
        <w:t>a cohort effect)</w:t>
      </w:r>
      <w:r w:rsidR="000E648E">
        <w:t>?</w:t>
      </w:r>
      <w:r w:rsidR="007C4D56">
        <w:t xml:space="preserve"> </w:t>
      </w:r>
      <w:r>
        <w:t>And i</w:t>
      </w:r>
      <w:r w:rsidR="004D220A">
        <w:t>f</w:t>
      </w:r>
      <w:r w:rsidR="007C4D56">
        <w:t xml:space="preserve"> </w:t>
      </w:r>
      <w:r w:rsidR="004D220A">
        <w:t>cohort effects dominate</w:t>
      </w:r>
      <w:r w:rsidR="007C4D56">
        <w:t>, can th</w:t>
      </w:r>
      <w:r w:rsidR="003F0111">
        <w:t>ey</w:t>
      </w:r>
      <w:r w:rsidR="007C4D56">
        <w:t xml:space="preserve"> be explained by changes in the </w:t>
      </w:r>
      <w:r w:rsidR="000E648E">
        <w:t>c</w:t>
      </w:r>
      <w:r w:rsidR="007C4D56">
        <w:t xml:space="preserve">haracteristics of </w:t>
      </w:r>
      <w:r w:rsidR="000A134A">
        <w:t>different</w:t>
      </w:r>
      <w:r w:rsidR="007C4D56">
        <w:t xml:space="preserve"> generations, such as their education</w:t>
      </w:r>
      <w:r w:rsidR="003F0111">
        <w:t>, in ways that enable us to reliably anticipate the attitudes of future cohorts</w:t>
      </w:r>
      <w:r w:rsidR="007C4D56">
        <w:t xml:space="preserve">? </w:t>
      </w:r>
    </w:p>
    <w:p w14:paraId="2EF7F006" w14:textId="6C06DE26" w:rsidR="00F07F10" w:rsidRDefault="008E217D" w:rsidP="00947587">
      <w:pPr>
        <w:spacing w:line="360" w:lineRule="auto"/>
        <w:jc w:val="both"/>
      </w:pPr>
      <w:r>
        <w:t>T</w:t>
      </w:r>
      <w:r w:rsidR="007C4D56">
        <w:t xml:space="preserve">hese </w:t>
      </w:r>
      <w:r w:rsidR="000E648E">
        <w:t>different interpretations</w:t>
      </w:r>
      <w:r w:rsidR="007C4D56">
        <w:t xml:space="preserve"> have </w:t>
      </w:r>
      <w:r w:rsidR="000A134A">
        <w:t xml:space="preserve">very </w:t>
      </w:r>
      <w:r w:rsidR="007C4D56">
        <w:t xml:space="preserve">different implications for the </w:t>
      </w:r>
      <w:r w:rsidR="00B87CA3">
        <w:t>development</w:t>
      </w:r>
      <w:r w:rsidR="007C4D56">
        <w:t xml:space="preserve"> of</w:t>
      </w:r>
      <w:r w:rsidR="004D220A">
        <w:t xml:space="preserve"> public opinion</w:t>
      </w:r>
      <w:r w:rsidR="007C4D56">
        <w:t xml:space="preserve"> in the UK. </w:t>
      </w:r>
      <w:r w:rsidR="00024788">
        <w:t xml:space="preserve">If the </w:t>
      </w:r>
      <w:r w:rsidR="003F0111">
        <w:t xml:space="preserve">observed </w:t>
      </w:r>
      <w:r w:rsidR="00024788">
        <w:t xml:space="preserve">pattern </w:t>
      </w:r>
      <w:r w:rsidR="004D220A">
        <w:t>reflects</w:t>
      </w:r>
      <w:r w:rsidR="00024788">
        <w:t xml:space="preserve"> seasoning,</w:t>
      </w:r>
      <w:r w:rsidR="007C4D56">
        <w:t xml:space="preserve"> the</w:t>
      </w:r>
      <w:r w:rsidR="000E648E">
        <w:t>n the</w:t>
      </w:r>
      <w:r w:rsidR="007C4D56">
        <w:t xml:space="preserve"> electorate is likely to become more Eurosceptic as </w:t>
      </w:r>
      <w:r w:rsidR="003F0111">
        <w:t>it</w:t>
      </w:r>
      <w:r w:rsidR="007C4D56">
        <w:t xml:space="preserve"> ages. </w:t>
      </w:r>
      <w:r w:rsidR="00FF25E9">
        <w:t>On the other hand, i</w:t>
      </w:r>
      <w:r w:rsidR="00024788">
        <w:t xml:space="preserve">f </w:t>
      </w:r>
      <w:r w:rsidR="003F0111">
        <w:t>the pattern reflects</w:t>
      </w:r>
      <w:r w:rsidR="00024788">
        <w:t xml:space="preserve"> a cohort effect</w:t>
      </w:r>
      <w:r w:rsidR="007C4D56">
        <w:t xml:space="preserve"> </w:t>
      </w:r>
      <w:r w:rsidR="00FF25E9">
        <w:t>and the attitudes of future cohorts resemble those of recent cohorts, then</w:t>
      </w:r>
      <w:r w:rsidR="000E648E">
        <w:t xml:space="preserve"> </w:t>
      </w:r>
      <w:r w:rsidR="00024788">
        <w:t xml:space="preserve">the UK </w:t>
      </w:r>
      <w:r w:rsidR="007C4D56">
        <w:t xml:space="preserve">will become more Europhile as recent pro-European cohorts supplant their </w:t>
      </w:r>
      <w:r w:rsidR="004925B1">
        <w:t>Eurosceptic</w:t>
      </w:r>
      <w:r w:rsidR="003F0111">
        <w:t xml:space="preserve"> </w:t>
      </w:r>
      <w:r w:rsidR="007C4D56">
        <w:t>forebears.</w:t>
      </w:r>
      <w:r w:rsidR="00F37162">
        <w:t xml:space="preserve"> </w:t>
      </w:r>
    </w:p>
    <w:p w14:paraId="78BFD4F7" w14:textId="2CC05E20" w:rsidR="0025152D" w:rsidRDefault="00024788" w:rsidP="00947587">
      <w:pPr>
        <w:spacing w:line="360" w:lineRule="auto"/>
        <w:jc w:val="both"/>
      </w:pPr>
      <w:r>
        <w:t>I</w:t>
      </w:r>
      <w:r w:rsidR="000E648E">
        <w:t xml:space="preserve">t is </w:t>
      </w:r>
      <w:r w:rsidR="008A0F1B">
        <w:t xml:space="preserve">not </w:t>
      </w:r>
      <w:r w:rsidR="003F0111">
        <w:t>straightforward</w:t>
      </w:r>
      <w:r w:rsidR="007D4035">
        <w:t xml:space="preserve"> to disentangle seasoning and cohort effects</w:t>
      </w:r>
      <w:r w:rsidR="008A0F1B" w:rsidRPr="008A0F1B">
        <w:t xml:space="preserve"> </w:t>
      </w:r>
      <w:r w:rsidR="008A0F1B">
        <w:t xml:space="preserve">when there </w:t>
      </w:r>
      <w:r w:rsidR="000E648E">
        <w:t xml:space="preserve">also </w:t>
      </w:r>
      <w:proofErr w:type="gramStart"/>
      <w:r w:rsidR="008E217D">
        <w:t>exist</w:t>
      </w:r>
      <w:proofErr w:type="gramEnd"/>
      <w:r w:rsidR="008A0F1B">
        <w:t xml:space="preserve"> electorate-wide swings in sentiment</w:t>
      </w:r>
      <w:r w:rsidR="003F0111">
        <w:t xml:space="preserve">. </w:t>
      </w:r>
      <w:r w:rsidR="00FF58EE">
        <w:t>Given the available data, o</w:t>
      </w:r>
      <w:r w:rsidR="008A0F1B">
        <w:t>ne cannot observe the same cohort</w:t>
      </w:r>
      <w:r w:rsidR="008E217D">
        <w:t>s</w:t>
      </w:r>
      <w:r w:rsidR="008A0F1B">
        <w:t xml:space="preserve"> at two different ages at the same time, or at the same age at two different times. To make progress, researchers must </w:t>
      </w:r>
      <w:r w:rsidR="00FF25E9">
        <w:t xml:space="preserve">therefore </w:t>
      </w:r>
      <w:r w:rsidR="008A0F1B">
        <w:t xml:space="preserve">make assumptions about </w:t>
      </w:r>
      <w:r w:rsidR="00B87CA3">
        <w:t>the form of</w:t>
      </w:r>
      <w:r w:rsidR="008A0F1B">
        <w:t xml:space="preserve"> </w:t>
      </w:r>
      <w:r w:rsidR="0035112A">
        <w:t xml:space="preserve">age, period and cohort (APC) </w:t>
      </w:r>
      <w:r w:rsidR="008E217D">
        <w:t xml:space="preserve">effects </w:t>
      </w:r>
      <w:r w:rsidR="00B87CA3">
        <w:t>a</w:t>
      </w:r>
      <w:r w:rsidR="008E217D">
        <w:t>nd to</w:t>
      </w:r>
      <w:r w:rsidR="008A0F1B">
        <w:t xml:space="preserve"> what observables they are related. For example, </w:t>
      </w:r>
      <w:r w:rsidR="0025152D">
        <w:t>a</w:t>
      </w:r>
      <w:r w:rsidR="00F07F10">
        <w:t xml:space="preserve">uthors analysing </w:t>
      </w:r>
      <w:r w:rsidR="0025152D">
        <w:t xml:space="preserve">general election </w:t>
      </w:r>
      <w:r w:rsidR="000A134A">
        <w:t>voting</w:t>
      </w:r>
      <w:r w:rsidR="00F07F10">
        <w:t xml:space="preserve"> in the UK and other countries</w:t>
      </w:r>
      <w:r w:rsidR="0025152D">
        <w:t xml:space="preserve"> </w:t>
      </w:r>
      <w:r w:rsidR="00F37162">
        <w:t xml:space="preserve">have </w:t>
      </w:r>
      <w:r w:rsidR="007D4035">
        <w:t>attempted to proxy for period effects with observable variables</w:t>
      </w:r>
      <w:r w:rsidR="0025152D">
        <w:t xml:space="preserve"> such </w:t>
      </w:r>
      <w:r w:rsidR="00CA388A">
        <w:t>as GDP growth</w:t>
      </w:r>
      <w:r w:rsidR="00B87CA3">
        <w:t>, allowing them to back out the associated age and c</w:t>
      </w:r>
      <w:r w:rsidR="000A134A">
        <w:t>ohort effects</w:t>
      </w:r>
      <w:r w:rsidR="004D220A">
        <w:t>.</w:t>
      </w:r>
      <w:r w:rsidR="00DB64DF">
        <w:rPr>
          <w:rStyle w:val="FootnoteReference"/>
        </w:rPr>
        <w:footnoteReference w:id="3"/>
      </w:r>
      <w:r w:rsidR="004D220A">
        <w:t xml:space="preserve">  </w:t>
      </w:r>
    </w:p>
    <w:p w14:paraId="725A102C" w14:textId="392187EA" w:rsidR="008E217D" w:rsidRDefault="0025152D" w:rsidP="00947587">
      <w:pPr>
        <w:spacing w:line="360" w:lineRule="auto"/>
        <w:jc w:val="both"/>
      </w:pPr>
      <w:r>
        <w:lastRenderedPageBreak/>
        <w:t>In this paper we assemble panel and repeated cross-section dataset</w:t>
      </w:r>
      <w:r w:rsidR="004D220A">
        <w:t>s</w:t>
      </w:r>
      <w:r>
        <w:t xml:space="preserve"> of UK sentiment towards the EU</w:t>
      </w:r>
      <w:r w:rsidR="00B87CA3">
        <w:t xml:space="preserve">. In </w:t>
      </w:r>
      <w:r w:rsidR="00E80EB9">
        <w:t>all</w:t>
      </w:r>
      <w:r w:rsidR="00B87CA3">
        <w:t xml:space="preserve"> we have more than</w:t>
      </w:r>
      <w:r w:rsidR="00DB64DF">
        <w:t xml:space="preserve"> 100,000 </w:t>
      </w:r>
      <w:r>
        <w:t xml:space="preserve">observations </w:t>
      </w:r>
      <w:r w:rsidR="008E217D">
        <w:t>spanning the period</w:t>
      </w:r>
      <w:r>
        <w:t xml:space="preserve"> 1963-2017. </w:t>
      </w:r>
      <w:r w:rsidR="00B87CA3">
        <w:t>To analyse them, we develop</w:t>
      </w:r>
      <w:r>
        <w:t xml:space="preserve"> a new method for separately identifying APC effects, adapting the </w:t>
      </w:r>
      <w:proofErr w:type="spellStart"/>
      <w:r>
        <w:t>Kalman</w:t>
      </w:r>
      <w:proofErr w:type="spellEnd"/>
      <w:r>
        <w:t xml:space="preserve"> filter to a </w:t>
      </w:r>
      <w:r w:rsidR="008E217D">
        <w:t xml:space="preserve">panel </w:t>
      </w:r>
      <w:r>
        <w:t xml:space="preserve">context and relying on the assumption that age and </w:t>
      </w:r>
      <w:r w:rsidR="000A134A">
        <w:t>cohort effects evolve</w:t>
      </w:r>
      <w:r>
        <w:t xml:space="preserve"> smoothly. </w:t>
      </w:r>
    </w:p>
    <w:p w14:paraId="042B5F59" w14:textId="42EC30CE" w:rsidR="00496CB9" w:rsidRDefault="00B87CA3" w:rsidP="00947587">
      <w:pPr>
        <w:spacing w:line="360" w:lineRule="auto"/>
        <w:jc w:val="both"/>
      </w:pPr>
      <w:r>
        <w:t>Using t</w:t>
      </w:r>
      <w:r w:rsidR="0025152D">
        <w:t xml:space="preserve">his </w:t>
      </w:r>
      <w:r w:rsidR="008E217D">
        <w:t xml:space="preserve">approach </w:t>
      </w:r>
      <w:r>
        <w:t xml:space="preserve">and </w:t>
      </w:r>
      <w:r w:rsidR="00FF25E9">
        <w:t xml:space="preserve">also </w:t>
      </w:r>
      <w:r w:rsidR="004D220A">
        <w:t xml:space="preserve">more conventional </w:t>
      </w:r>
      <w:r w:rsidR="00D91246">
        <w:t>methods</w:t>
      </w:r>
      <w:r>
        <w:t xml:space="preserve">, we </w:t>
      </w:r>
      <w:r w:rsidR="000E5FC9">
        <w:t>establish</w:t>
      </w:r>
      <w:r w:rsidR="00496CB9">
        <w:t xml:space="preserve"> </w:t>
      </w:r>
      <w:r w:rsidR="00FF25E9">
        <w:t>five</w:t>
      </w:r>
      <w:r w:rsidR="00D91246">
        <w:t xml:space="preserve"> findings. </w:t>
      </w:r>
    </w:p>
    <w:p w14:paraId="0EF59A73" w14:textId="187B75A6" w:rsidR="00496CB9" w:rsidRDefault="00D91246" w:rsidP="00496CB9">
      <w:pPr>
        <w:pStyle w:val="ListParagraph"/>
        <w:numPr>
          <w:ilvl w:val="0"/>
          <w:numId w:val="2"/>
        </w:numPr>
        <w:spacing w:line="360" w:lineRule="auto"/>
        <w:jc w:val="both"/>
      </w:pPr>
      <w:r>
        <w:t xml:space="preserve">UK voters </w:t>
      </w:r>
      <w:r w:rsidR="008E217D">
        <w:t>grow</w:t>
      </w:r>
      <w:r>
        <w:t xml:space="preserve"> more </w:t>
      </w:r>
      <w:r w:rsidR="004925B1">
        <w:t>Eurosceptic</w:t>
      </w:r>
      <w:r>
        <w:t xml:space="preserve"> as they age. </w:t>
      </w:r>
    </w:p>
    <w:p w14:paraId="7F32DB55" w14:textId="315FAC4E" w:rsidR="00496CB9" w:rsidRDefault="00FF25E9" w:rsidP="00496CB9">
      <w:pPr>
        <w:pStyle w:val="ListParagraph"/>
        <w:numPr>
          <w:ilvl w:val="0"/>
          <w:numId w:val="2"/>
        </w:numPr>
        <w:spacing w:line="360" w:lineRule="auto"/>
        <w:jc w:val="both"/>
      </w:pPr>
      <w:r>
        <w:t>T</w:t>
      </w:r>
      <w:r w:rsidR="00496CB9">
        <w:t xml:space="preserve">he attitudes of </w:t>
      </w:r>
      <w:r w:rsidR="00D91246">
        <w:t>past cohorts</w:t>
      </w:r>
      <w:r w:rsidR="00006D1B">
        <w:t xml:space="preserve"> trace out a U</w:t>
      </w:r>
      <w:r w:rsidR="00496CB9">
        <w:t>-shaped pattern. B</w:t>
      </w:r>
      <w:r w:rsidR="00D91246">
        <w:t xml:space="preserve">aby boomers </w:t>
      </w:r>
      <w:r w:rsidR="00496CB9">
        <w:t xml:space="preserve">are </w:t>
      </w:r>
      <w:r w:rsidR="00D91246">
        <w:t xml:space="preserve">more </w:t>
      </w:r>
      <w:r w:rsidR="004925B1">
        <w:t>Eurosceptic</w:t>
      </w:r>
      <w:r w:rsidR="00D91246">
        <w:t xml:space="preserve"> than </w:t>
      </w:r>
      <w:r w:rsidR="000A134A">
        <w:t xml:space="preserve">both </w:t>
      </w:r>
      <w:r w:rsidR="008E217D">
        <w:t xml:space="preserve">earlier </w:t>
      </w:r>
      <w:r w:rsidR="000A134A">
        <w:t>and</w:t>
      </w:r>
      <w:r w:rsidR="00D91246">
        <w:t xml:space="preserve"> </w:t>
      </w:r>
      <w:r w:rsidR="008E217D">
        <w:t>later</w:t>
      </w:r>
      <w:r w:rsidR="00D91246">
        <w:t xml:space="preserve"> generations. </w:t>
      </w:r>
      <w:r w:rsidR="004D220A">
        <w:t>Thus, b</w:t>
      </w:r>
      <w:r w:rsidR="008E217D">
        <w:t>oth</w:t>
      </w:r>
      <w:r w:rsidR="00D91246">
        <w:t xml:space="preserve"> </w:t>
      </w:r>
      <w:r w:rsidR="003F0111">
        <w:t xml:space="preserve">seasoning and cohort </w:t>
      </w:r>
      <w:r w:rsidR="00D91246">
        <w:t xml:space="preserve">effects </w:t>
      </w:r>
      <w:r w:rsidR="008E217D">
        <w:t>contribute to the observed</w:t>
      </w:r>
      <w:r w:rsidR="00D91246">
        <w:t xml:space="preserve"> age-voting gradient</w:t>
      </w:r>
      <w:r w:rsidR="00496CB9">
        <w:t>.</w:t>
      </w:r>
      <w:r w:rsidR="00D91246">
        <w:t xml:space="preserve"> </w:t>
      </w:r>
    </w:p>
    <w:p w14:paraId="5D153680" w14:textId="1822FF33" w:rsidR="00496CB9" w:rsidRDefault="00FF25E9" w:rsidP="00496CB9">
      <w:pPr>
        <w:pStyle w:val="ListParagraph"/>
        <w:numPr>
          <w:ilvl w:val="0"/>
          <w:numId w:val="2"/>
        </w:numPr>
        <w:spacing w:line="360" w:lineRule="auto"/>
        <w:jc w:val="both"/>
      </w:pPr>
      <w:r>
        <w:t>E</w:t>
      </w:r>
      <w:r w:rsidR="00496CB9">
        <w:t xml:space="preserve">ducation, as </w:t>
      </w:r>
      <w:r w:rsidR="00B87CA3">
        <w:t>captured</w:t>
      </w:r>
      <w:r w:rsidR="00496CB9">
        <w:t xml:space="preserve"> by </w:t>
      </w:r>
      <w:r w:rsidR="00CA388A">
        <w:t xml:space="preserve">the number of years </w:t>
      </w:r>
      <w:r w:rsidR="000A134A">
        <w:t>of</w:t>
      </w:r>
      <w:r w:rsidR="00CA388A">
        <w:t xml:space="preserve"> school</w:t>
      </w:r>
      <w:r w:rsidR="000A134A">
        <w:t>ing</w:t>
      </w:r>
      <w:r w:rsidR="00496CB9">
        <w:t>,</w:t>
      </w:r>
      <w:r w:rsidR="00813E73">
        <w:t xml:space="preserve"> is pos</w:t>
      </w:r>
      <w:r w:rsidR="009076AC">
        <w:t>i</w:t>
      </w:r>
      <w:r w:rsidR="00813E73">
        <w:t>tiv</w:t>
      </w:r>
      <w:r w:rsidR="009076AC">
        <w:t>e</w:t>
      </w:r>
      <w:r w:rsidR="00813E73">
        <w:t xml:space="preserve">ly associated with pro-Europeanism. </w:t>
      </w:r>
    </w:p>
    <w:p w14:paraId="11D8B8A0" w14:textId="1DF86E11" w:rsidR="00496CB9" w:rsidRDefault="00FF25E9" w:rsidP="00496CB9">
      <w:pPr>
        <w:pStyle w:val="ListParagraph"/>
        <w:numPr>
          <w:ilvl w:val="0"/>
          <w:numId w:val="2"/>
        </w:numPr>
        <w:spacing w:line="360" w:lineRule="auto"/>
        <w:jc w:val="both"/>
      </w:pPr>
      <w:r>
        <w:t>R</w:t>
      </w:r>
      <w:r w:rsidR="00813E73">
        <w:t>elatedly,</w:t>
      </w:r>
      <w:r w:rsidR="00496CB9">
        <w:t xml:space="preserve"> </w:t>
      </w:r>
      <w:r>
        <w:t>the greater</w:t>
      </w:r>
      <w:r w:rsidR="00813E73">
        <w:t xml:space="preserve"> </w:t>
      </w:r>
      <w:r w:rsidR="00D91246">
        <w:t xml:space="preserve">pro-Europeanism of </w:t>
      </w:r>
      <w:r w:rsidR="004D220A">
        <w:t xml:space="preserve">relatively recent </w:t>
      </w:r>
      <w:r w:rsidR="00813E73">
        <w:t xml:space="preserve">cohorts is </w:t>
      </w:r>
      <w:r>
        <w:t xml:space="preserve">largely </w:t>
      </w:r>
      <w:r w:rsidR="00813E73">
        <w:t xml:space="preserve">accounted for by their </w:t>
      </w:r>
      <w:r w:rsidR="00496CB9">
        <w:t xml:space="preserve">greater </w:t>
      </w:r>
      <w:r w:rsidR="00813E73">
        <w:t>education</w:t>
      </w:r>
      <w:r w:rsidR="00B87CA3">
        <w:t>al attainment</w:t>
      </w:r>
      <w:r w:rsidR="00813E73">
        <w:t xml:space="preserve">. </w:t>
      </w:r>
    </w:p>
    <w:p w14:paraId="23857463" w14:textId="51399CAE" w:rsidR="00FF25E9" w:rsidRDefault="00FF25E9" w:rsidP="00496CB9">
      <w:pPr>
        <w:pStyle w:val="ListParagraph"/>
        <w:numPr>
          <w:ilvl w:val="0"/>
          <w:numId w:val="2"/>
        </w:numPr>
        <w:spacing w:line="360" w:lineRule="auto"/>
        <w:jc w:val="both"/>
      </w:pPr>
      <w:r>
        <w:t>Finally, t</w:t>
      </w:r>
      <w:r w:rsidR="00496CB9">
        <w:t xml:space="preserve">here </w:t>
      </w:r>
      <w:r w:rsidR="00DB64DF">
        <w:t>have been</w:t>
      </w:r>
      <w:r w:rsidR="00496CB9">
        <w:t xml:space="preserve"> l</w:t>
      </w:r>
      <w:r w:rsidR="00B670B2">
        <w:t xml:space="preserve">arge nationwide swings in sentiment </w:t>
      </w:r>
      <w:r w:rsidR="00496CB9">
        <w:t xml:space="preserve">that have little </w:t>
      </w:r>
      <w:proofErr w:type="gramStart"/>
      <w:r w:rsidR="00496CB9">
        <w:t>do</w:t>
      </w:r>
      <w:proofErr w:type="gramEnd"/>
      <w:r w:rsidR="00496CB9">
        <w:t xml:space="preserve"> with</w:t>
      </w:r>
      <w:r w:rsidR="000A134A">
        <w:t xml:space="preserve"> either</w:t>
      </w:r>
      <w:r w:rsidR="00B670B2">
        <w:t xml:space="preserve"> seasoning or cohort effects.</w:t>
      </w:r>
      <w:r>
        <w:t xml:space="preserve">  Any analysis that focuses on demographic trends to the exclusion of these nationwide shifts in attitudes and conditions is likely to </w:t>
      </w:r>
      <w:r w:rsidR="00E80EB9">
        <w:t>m</w:t>
      </w:r>
      <w:r>
        <w:t>islead.</w:t>
      </w:r>
    </w:p>
    <w:p w14:paraId="43CDE4C6" w14:textId="2412CCBB" w:rsidR="002F34D6" w:rsidRDefault="00FF25E9" w:rsidP="00947587">
      <w:pPr>
        <w:spacing w:line="360" w:lineRule="auto"/>
        <w:jc w:val="both"/>
      </w:pPr>
      <w:r>
        <w:t>I</w:t>
      </w:r>
      <w:r w:rsidR="00813E73">
        <w:t>n conjunction with ONS population projections</w:t>
      </w:r>
      <w:r>
        <w:t>, our estimates</w:t>
      </w:r>
      <w:r w:rsidR="00813E73">
        <w:t xml:space="preserve"> </w:t>
      </w:r>
      <w:r w:rsidR="00496CB9">
        <w:t xml:space="preserve">can be used to generate </w:t>
      </w:r>
      <w:r w:rsidR="00813E73">
        <w:t xml:space="preserve">forecasts of EU sentiment. </w:t>
      </w:r>
      <w:r w:rsidR="004A0E0B">
        <w:t>Specifically, i</w:t>
      </w:r>
      <w:r w:rsidR="00813E73">
        <w:t>f past behaviour is a guide the</w:t>
      </w:r>
      <w:r w:rsidR="00496CB9">
        <w:t>n the</w:t>
      </w:r>
      <w:r w:rsidR="00813E73">
        <w:t xml:space="preserve"> agein</w:t>
      </w:r>
      <w:r w:rsidR="000A134A">
        <w:t>g of the electorate will partly</w:t>
      </w:r>
      <w:r w:rsidR="00813E73">
        <w:t xml:space="preserve"> cancel out the replacement of older Eurosceptic cohorts with newer, better-educated</w:t>
      </w:r>
      <w:r w:rsidR="00B87CA3">
        <w:t>, mo</w:t>
      </w:r>
      <w:r w:rsidR="003F0111">
        <w:t>re pro-European cohorts</w:t>
      </w:r>
      <w:r w:rsidR="00813E73">
        <w:t xml:space="preserve">. </w:t>
      </w:r>
      <w:r w:rsidR="004D220A">
        <w:t xml:space="preserve">But </w:t>
      </w:r>
      <w:r w:rsidR="001F4855">
        <w:t>t</w:t>
      </w:r>
      <w:r w:rsidR="00B670B2">
        <w:t xml:space="preserve">he balance of these two effects is small relative to the age-turnout gradient </w:t>
      </w:r>
      <w:r w:rsidR="000E5FC9">
        <w:t xml:space="preserve">and </w:t>
      </w:r>
      <w:r w:rsidR="003F0111">
        <w:t>the</w:t>
      </w:r>
      <w:r w:rsidR="000E5FC9">
        <w:t xml:space="preserve"> volatility </w:t>
      </w:r>
      <w:r w:rsidR="001E5547">
        <w:t xml:space="preserve">and uncertainty surrounding </w:t>
      </w:r>
      <w:r w:rsidR="000E5FC9">
        <w:t xml:space="preserve">period effects. </w:t>
      </w:r>
      <w:r w:rsidR="001F4855">
        <w:t>It follows that d</w:t>
      </w:r>
      <w:r w:rsidR="000E5FC9">
        <w:t xml:space="preserve">emographic trends are unlikely to be </w:t>
      </w:r>
      <w:r w:rsidR="00E970FF">
        <w:t xml:space="preserve">the </w:t>
      </w:r>
      <w:r w:rsidR="000E5FC9">
        <w:t xml:space="preserve">decisive determinants of future changes in </w:t>
      </w:r>
      <w:r w:rsidR="00F31146">
        <w:t>European sentiment</w:t>
      </w:r>
      <w:r w:rsidR="000A134A">
        <w:t>. R</w:t>
      </w:r>
      <w:r w:rsidR="001F4855">
        <w:t>ather</w:t>
      </w:r>
      <w:r w:rsidR="000A134A">
        <w:t>,</w:t>
      </w:r>
      <w:r w:rsidR="001F4855">
        <w:t xml:space="preserve"> </w:t>
      </w:r>
      <w:r w:rsidR="00E970FF">
        <w:t xml:space="preserve">changes in </w:t>
      </w:r>
      <w:r w:rsidR="001F4855">
        <w:t>na</w:t>
      </w:r>
      <w:r w:rsidR="00B76D12">
        <w:t xml:space="preserve">tionwide attitudes and in the age-turnout gradient will be </w:t>
      </w:r>
      <w:proofErr w:type="gramStart"/>
      <w:r w:rsidR="00B76D12">
        <w:t>key</w:t>
      </w:r>
      <w:proofErr w:type="gramEnd"/>
      <w:r w:rsidR="00B76D12">
        <w:t>.</w:t>
      </w:r>
    </w:p>
    <w:p w14:paraId="4CCE62C2" w14:textId="77777777" w:rsidR="0025152D" w:rsidRDefault="0025152D" w:rsidP="00947587">
      <w:pPr>
        <w:pStyle w:val="Title"/>
        <w:jc w:val="both"/>
        <w:rPr>
          <w:sz w:val="32"/>
          <w:szCs w:val="32"/>
        </w:rPr>
      </w:pPr>
      <w:r>
        <w:rPr>
          <w:sz w:val="32"/>
          <w:szCs w:val="32"/>
        </w:rPr>
        <w:t>2 Literature</w:t>
      </w:r>
    </w:p>
    <w:p w14:paraId="24AF9CB9" w14:textId="1907FFFF" w:rsidR="004407B9" w:rsidRDefault="00FF25E9" w:rsidP="004407B9">
      <w:pPr>
        <w:spacing w:line="360" w:lineRule="auto"/>
        <w:jc w:val="both"/>
      </w:pPr>
      <w:r>
        <w:t>S</w:t>
      </w:r>
      <w:r w:rsidR="00A813E0">
        <w:t xml:space="preserve">ince the </w:t>
      </w:r>
      <w:r w:rsidR="006269BF">
        <w:t>2016</w:t>
      </w:r>
      <w:r w:rsidR="00A813E0">
        <w:t xml:space="preserve"> referendum, a number of </w:t>
      </w:r>
      <w:r w:rsidR="00630FE0">
        <w:t xml:space="preserve">studies have </w:t>
      </w:r>
      <w:proofErr w:type="spellStart"/>
      <w:r w:rsidR="00E970FF">
        <w:t>analyzed</w:t>
      </w:r>
      <w:proofErr w:type="spellEnd"/>
      <w:r w:rsidR="00630FE0">
        <w:t xml:space="preserve"> </w:t>
      </w:r>
      <w:r w:rsidR="00A813E0">
        <w:t xml:space="preserve">the determinants of the vote. </w:t>
      </w:r>
      <w:proofErr w:type="spellStart"/>
      <w:r w:rsidR="00A813E0">
        <w:t>Fetzer</w:t>
      </w:r>
      <w:proofErr w:type="spellEnd"/>
      <w:r w:rsidR="00A813E0">
        <w:t xml:space="preserve"> (2018) finds that local and individual exposure to welfare reforms was an important determinant of </w:t>
      </w:r>
      <w:r w:rsidR="006269BF">
        <w:t>voting patterns</w:t>
      </w:r>
      <w:r w:rsidR="00A813E0">
        <w:t>.</w:t>
      </w:r>
      <w:r w:rsidR="00E970FF">
        <w:rPr>
          <w:rStyle w:val="FootnoteReference"/>
        </w:rPr>
        <w:footnoteReference w:id="4"/>
      </w:r>
      <w:r w:rsidR="00A813E0">
        <w:t xml:space="preserve"> Becker et al. (2017) </w:t>
      </w:r>
      <w:r w:rsidR="003F0111">
        <w:t>show</w:t>
      </w:r>
      <w:r w:rsidR="00A813E0">
        <w:t xml:space="preserve"> that education, historical dependence on manufacturing employment and economic deprivation </w:t>
      </w:r>
      <w:r w:rsidR="006D712C">
        <w:t xml:space="preserve">were </w:t>
      </w:r>
      <w:r w:rsidR="00D457DA">
        <w:t xml:space="preserve">key drivers of </w:t>
      </w:r>
      <w:r w:rsidR="006D712C">
        <w:t xml:space="preserve">the vote at a local level. </w:t>
      </w:r>
      <w:proofErr w:type="spellStart"/>
      <w:r w:rsidR="006D712C">
        <w:t>Antonucci</w:t>
      </w:r>
      <w:proofErr w:type="spellEnd"/>
      <w:r w:rsidR="006D712C">
        <w:t xml:space="preserve"> et al. </w:t>
      </w:r>
      <w:r w:rsidR="006D712C">
        <w:lastRenderedPageBreak/>
        <w:t xml:space="preserve">(2017) </w:t>
      </w:r>
      <w:r w:rsidR="006269BF">
        <w:t>argue</w:t>
      </w:r>
      <w:r w:rsidR="006D712C">
        <w:t xml:space="preserve"> that a ‘squeezed middle’ class formed an important component of the Leave vote. </w:t>
      </w:r>
      <w:r w:rsidR="00AB3C9B">
        <w:t xml:space="preserve">In addition to </w:t>
      </w:r>
      <w:r w:rsidR="00E970FF">
        <w:t xml:space="preserve">these and related </w:t>
      </w:r>
      <w:r w:rsidR="00AB3C9B">
        <w:t>economic factors and characteristics</w:t>
      </w:r>
      <w:r w:rsidR="00630FE0">
        <w:t xml:space="preserve">, </w:t>
      </w:r>
      <w:r w:rsidR="006D712C">
        <w:t xml:space="preserve">Swales (2017) finds that questions of national identity were associated with voting </w:t>
      </w:r>
      <w:r w:rsidR="006269BF">
        <w:t>patterns</w:t>
      </w:r>
      <w:r w:rsidR="006D712C">
        <w:t>.</w:t>
      </w:r>
      <w:r w:rsidR="00BA7376">
        <w:t xml:space="preserve"> Lee et al. (2018) find that ‘locally rooted’ individuals living in their county of birth were more likely to vote Leave, but that this </w:t>
      </w:r>
      <w:r w:rsidR="006269BF">
        <w:t xml:space="preserve">tendency </w:t>
      </w:r>
      <w:r w:rsidR="00BA7376">
        <w:t>was concentrated among respondents in areas experiencing relative economic decline or increases in migration.</w:t>
      </w:r>
      <w:r w:rsidR="00FF15CB">
        <w:t xml:space="preserve"> </w:t>
      </w:r>
      <w:proofErr w:type="spellStart"/>
      <w:r w:rsidR="00FF15CB">
        <w:t>Garretsen</w:t>
      </w:r>
      <w:proofErr w:type="spellEnd"/>
      <w:r w:rsidR="00FF15CB">
        <w:t xml:space="preserve"> et al. </w:t>
      </w:r>
      <w:r w:rsidR="0029736B">
        <w:t xml:space="preserve">(2018) </w:t>
      </w:r>
      <w:r w:rsidR="00FF15CB">
        <w:t xml:space="preserve">show that local prevalence of the ‘Openness’ personality characteristic </w:t>
      </w:r>
      <w:r w:rsidR="003F0111">
        <w:t xml:space="preserve">(in the sense of the Big 5 personality traits or </w:t>
      </w:r>
      <w:r w:rsidR="00E970FF">
        <w:t xml:space="preserve">the </w:t>
      </w:r>
      <w:r w:rsidR="003F0111">
        <w:t xml:space="preserve">‘five factor’ personality model) </w:t>
      </w:r>
      <w:r w:rsidR="00FF15CB">
        <w:t xml:space="preserve">was </w:t>
      </w:r>
      <w:r w:rsidR="00E970FF">
        <w:t>p</w:t>
      </w:r>
      <w:r w:rsidR="0029736B">
        <w:t xml:space="preserve">ositively </w:t>
      </w:r>
      <w:r w:rsidR="00FF15CB">
        <w:t xml:space="preserve">associated with </w:t>
      </w:r>
      <w:r w:rsidR="0029736B">
        <w:t>the Remain vote share.</w:t>
      </w:r>
      <w:r w:rsidR="004407B9">
        <w:t xml:space="preserve"> </w:t>
      </w:r>
      <w:r w:rsidR="006269BF">
        <w:t>Finally,</w:t>
      </w:r>
      <w:r w:rsidR="00AB3C9B">
        <w:t xml:space="preserve"> </w:t>
      </w:r>
      <w:proofErr w:type="spellStart"/>
      <w:r w:rsidR="005A28B2">
        <w:t>Janmaat</w:t>
      </w:r>
      <w:proofErr w:type="spellEnd"/>
      <w:r w:rsidR="005A28B2">
        <w:t xml:space="preserve"> et al. (2018) find that support for </w:t>
      </w:r>
      <w:r w:rsidR="00E970FF">
        <w:t>Leave was</w:t>
      </w:r>
      <w:r w:rsidR="005A28B2">
        <w:t xml:space="preserve"> most volatile among ‘engaged and satisfied’ voters.</w:t>
      </w:r>
    </w:p>
    <w:p w14:paraId="001C1C6F" w14:textId="34AB98B5" w:rsidR="004407B9" w:rsidRDefault="00A1459C" w:rsidP="004407B9">
      <w:pPr>
        <w:spacing w:line="360" w:lineRule="auto"/>
        <w:jc w:val="both"/>
      </w:pPr>
      <w:r>
        <w:t>W</w:t>
      </w:r>
      <w:r w:rsidR="00AB3C9B">
        <w:t xml:space="preserve">e are not aware of studies that look specifically at APC effects in the context of the EU Referendum or EU sentiment. </w:t>
      </w:r>
      <w:r>
        <w:t xml:space="preserve">In passing, </w:t>
      </w:r>
      <w:r w:rsidR="004407B9" w:rsidRPr="000B1825">
        <w:t xml:space="preserve">McGill </w:t>
      </w:r>
      <w:r w:rsidR="004407B9">
        <w:t>(</w:t>
      </w:r>
      <w:r w:rsidR="004407B9" w:rsidRPr="000B1825">
        <w:t>2016</w:t>
      </w:r>
      <w:r w:rsidR="004407B9">
        <w:t>) and Zhang (2018</w:t>
      </w:r>
      <w:r w:rsidR="004407B9" w:rsidRPr="000B1825">
        <w:t>)</w:t>
      </w:r>
      <w:r w:rsidR="004407B9">
        <w:t xml:space="preserve"> note that the observed age-Remain gradient</w:t>
      </w:r>
      <w:r w:rsidR="004407B9" w:rsidRPr="000B1825">
        <w:t xml:space="preserve"> weakens or disappears </w:t>
      </w:r>
      <w:r w:rsidR="00E970FF">
        <w:t xml:space="preserve">once one controls for </w:t>
      </w:r>
      <w:r w:rsidR="004407B9" w:rsidRPr="000B1825">
        <w:t>factors</w:t>
      </w:r>
      <w:r w:rsidR="004407B9">
        <w:t xml:space="preserve"> such as education</w:t>
      </w:r>
      <w:r w:rsidR="00AB3C9B">
        <w:t>; w</w:t>
      </w:r>
      <w:r w:rsidR="004407B9" w:rsidRPr="000B1825">
        <w:t>hat</w:t>
      </w:r>
      <w:r w:rsidR="004407B9">
        <w:t xml:space="preserve"> might appear to be evidence of</w:t>
      </w:r>
      <w:r w:rsidR="004407B9" w:rsidRPr="000B1825">
        <w:t xml:space="preserve"> a </w:t>
      </w:r>
      <w:r w:rsidR="004407B9">
        <w:t xml:space="preserve">seasoning or </w:t>
      </w:r>
      <w:r w:rsidR="004407B9" w:rsidRPr="000B1825">
        <w:t>cohort effect could actually reflect differences in other voter characteristics</w:t>
      </w:r>
      <w:r w:rsidR="004407B9">
        <w:t xml:space="preserve"> insofar as educational attainment and related variables differ across generations</w:t>
      </w:r>
      <w:r w:rsidR="004407B9" w:rsidRPr="000B1825">
        <w:t>.</w:t>
      </w:r>
      <w:r w:rsidR="004407B9">
        <w:rPr>
          <w:rStyle w:val="FootnoteReference"/>
        </w:rPr>
        <w:footnoteReference w:id="5"/>
      </w:r>
      <w:r w:rsidR="006269BF">
        <w:t xml:space="preserve">  </w:t>
      </w:r>
      <w:r w:rsidR="009861C4">
        <w:t>W</w:t>
      </w:r>
      <w:r w:rsidR="006269BF">
        <w:t xml:space="preserve">hether this conclusion is robust to the addition of a separate cohort effect </w:t>
      </w:r>
      <w:r w:rsidR="009861C4">
        <w:t>i</w:t>
      </w:r>
      <w:r w:rsidR="006269BF">
        <w:t>s unclear.</w:t>
      </w:r>
    </w:p>
    <w:p w14:paraId="517B7CC7" w14:textId="3B82A229" w:rsidR="007C4D56" w:rsidRPr="00A80F24" w:rsidRDefault="00AB3C9B" w:rsidP="00947587">
      <w:pPr>
        <w:spacing w:line="360" w:lineRule="auto"/>
        <w:jc w:val="both"/>
        <w:rPr>
          <w:b/>
        </w:rPr>
      </w:pPr>
      <w:r>
        <w:t xml:space="preserve">There is </w:t>
      </w:r>
      <w:r w:rsidR="006269BF">
        <w:t>of course a large</w:t>
      </w:r>
      <w:r>
        <w:t xml:space="preserve"> literature on APC effects in o</w:t>
      </w:r>
      <w:r w:rsidR="006269BF">
        <w:t>ther contexts</w:t>
      </w:r>
      <w:r>
        <w:t xml:space="preserve">. Studies </w:t>
      </w:r>
      <w:r w:rsidR="006269BF">
        <w:t xml:space="preserve">of </w:t>
      </w:r>
      <w:r>
        <w:t>age</w:t>
      </w:r>
      <w:r w:rsidR="003F0111">
        <w:t>ing</w:t>
      </w:r>
      <w:r w:rsidR="006269BF">
        <w:t xml:space="preserve"> (</w:t>
      </w:r>
      <w:r>
        <w:t>seasoning</w:t>
      </w:r>
      <w:r w:rsidR="006269BF">
        <w:t>)</w:t>
      </w:r>
      <w:r>
        <w:t xml:space="preserve"> effects have </w:t>
      </w:r>
      <w:r w:rsidR="007E3A2F">
        <w:t>related them</w:t>
      </w:r>
      <w:r>
        <w:t xml:space="preserve"> to psychological changes </w:t>
      </w:r>
      <w:r w:rsidR="006269BF">
        <w:t>experience</w:t>
      </w:r>
      <w:r w:rsidR="009861C4">
        <w:t>d by individuals on</w:t>
      </w:r>
      <w:r w:rsidR="007C4D56">
        <w:t xml:space="preserve"> getting older</w:t>
      </w:r>
      <w:r w:rsidR="00732F42">
        <w:t xml:space="preserve">. </w:t>
      </w:r>
      <w:r w:rsidR="006269BF">
        <w:t>It is sometimes argued that</w:t>
      </w:r>
      <w:r>
        <w:t xml:space="preserve"> p</w:t>
      </w:r>
      <w:r w:rsidR="007C4D56">
        <w:t>eople grow more conservative, cognitively inflexible and close-minded as they age</w:t>
      </w:r>
      <w:r w:rsidR="00732F42">
        <w:t xml:space="preserve"> (see e.g. Feather 1977). </w:t>
      </w:r>
      <w:proofErr w:type="spellStart"/>
      <w:r w:rsidR="003A3D67">
        <w:t>Donellan</w:t>
      </w:r>
      <w:proofErr w:type="spellEnd"/>
      <w:r w:rsidR="003A3D67">
        <w:t xml:space="preserve"> and Lucas (2008) find that individuals become less “open” as they age, irrespective of gender or education. A</w:t>
      </w:r>
      <w:r>
        <w:t>lternatively, a</w:t>
      </w:r>
      <w:r w:rsidR="00732F42">
        <w:t>ttitudinal shifts</w:t>
      </w:r>
      <w:r w:rsidR="007C4D56">
        <w:t xml:space="preserve"> could reflect changes in personal circumstances associated with age (see </w:t>
      </w:r>
      <w:proofErr w:type="spellStart"/>
      <w:r w:rsidR="007C4D56">
        <w:t>Binstock</w:t>
      </w:r>
      <w:proofErr w:type="spellEnd"/>
      <w:r w:rsidR="007C4D56">
        <w:t xml:space="preserve"> and </w:t>
      </w:r>
      <w:proofErr w:type="spellStart"/>
      <w:r w:rsidR="007C4D56">
        <w:t>Quadagno</w:t>
      </w:r>
      <w:proofErr w:type="spellEnd"/>
      <w:r w:rsidR="007C4D56">
        <w:t xml:space="preserve"> 2001).</w:t>
      </w:r>
      <w:r w:rsidR="00A80F24" w:rsidRPr="00A80F24">
        <w:t xml:space="preserve"> </w:t>
      </w:r>
    </w:p>
    <w:p w14:paraId="2B3F4C66" w14:textId="660F5482" w:rsidR="00E970FF" w:rsidRDefault="007C4D56" w:rsidP="00947587">
      <w:pPr>
        <w:spacing w:line="360" w:lineRule="auto"/>
        <w:jc w:val="both"/>
      </w:pPr>
      <w:r>
        <w:t xml:space="preserve">Cohort effects, </w:t>
      </w:r>
      <w:r w:rsidR="00732F42">
        <w:t>meanwhile</w:t>
      </w:r>
      <w:r>
        <w:t xml:space="preserve">, could reflect the tendency for durable political attitudes to form early in life, influenced perhaps by circumstances prevailing when cohorts enter the electorate (see e.g. Green et al. 2002).  Cohorts reaching voting age in recent decades, whose members flew around Europe on Ryanair and had their educations shaped by the Bologna Process, </w:t>
      </w:r>
      <w:r w:rsidR="00732F42">
        <w:t>could</w:t>
      </w:r>
      <w:r>
        <w:t xml:space="preserve"> conceivably view EU membership more favourably than members of </w:t>
      </w:r>
      <w:r w:rsidR="00C73789">
        <w:t>earlier</w:t>
      </w:r>
      <w:r>
        <w:t xml:space="preserve"> cohorts.</w:t>
      </w:r>
      <w:r>
        <w:rPr>
          <w:rStyle w:val="FootnoteReference"/>
        </w:rPr>
        <w:footnoteReference w:id="6"/>
      </w:r>
    </w:p>
    <w:p w14:paraId="096ECFD0" w14:textId="6ED4E849" w:rsidR="007C4D56" w:rsidRDefault="00E970FF" w:rsidP="00947587">
      <w:pPr>
        <w:spacing w:line="360" w:lineRule="auto"/>
        <w:jc w:val="both"/>
      </w:pPr>
      <w:r>
        <w:t>Thus, the related literature suggests that both cohort and seasoning effects could lie behind the observed age-Leave gradient but provides no evidence on their relative importance. It is to this task that we now turn.</w:t>
      </w:r>
      <w:r w:rsidR="007C4D56">
        <w:t xml:space="preserve">  </w:t>
      </w:r>
    </w:p>
    <w:p w14:paraId="7B27278A" w14:textId="77777777" w:rsidR="00EF6969" w:rsidRPr="00EF6969" w:rsidRDefault="00FB31E2" w:rsidP="00055F3D">
      <w:pPr>
        <w:pStyle w:val="Title"/>
        <w:keepNext/>
        <w:jc w:val="both"/>
        <w:rPr>
          <w:sz w:val="32"/>
          <w:szCs w:val="32"/>
        </w:rPr>
      </w:pPr>
      <w:r>
        <w:rPr>
          <w:sz w:val="32"/>
          <w:szCs w:val="32"/>
        </w:rPr>
        <w:lastRenderedPageBreak/>
        <w:t>3</w:t>
      </w:r>
      <w:r w:rsidR="00EF6969" w:rsidRPr="00EF6969">
        <w:rPr>
          <w:sz w:val="32"/>
          <w:szCs w:val="32"/>
        </w:rPr>
        <w:t xml:space="preserve"> Data</w:t>
      </w:r>
    </w:p>
    <w:p w14:paraId="2824D631" w14:textId="4C57998A" w:rsidR="00DB64DF" w:rsidRPr="00B14919" w:rsidRDefault="00DB64DF" w:rsidP="00947587">
      <w:pPr>
        <w:spacing w:line="360" w:lineRule="auto"/>
        <w:jc w:val="both"/>
        <w:rPr>
          <w:lang w:val="en-US"/>
        </w:rPr>
      </w:pPr>
      <w:r w:rsidRPr="00B14919">
        <w:rPr>
          <w:lang w:val="en-US"/>
        </w:rPr>
        <w:t xml:space="preserve">Our </w:t>
      </w:r>
      <w:r w:rsidR="00E970FF" w:rsidRPr="00B14919">
        <w:rPr>
          <w:lang w:val="en-US"/>
        </w:rPr>
        <w:t>principal</w:t>
      </w:r>
      <w:r w:rsidRPr="00B14919">
        <w:rPr>
          <w:lang w:val="en-US"/>
        </w:rPr>
        <w:t xml:space="preserve"> dataset is assemble</w:t>
      </w:r>
      <w:r w:rsidR="00055F3D" w:rsidRPr="00B14919">
        <w:rPr>
          <w:lang w:val="en-US"/>
        </w:rPr>
        <w:t>d</w:t>
      </w:r>
      <w:r w:rsidRPr="00B14919">
        <w:rPr>
          <w:lang w:val="en-US"/>
        </w:rPr>
        <w:t xml:space="preserve"> from </w:t>
      </w:r>
      <w:r w:rsidR="00F07F10" w:rsidRPr="00B14919">
        <w:rPr>
          <w:lang w:val="en-US"/>
        </w:rPr>
        <w:t xml:space="preserve">the </w:t>
      </w:r>
      <w:r w:rsidR="00F07F10" w:rsidRPr="00B14919">
        <w:t>British Election Study (BES</w:t>
      </w:r>
      <w:r w:rsidRPr="00B14919">
        <w:t>)</w:t>
      </w:r>
      <w:r w:rsidR="00F07F10" w:rsidRPr="00B14919">
        <w:rPr>
          <w:lang w:val="en-US"/>
        </w:rPr>
        <w:t>. The BES is a series of partially overlapping panel and repeated cross-section surveys conducted around every UK General Election since 196</w:t>
      </w:r>
      <w:r w:rsidR="00055F3D" w:rsidRPr="00B14919">
        <w:rPr>
          <w:lang w:val="en-US"/>
        </w:rPr>
        <w:t>4</w:t>
      </w:r>
      <w:r w:rsidR="00F07F10" w:rsidRPr="00B14919">
        <w:rPr>
          <w:lang w:val="en-US"/>
        </w:rPr>
        <w:t xml:space="preserve"> </w:t>
      </w:r>
      <w:r w:rsidRPr="00B14919">
        <w:rPr>
          <w:lang w:val="en-US"/>
        </w:rPr>
        <w:t xml:space="preserve">up to an including 2017, </w:t>
      </w:r>
      <w:r w:rsidR="00F07F10" w:rsidRPr="00B14919">
        <w:rPr>
          <w:lang w:val="en-US"/>
        </w:rPr>
        <w:t>a</w:t>
      </w:r>
      <w:r w:rsidR="00732F42" w:rsidRPr="00B14919">
        <w:rPr>
          <w:lang w:val="en-US"/>
        </w:rPr>
        <w:t xml:space="preserve">s well as </w:t>
      </w:r>
      <w:r w:rsidR="00F07F10" w:rsidRPr="00B14919">
        <w:rPr>
          <w:lang w:val="en-US"/>
        </w:rPr>
        <w:t>a</w:t>
      </w:r>
      <w:r w:rsidR="00FC25BE" w:rsidRPr="00B14919">
        <w:rPr>
          <w:lang w:val="en-US"/>
        </w:rPr>
        <w:t xml:space="preserve">t the time of </w:t>
      </w:r>
      <w:r w:rsidR="00F07F10" w:rsidRPr="00B14919">
        <w:rPr>
          <w:lang w:val="en-US"/>
        </w:rPr>
        <w:t xml:space="preserve">the </w:t>
      </w:r>
      <w:r w:rsidR="000D5A7D" w:rsidRPr="00B14919">
        <w:rPr>
          <w:lang w:val="en-US"/>
        </w:rPr>
        <w:t>1975 and 2016 EU</w:t>
      </w:r>
      <w:r w:rsidR="00F07F10" w:rsidRPr="00B14919">
        <w:rPr>
          <w:lang w:val="en-US"/>
        </w:rPr>
        <w:t xml:space="preserve"> referenda</w:t>
      </w:r>
      <w:r w:rsidR="000D5A7D" w:rsidRPr="00B14919">
        <w:rPr>
          <w:lang w:val="en-US"/>
        </w:rPr>
        <w:t>.</w:t>
      </w:r>
      <w:r w:rsidR="00F07F10" w:rsidRPr="00B14919">
        <w:rPr>
          <w:lang w:val="en-US"/>
        </w:rPr>
        <w:t xml:space="preserve"> </w:t>
      </w:r>
      <w:r w:rsidR="001B4236" w:rsidRPr="00B14919">
        <w:rPr>
          <w:lang w:val="en-US"/>
        </w:rPr>
        <w:t xml:space="preserve">The long time </w:t>
      </w:r>
      <w:r w:rsidR="007E3A2F" w:rsidRPr="00B14919">
        <w:rPr>
          <w:lang w:val="en-US"/>
        </w:rPr>
        <w:t>span of the data permits</w:t>
      </w:r>
      <w:r w:rsidR="001B4236" w:rsidRPr="00B14919">
        <w:rPr>
          <w:lang w:val="en-US"/>
        </w:rPr>
        <w:t xml:space="preserve"> us to </w:t>
      </w:r>
      <w:r w:rsidR="00396E99" w:rsidRPr="00B14919">
        <w:rPr>
          <w:lang w:val="en-US"/>
        </w:rPr>
        <w:t xml:space="preserve">observe cohorts ageing </w:t>
      </w:r>
      <w:r w:rsidR="001B4236" w:rsidRPr="00B14919">
        <w:rPr>
          <w:lang w:val="en-US"/>
        </w:rPr>
        <w:t xml:space="preserve">over </w:t>
      </w:r>
      <w:r w:rsidR="00396E99" w:rsidRPr="00B14919">
        <w:rPr>
          <w:lang w:val="en-US"/>
        </w:rPr>
        <w:t>5</w:t>
      </w:r>
      <w:r w:rsidRPr="00B14919">
        <w:rPr>
          <w:lang w:val="en-US"/>
        </w:rPr>
        <w:t>4</w:t>
      </w:r>
      <w:r w:rsidR="00396E99" w:rsidRPr="00B14919">
        <w:rPr>
          <w:lang w:val="en-US"/>
        </w:rPr>
        <w:t xml:space="preserve"> years</w:t>
      </w:r>
      <w:r w:rsidRPr="00B14919">
        <w:rPr>
          <w:lang w:val="en-US"/>
        </w:rPr>
        <w:t>.</w:t>
      </w:r>
      <w:r w:rsidR="00720B64" w:rsidRPr="00B14919">
        <w:rPr>
          <w:lang w:val="en-US"/>
        </w:rPr>
        <w:t xml:space="preserve">  </w:t>
      </w:r>
      <w:r w:rsidR="00720B64" w:rsidRPr="00B14919">
        <w:t>We corroborate our main findings using the British Social Attitudes/European Social Survey</w:t>
      </w:r>
      <w:r w:rsidR="0099067B">
        <w:t xml:space="preserve"> (BSA/ESS)</w:t>
      </w:r>
      <w:r w:rsidR="00720B64" w:rsidRPr="00B14919">
        <w:t xml:space="preserve">, </w:t>
      </w:r>
      <w:r w:rsidR="003F0111" w:rsidRPr="00B14919">
        <w:t xml:space="preserve">as </w:t>
      </w:r>
      <w:r w:rsidR="00720B64" w:rsidRPr="00B14919">
        <w:t>detailed in an appendix.</w:t>
      </w:r>
    </w:p>
    <w:p w14:paraId="108789F1" w14:textId="243EFB91" w:rsidR="00EA07CC" w:rsidRDefault="00DF54D4" w:rsidP="00947587">
      <w:pPr>
        <w:spacing w:line="360" w:lineRule="auto"/>
        <w:jc w:val="both"/>
        <w:rPr>
          <w:lang w:val="en-US"/>
        </w:rPr>
      </w:pPr>
      <w:r>
        <w:rPr>
          <w:lang w:val="en-US"/>
        </w:rPr>
        <w:t>S</w:t>
      </w:r>
      <w:r w:rsidR="00935870">
        <w:rPr>
          <w:lang w:val="en-US"/>
        </w:rPr>
        <w:t>urvey responses</w:t>
      </w:r>
      <w:r w:rsidR="00F07F10" w:rsidRPr="00EF6969">
        <w:rPr>
          <w:lang w:val="en-US"/>
        </w:rPr>
        <w:t xml:space="preserve"> </w:t>
      </w:r>
      <w:r w:rsidR="00F55487">
        <w:rPr>
          <w:lang w:val="en-US"/>
        </w:rPr>
        <w:t>include</w:t>
      </w:r>
      <w:r w:rsidR="00F07F10" w:rsidRPr="00EF6969">
        <w:rPr>
          <w:lang w:val="en-US"/>
        </w:rPr>
        <w:t xml:space="preserve"> information on the religion, class, age and educational background of respondents, </w:t>
      </w:r>
      <w:r w:rsidR="00935870">
        <w:rPr>
          <w:lang w:val="en-US"/>
        </w:rPr>
        <w:t>together</w:t>
      </w:r>
      <w:r w:rsidR="00F07F10">
        <w:rPr>
          <w:lang w:val="en-US"/>
        </w:rPr>
        <w:t xml:space="preserve"> with</w:t>
      </w:r>
      <w:r w:rsidR="00F07F10" w:rsidRPr="00EF6969">
        <w:rPr>
          <w:lang w:val="en-US"/>
        </w:rPr>
        <w:t xml:space="preserve"> </w:t>
      </w:r>
      <w:r w:rsidR="00F07F10">
        <w:rPr>
          <w:lang w:val="en-US"/>
        </w:rPr>
        <w:t xml:space="preserve">answers to a </w:t>
      </w:r>
      <w:r w:rsidR="00F07F10" w:rsidRPr="00EF6969">
        <w:rPr>
          <w:lang w:val="en-US"/>
        </w:rPr>
        <w:t xml:space="preserve">varying list of </w:t>
      </w:r>
      <w:r>
        <w:rPr>
          <w:lang w:val="en-US"/>
        </w:rPr>
        <w:t xml:space="preserve">attitudinal </w:t>
      </w:r>
      <w:r w:rsidR="00F07F10" w:rsidRPr="00EF6969">
        <w:rPr>
          <w:lang w:val="en-US"/>
        </w:rPr>
        <w:t xml:space="preserve">questions. </w:t>
      </w:r>
      <w:r w:rsidR="00E970FF">
        <w:rPr>
          <w:lang w:val="en-US"/>
        </w:rPr>
        <w:t>Usefully for our purposes, in each round e</w:t>
      </w:r>
      <w:r w:rsidR="000D5A7D">
        <w:rPr>
          <w:lang w:val="en-US"/>
        </w:rPr>
        <w:t xml:space="preserve">xcept 1979 </w:t>
      </w:r>
      <w:r w:rsidR="00F07F10" w:rsidRPr="00EF6969">
        <w:rPr>
          <w:lang w:val="en-US"/>
        </w:rPr>
        <w:t>BES respondents were asked whether the UK should become or remain a member of the EU and its antecedents</w:t>
      </w:r>
      <w:r w:rsidR="00A56062">
        <w:rPr>
          <w:lang w:val="en-US"/>
        </w:rPr>
        <w:t>.</w:t>
      </w:r>
      <w:r w:rsidR="007748F3">
        <w:rPr>
          <w:rStyle w:val="FootnoteReference"/>
          <w:lang w:val="en-US"/>
        </w:rPr>
        <w:footnoteReference w:id="7"/>
      </w:r>
      <w:r w:rsidR="00051638">
        <w:rPr>
          <w:lang w:val="en-US"/>
        </w:rPr>
        <w:t xml:space="preserve"> </w:t>
      </w:r>
      <w:r w:rsidR="00F07F10" w:rsidRPr="00EF6969">
        <w:rPr>
          <w:lang w:val="en-US"/>
        </w:rPr>
        <w:t>We use th</w:t>
      </w:r>
      <w:r w:rsidR="00051638">
        <w:rPr>
          <w:lang w:val="en-US"/>
        </w:rPr>
        <w:t>e</w:t>
      </w:r>
      <w:r w:rsidR="009861C4">
        <w:rPr>
          <w:lang w:val="en-US"/>
        </w:rPr>
        <w:t xml:space="preserve">se </w:t>
      </w:r>
      <w:r w:rsidR="00051638">
        <w:rPr>
          <w:lang w:val="en-US"/>
        </w:rPr>
        <w:t>responses</w:t>
      </w:r>
      <w:r w:rsidR="00F07F10">
        <w:rPr>
          <w:lang w:val="en-US"/>
        </w:rPr>
        <w:t xml:space="preserve"> </w:t>
      </w:r>
      <w:r w:rsidR="00F07F10" w:rsidRPr="00EF6969">
        <w:rPr>
          <w:lang w:val="en-US"/>
        </w:rPr>
        <w:t>to code a variable representing the respondent's preference for being part of the EU</w:t>
      </w:r>
      <w:r w:rsidR="00DB64DF">
        <w:rPr>
          <w:lang w:val="en-US"/>
        </w:rPr>
        <w:t xml:space="preserve">, </w:t>
      </w:r>
      <w:r w:rsidR="00A56062">
        <w:rPr>
          <w:lang w:val="en-US"/>
        </w:rPr>
        <w:t>giving us</w:t>
      </w:r>
      <w:r w:rsidR="00633CBE">
        <w:rPr>
          <w:lang w:val="en-US"/>
        </w:rPr>
        <w:t xml:space="preserve"> </w:t>
      </w:r>
      <w:r w:rsidR="00F07F10">
        <w:rPr>
          <w:lang w:val="en-US"/>
        </w:rPr>
        <w:t xml:space="preserve">a total of </w:t>
      </w:r>
      <w:r w:rsidR="00633098">
        <w:rPr>
          <w:lang w:val="en-US"/>
        </w:rPr>
        <w:t>115</w:t>
      </w:r>
      <w:r>
        <w:rPr>
          <w:lang w:val="en-US"/>
        </w:rPr>
        <w:t>,</w:t>
      </w:r>
      <w:r w:rsidR="00633098">
        <w:rPr>
          <w:lang w:val="en-US"/>
        </w:rPr>
        <w:t>134</w:t>
      </w:r>
      <w:r w:rsidR="00F07F10">
        <w:rPr>
          <w:lang w:val="en-US"/>
        </w:rPr>
        <w:t xml:space="preserve"> </w:t>
      </w:r>
      <w:r w:rsidR="00633CBE">
        <w:rPr>
          <w:lang w:val="en-US"/>
        </w:rPr>
        <w:t>observations</w:t>
      </w:r>
      <w:r w:rsidR="00DB64DF">
        <w:rPr>
          <w:lang w:val="en-US"/>
        </w:rPr>
        <w:t>.</w:t>
      </w:r>
      <w:r w:rsidR="00C35B7F">
        <w:rPr>
          <w:lang w:val="en-US"/>
        </w:rPr>
        <w:t xml:space="preserve"> </w:t>
      </w:r>
      <w:r w:rsidR="00A56062">
        <w:rPr>
          <w:lang w:val="en-US"/>
        </w:rPr>
        <w:t>Our dependent variable is bounded b</w:t>
      </w:r>
      <w:r w:rsidR="009861C4">
        <w:rPr>
          <w:lang w:val="en-US"/>
        </w:rPr>
        <w:t>y</w:t>
      </w:r>
      <w:r w:rsidR="00A56062">
        <w:rPr>
          <w:lang w:val="en-US"/>
        </w:rPr>
        <w:t xml:space="preserve"> zero and one.  </w:t>
      </w:r>
    </w:p>
    <w:p w14:paraId="5D9EBFD4" w14:textId="5701B3FE" w:rsidR="00B14919" w:rsidRDefault="000360D1" w:rsidP="00947587">
      <w:pPr>
        <w:spacing w:line="360" w:lineRule="auto"/>
        <w:jc w:val="both"/>
        <w:rPr>
          <w:lang w:val="en-US"/>
        </w:rPr>
      </w:pPr>
      <w:r>
        <w:rPr>
          <w:lang w:val="en-US"/>
        </w:rPr>
        <w:t>T</w:t>
      </w:r>
      <w:r w:rsidR="00C35B7F">
        <w:rPr>
          <w:lang w:val="en-US"/>
        </w:rPr>
        <w:t xml:space="preserve">he </w:t>
      </w:r>
      <w:r w:rsidR="00A56062">
        <w:rPr>
          <w:lang w:val="en-US"/>
        </w:rPr>
        <w:t xml:space="preserve">precise </w:t>
      </w:r>
      <w:r w:rsidR="00C35B7F">
        <w:rPr>
          <w:lang w:val="en-US"/>
        </w:rPr>
        <w:t xml:space="preserve">question </w:t>
      </w:r>
      <w:r w:rsidR="00A56062">
        <w:rPr>
          <w:lang w:val="en-US"/>
        </w:rPr>
        <w:t xml:space="preserve">posed </w:t>
      </w:r>
      <w:r w:rsidR="00C35B7F">
        <w:rPr>
          <w:lang w:val="en-US"/>
        </w:rPr>
        <w:t>varies from year to year</w:t>
      </w:r>
      <w:r w:rsidR="00EA07CC">
        <w:rPr>
          <w:lang w:val="en-US"/>
        </w:rPr>
        <w:t>, although it was always</w:t>
      </w:r>
      <w:r w:rsidR="00C35B7F">
        <w:rPr>
          <w:lang w:val="en-US"/>
        </w:rPr>
        <w:t xml:space="preserve"> something </w:t>
      </w:r>
      <w:r w:rsidR="00E970FF">
        <w:rPr>
          <w:lang w:val="en-US"/>
        </w:rPr>
        <w:t>along the lines of</w:t>
      </w:r>
      <w:r w:rsidR="00C35B7F">
        <w:rPr>
          <w:lang w:val="en-US"/>
        </w:rPr>
        <w:t xml:space="preserve"> ‘Do you think the UK should join/remain in the Common Market/European Community/European Union</w:t>
      </w:r>
      <w:r w:rsidR="003F0111">
        <w:rPr>
          <w:lang w:val="en-US"/>
        </w:rPr>
        <w:t>?</w:t>
      </w:r>
      <w:r w:rsidR="00C35B7F">
        <w:rPr>
          <w:lang w:val="en-US"/>
        </w:rPr>
        <w:t>’</w:t>
      </w:r>
      <w:r w:rsidR="00B14919">
        <w:rPr>
          <w:lang w:val="en-US"/>
        </w:rPr>
        <w:t xml:space="preserve"> </w:t>
      </w:r>
      <w:r w:rsidR="00EA07CC">
        <w:rPr>
          <w:lang w:val="en-US"/>
        </w:rPr>
        <w:t>S</w:t>
      </w:r>
      <w:r w:rsidR="009861C4">
        <w:rPr>
          <w:lang w:val="en-US"/>
        </w:rPr>
        <w:t>ome</w:t>
      </w:r>
      <w:r w:rsidR="00EA07CC">
        <w:rPr>
          <w:lang w:val="en-US"/>
        </w:rPr>
        <w:t xml:space="preserve"> change is unavoidable, since t</w:t>
      </w:r>
      <w:r w:rsidR="00B14919">
        <w:rPr>
          <w:lang w:val="en-US"/>
        </w:rPr>
        <w:t>he nature of the EU and its pre</w:t>
      </w:r>
      <w:r w:rsidR="00EA07CC">
        <w:rPr>
          <w:lang w:val="en-US"/>
        </w:rPr>
        <w:t>decessors</w:t>
      </w:r>
      <w:r w:rsidR="00B14919">
        <w:rPr>
          <w:lang w:val="en-US"/>
        </w:rPr>
        <w:t xml:space="preserve"> </w:t>
      </w:r>
      <w:r w:rsidR="009861C4">
        <w:rPr>
          <w:lang w:val="en-US"/>
        </w:rPr>
        <w:t xml:space="preserve">itself </w:t>
      </w:r>
      <w:r w:rsidR="00B14919">
        <w:rPr>
          <w:lang w:val="en-US"/>
        </w:rPr>
        <w:t>changed over the 54-year period covered by the data</w:t>
      </w:r>
      <w:r w:rsidR="008826DD">
        <w:rPr>
          <w:lang w:val="en-US"/>
        </w:rPr>
        <w:t xml:space="preserve">. Furthermore, </w:t>
      </w:r>
      <w:r w:rsidR="00B14919">
        <w:rPr>
          <w:lang w:val="en-US"/>
        </w:rPr>
        <w:t xml:space="preserve">not wanting to join </w:t>
      </w:r>
      <w:r w:rsidR="008826DD">
        <w:rPr>
          <w:lang w:val="en-US"/>
        </w:rPr>
        <w:t xml:space="preserve">(the meaning of a zero until the 1974 survey) </w:t>
      </w:r>
      <w:r w:rsidR="00B14919">
        <w:rPr>
          <w:lang w:val="en-US"/>
        </w:rPr>
        <w:t xml:space="preserve">is not the </w:t>
      </w:r>
      <w:r w:rsidR="00EA07CC">
        <w:rPr>
          <w:lang w:val="en-US"/>
        </w:rPr>
        <w:t xml:space="preserve">exactly </w:t>
      </w:r>
      <w:r w:rsidR="00B14919">
        <w:rPr>
          <w:lang w:val="en-US"/>
        </w:rPr>
        <w:t>same as wanting to leave</w:t>
      </w:r>
      <w:r w:rsidR="008826DD">
        <w:rPr>
          <w:lang w:val="en-US"/>
        </w:rPr>
        <w:t xml:space="preserve"> (from 1974 onwards). </w:t>
      </w:r>
      <w:r w:rsidR="008826DD" w:rsidRPr="009C38FB">
        <w:rPr>
          <w:lang w:val="en-US"/>
        </w:rPr>
        <w:t xml:space="preserve">These changes in the question are likely to affect </w:t>
      </w:r>
      <w:r w:rsidR="009C38FB">
        <w:rPr>
          <w:lang w:val="en-US"/>
        </w:rPr>
        <w:t xml:space="preserve">the direct comparability </w:t>
      </w:r>
      <w:r w:rsidR="009861C4">
        <w:rPr>
          <w:lang w:val="en-US"/>
        </w:rPr>
        <w:t>over</w:t>
      </w:r>
      <w:r w:rsidR="009C38FB">
        <w:rPr>
          <w:lang w:val="en-US"/>
        </w:rPr>
        <w:t xml:space="preserve"> time of </w:t>
      </w:r>
      <w:r w:rsidR="008826DD" w:rsidRPr="009C38FB">
        <w:rPr>
          <w:lang w:val="en-US"/>
        </w:rPr>
        <w:t xml:space="preserve">our estimates of the time effect, </w:t>
      </w:r>
      <w:r w:rsidR="009C38FB">
        <w:rPr>
          <w:lang w:val="en-US"/>
        </w:rPr>
        <w:t>as at different points in time being pro-European might mean being in favor of a higher or lower degree of European integration</w:t>
      </w:r>
      <w:r w:rsidR="008826DD" w:rsidRPr="009C38FB">
        <w:rPr>
          <w:lang w:val="en-US"/>
        </w:rPr>
        <w:t>.</w:t>
      </w:r>
      <w:r w:rsidR="00EA07CC" w:rsidRPr="009C38FB">
        <w:rPr>
          <w:rStyle w:val="FootnoteReference"/>
          <w:lang w:val="en-US"/>
        </w:rPr>
        <w:footnoteReference w:id="8"/>
      </w:r>
      <w:r w:rsidR="008826DD">
        <w:rPr>
          <w:lang w:val="en-US"/>
        </w:rPr>
        <w:t xml:space="preserve"> </w:t>
      </w:r>
    </w:p>
    <w:p w14:paraId="4CD72FDC" w14:textId="09BB5C5B" w:rsidR="003158D8" w:rsidRDefault="00633CBE" w:rsidP="00947587">
      <w:pPr>
        <w:spacing w:line="360" w:lineRule="auto"/>
        <w:jc w:val="both"/>
        <w:rPr>
          <w:lang w:val="en-US"/>
        </w:rPr>
      </w:pPr>
      <w:r>
        <w:rPr>
          <w:lang w:val="en-US"/>
        </w:rPr>
        <w:t>We truncate our data below age 18 and above 80</w:t>
      </w:r>
      <w:r w:rsidR="00426630">
        <w:rPr>
          <w:lang w:val="en-US"/>
        </w:rPr>
        <w:t xml:space="preserve">, </w:t>
      </w:r>
      <w:r w:rsidR="00EA07CC">
        <w:rPr>
          <w:lang w:val="en-US"/>
        </w:rPr>
        <w:t>where we have relatively few observations</w:t>
      </w:r>
      <w:r>
        <w:rPr>
          <w:lang w:val="en-US"/>
        </w:rPr>
        <w:t xml:space="preserve">. </w:t>
      </w:r>
      <w:r w:rsidR="00F07F10">
        <w:rPr>
          <w:lang w:val="en-US"/>
        </w:rPr>
        <w:t>Education</w:t>
      </w:r>
      <w:r w:rsidR="00F07F10" w:rsidRPr="008E2BB5">
        <w:rPr>
          <w:lang w:val="en-US"/>
        </w:rPr>
        <w:t xml:space="preserve"> is </w:t>
      </w:r>
      <w:proofErr w:type="spellStart"/>
      <w:r w:rsidR="00F07F10" w:rsidRPr="008E2BB5">
        <w:rPr>
          <w:lang w:val="en-US"/>
        </w:rPr>
        <w:t>proxied</w:t>
      </w:r>
      <w:proofErr w:type="spellEnd"/>
      <w:r w:rsidR="00F07F10" w:rsidRPr="008E2BB5">
        <w:rPr>
          <w:lang w:val="en-US"/>
        </w:rPr>
        <w:t xml:space="preserve"> by the age at which the respondent left full time </w:t>
      </w:r>
      <w:r w:rsidR="00F07F10">
        <w:rPr>
          <w:lang w:val="en-US"/>
        </w:rPr>
        <w:t>school</w:t>
      </w:r>
      <w:r w:rsidR="00935870">
        <w:rPr>
          <w:lang w:val="en-US"/>
        </w:rPr>
        <w:t xml:space="preserve"> </w:t>
      </w:r>
      <w:r w:rsidR="00F07F10" w:rsidRPr="008E2BB5">
        <w:rPr>
          <w:lang w:val="en-US"/>
        </w:rPr>
        <w:t>minus 5 or the number of years of full time education</w:t>
      </w:r>
      <w:r w:rsidR="00DF54D4">
        <w:rPr>
          <w:lang w:val="en-US"/>
        </w:rPr>
        <w:t xml:space="preserve">, </w:t>
      </w:r>
      <w:r w:rsidR="00F07F10">
        <w:rPr>
          <w:lang w:val="en-US"/>
        </w:rPr>
        <w:t xml:space="preserve">depending on </w:t>
      </w:r>
      <w:r w:rsidR="00F07F10" w:rsidRPr="008E2BB5">
        <w:rPr>
          <w:lang w:val="en-US"/>
        </w:rPr>
        <w:t xml:space="preserve">whether </w:t>
      </w:r>
      <w:r w:rsidR="00051638">
        <w:rPr>
          <w:lang w:val="en-US"/>
        </w:rPr>
        <w:t xml:space="preserve">or not </w:t>
      </w:r>
      <w:r w:rsidR="00F07F10" w:rsidRPr="008E2BB5">
        <w:rPr>
          <w:lang w:val="en-US"/>
        </w:rPr>
        <w:t xml:space="preserve">the individual has </w:t>
      </w:r>
      <w:r w:rsidR="00F07F10">
        <w:rPr>
          <w:lang w:val="en-US"/>
        </w:rPr>
        <w:t>completed his</w:t>
      </w:r>
      <w:r w:rsidR="00DF54D4">
        <w:rPr>
          <w:lang w:val="en-US"/>
        </w:rPr>
        <w:t xml:space="preserve"> studies</w:t>
      </w:r>
      <w:r w:rsidR="00F07F10" w:rsidRPr="008E2BB5">
        <w:rPr>
          <w:lang w:val="en-US"/>
        </w:rPr>
        <w:t>.</w:t>
      </w:r>
      <w:r w:rsidR="00811768">
        <w:rPr>
          <w:rStyle w:val="FootnoteReference"/>
          <w:lang w:val="en-US"/>
        </w:rPr>
        <w:footnoteReference w:id="9"/>
      </w:r>
      <w:r w:rsidR="00F07F10" w:rsidRPr="008E2BB5">
        <w:rPr>
          <w:lang w:val="en-US"/>
        </w:rPr>
        <w:t xml:space="preserve"> </w:t>
      </w:r>
      <w:r w:rsidR="00EA07CC">
        <w:rPr>
          <w:lang w:val="en-US"/>
        </w:rPr>
        <w:t>W</w:t>
      </w:r>
      <w:r w:rsidR="004A4EB9">
        <w:rPr>
          <w:lang w:val="en-US"/>
        </w:rPr>
        <w:t xml:space="preserve">e use ONS annual population composition data and forecasts to construct contributions to past and future </w:t>
      </w:r>
      <w:r w:rsidR="003A3D67">
        <w:rPr>
          <w:lang w:val="en-US"/>
        </w:rPr>
        <w:t>average sentiment</w:t>
      </w:r>
      <w:r w:rsidR="003F0111">
        <w:rPr>
          <w:lang w:val="en-US"/>
        </w:rPr>
        <w:t>.</w:t>
      </w:r>
    </w:p>
    <w:p w14:paraId="7653EBA7" w14:textId="77777777" w:rsidR="00186237" w:rsidRPr="00CC24CA" w:rsidRDefault="007748F3" w:rsidP="00947587">
      <w:pPr>
        <w:pStyle w:val="Title"/>
        <w:jc w:val="both"/>
        <w:rPr>
          <w:sz w:val="32"/>
          <w:szCs w:val="32"/>
          <w:lang w:val="en-US"/>
        </w:rPr>
      </w:pPr>
      <w:r>
        <w:rPr>
          <w:sz w:val="32"/>
          <w:szCs w:val="32"/>
          <w:lang w:val="en-US"/>
        </w:rPr>
        <w:lastRenderedPageBreak/>
        <w:t xml:space="preserve">3 </w:t>
      </w:r>
      <w:r w:rsidR="004F0148">
        <w:rPr>
          <w:sz w:val="32"/>
          <w:szCs w:val="32"/>
          <w:lang w:val="en-US"/>
        </w:rPr>
        <w:t xml:space="preserve">Estimating </w:t>
      </w:r>
      <w:r w:rsidR="00055F3D">
        <w:rPr>
          <w:sz w:val="32"/>
          <w:szCs w:val="32"/>
          <w:lang w:val="en-US"/>
        </w:rPr>
        <w:t>APC effects</w:t>
      </w:r>
    </w:p>
    <w:p w14:paraId="0C84529E" w14:textId="139E0409" w:rsidR="009C5F91" w:rsidRDefault="009C5F91" w:rsidP="009C5F91">
      <w:pPr>
        <w:spacing w:line="360" w:lineRule="auto"/>
        <w:jc w:val="both"/>
      </w:pPr>
      <w:r>
        <w:t xml:space="preserve">We model the </w:t>
      </w:r>
      <w:r w:rsidR="009C7E9A">
        <w:t>pro-</w:t>
      </w:r>
      <w:r>
        <w:t xml:space="preserve">European sentiment of individual </w:t>
      </w:r>
      <w:proofErr w:type="spellStart"/>
      <w:r w:rsidRPr="00D6580A">
        <w:rPr>
          <w:i/>
        </w:rPr>
        <w:t>i</w:t>
      </w:r>
      <w:proofErr w:type="spellEnd"/>
      <w:r>
        <w:t xml:space="preserve"> born in year </w:t>
      </w:r>
      <w:r w:rsidRPr="00D6580A">
        <w:rPr>
          <w:i/>
        </w:rPr>
        <w:t>t</w:t>
      </w:r>
      <w:r>
        <w:t xml:space="preserve"> (</w:t>
      </w:r>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oMath>
      <w:r>
        <w:t xml:space="preserve"> </w:t>
      </w:r>
      <w:r w:rsidR="00E02F9D">
        <w:t>as the linear sum of an age or seasoning</w:t>
      </w:r>
      <w:r>
        <w:t xml:space="preserve"> </w:t>
      </w:r>
      <w:proofErr w:type="gramStart"/>
      <w:r>
        <w:t xml:space="preserve">effect </w:t>
      </w:r>
      <w:proofErr w:type="gramEnd"/>
      <m:oMath>
        <m:sSub>
          <m:sSubPr>
            <m:ctrlPr>
              <w:rPr>
                <w:rFonts w:ascii="Cambria Math" w:hAnsi="Cambria Math"/>
                <w:i/>
              </w:rPr>
            </m:ctrlPr>
          </m:sSubPr>
          <m:e>
            <m:r>
              <w:rPr>
                <w:rFonts w:ascii="Cambria Math" w:hAnsi="Cambria Math"/>
              </w:rPr>
              <m:t>a</m:t>
            </m:r>
          </m:e>
          <m:sub>
            <m:r>
              <w:rPr>
                <w:rFonts w:ascii="Cambria Math" w:hAnsi="Cambria Math"/>
              </w:rPr>
              <m:t>t-i</m:t>
            </m:r>
          </m:sub>
        </m:sSub>
      </m:oMath>
      <w:r>
        <w:t xml:space="preserve">, </w:t>
      </w:r>
      <w:r w:rsidR="009C7E9A">
        <w:t xml:space="preserve">a </w:t>
      </w:r>
      <w:r>
        <w:t xml:space="preserve">period </w:t>
      </w:r>
      <w:r w:rsidR="009C7E9A">
        <w:t xml:space="preserve">effect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rsidR="009C7E9A">
        <w:rPr>
          <w:rFonts w:eastAsiaTheme="minorEastAsia"/>
        </w:rPr>
        <w:t xml:space="preserve"> </w:t>
      </w:r>
      <w:r>
        <w:t xml:space="preserve">and cohort effects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w:t>
      </w:r>
    </w:p>
    <w:p w14:paraId="4B622F12" w14:textId="77777777" w:rsidR="009C5F91" w:rsidRPr="008C4D5F" w:rsidRDefault="009C5F91" w:rsidP="00947587">
      <w:pPr>
        <w:spacing w:line="360" w:lineRule="auto"/>
        <w:ind w:firstLine="720"/>
        <w:jc w:val="both"/>
      </w:pPr>
      <w:r>
        <w:t xml:space="preserve"> </w:t>
      </w:r>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t-i</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ϵ</m:t>
            </m:r>
          </m:e>
          <m:sub>
            <m:r>
              <w:rPr>
                <w:rFonts w:ascii="Cambria Math" w:hAnsi="Cambria Math"/>
              </w:rPr>
              <m:t>it</m:t>
            </m:r>
          </m:sub>
        </m:sSub>
      </m:oMath>
      <w:r>
        <w:rPr>
          <w:rFonts w:eastAsiaTheme="minorEastAsia"/>
        </w:rPr>
        <w:t xml:space="preserve">   (1.1)</w:t>
      </w:r>
    </w:p>
    <w:p w14:paraId="10B49DCF" w14:textId="5D5A1D4C" w:rsidR="004A4EB9" w:rsidRDefault="009C5F91" w:rsidP="00947587">
      <w:pPr>
        <w:spacing w:line="360" w:lineRule="auto"/>
        <w:jc w:val="both"/>
      </w:pPr>
      <w:r>
        <w:t xml:space="preserve">where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sidRPr="008C4D5F">
        <w:t xml:space="preserve"> is the response variable of interest (</w:t>
      </w:r>
      <w:r w:rsidR="00E02F9D">
        <w:t>our</w:t>
      </w:r>
      <w:r w:rsidRPr="008C4D5F">
        <w:t xml:space="preserve"> indicator of</w:t>
      </w:r>
      <w:r>
        <w:t xml:space="preserve"> pro-Europeanism) of </w:t>
      </w:r>
      <w:r w:rsidRPr="008C4D5F">
        <w:t>individual or cohor</w:t>
      </w:r>
      <w:r>
        <w:t xml:space="preserve">t </w:t>
      </w:r>
      <m:oMath>
        <m:r>
          <w:rPr>
            <w:rFonts w:ascii="Cambria Math" w:hAnsi="Cambria Math"/>
          </w:rPr>
          <m:t>i</m:t>
        </m:r>
      </m:oMath>
      <w:r>
        <w:rPr>
          <w:rFonts w:eastAsiaTheme="minorEastAsia"/>
        </w:rPr>
        <w:t xml:space="preserve"> </w:t>
      </w:r>
      <w:r>
        <w:t xml:space="preserve">at time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is a cohort eff</w:t>
      </w:r>
      <w:r w:rsidRPr="008C4D5F">
        <w:t>ect</w:t>
      </w:r>
      <w:r>
        <w:t xml:space="preserve"> </w:t>
      </w:r>
      <w:r w:rsidRPr="008C4D5F">
        <w:t>speci</w:t>
      </w:r>
      <w:r>
        <w:t>fi</w:t>
      </w:r>
      <w:r w:rsidRPr="008C4D5F">
        <w:t>c to individual</w:t>
      </w:r>
      <w:r>
        <w:t xml:space="preserve">s in cohort with date of birth </w:t>
      </w:r>
      <m:oMath>
        <m:r>
          <w:rPr>
            <w:rFonts w:ascii="Cambria Math" w:hAnsi="Cambria Math"/>
          </w:rPr>
          <m:t>i</m:t>
        </m:r>
      </m:oMath>
      <w:r w:rsidRPr="008C4D5F">
        <w:t>,</w:t>
      </w:r>
      <m:oMath>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t-i</m:t>
            </m:r>
          </m:sub>
        </m:sSub>
      </m:oMath>
      <w:r w:rsidRPr="008C4D5F">
        <w:t xml:space="preserve"> </w:t>
      </w:r>
      <w:r>
        <w:t>is a seasoning eff</w:t>
      </w:r>
      <w:r w:rsidRPr="008C4D5F">
        <w:t>ect</w:t>
      </w:r>
      <w:r>
        <w:t xml:space="preserve"> </w:t>
      </w:r>
      <w:r w:rsidRPr="008C4D5F">
        <w:t>associated with cohort</w:t>
      </w:r>
      <w:r>
        <w:t xml:space="preserve"> </w:t>
      </w:r>
      <m:oMath>
        <m:r>
          <w:rPr>
            <w:rFonts w:ascii="Cambria Math" w:hAnsi="Cambria Math"/>
          </w:rPr>
          <m:t>i</m:t>
        </m:r>
      </m:oMath>
      <w:r>
        <w:t xml:space="preserve"> </w:t>
      </w:r>
      <w:r w:rsidRPr="009272F4">
        <w:t xml:space="preserve">being </w:t>
      </w:r>
      <m:oMath>
        <m:r>
          <w:rPr>
            <w:rFonts w:ascii="Cambria Math" w:hAnsi="Cambria Math"/>
          </w:rPr>
          <m:t>t-i</m:t>
        </m:r>
      </m:oMath>
      <w:r w:rsidRPr="008C4D5F">
        <w:t xml:space="preserve"> year</w:t>
      </w:r>
      <w:r>
        <w:t xml:space="preserve">s old in year </w:t>
      </w:r>
      <m:oMath>
        <m:r>
          <w:rPr>
            <w:rFonts w:ascii="Cambria Math" w:hAnsi="Cambria Math"/>
          </w:rPr>
          <m:t>t</m:t>
        </m:r>
      </m:oMath>
      <w:r>
        <w:t xml:space="preserve">, </w:t>
      </w:r>
      <m:oMath>
        <m:sSub>
          <m:sSubPr>
            <m:ctrlPr>
              <w:rPr>
                <w:rFonts w:ascii="Cambria Math" w:hAnsi="Cambria Math"/>
                <w:i/>
              </w:rPr>
            </m:ctrlPr>
          </m:sSubPr>
          <m:e>
            <m:r>
              <w:rPr>
                <w:rFonts w:ascii="Cambria Math" w:hAnsi="Cambria Math"/>
              </w:rPr>
              <m:t>τ</m:t>
            </m:r>
          </m:e>
          <m:sub>
            <m:r>
              <w:rPr>
                <w:rFonts w:ascii="Cambria Math" w:hAnsi="Cambria Math"/>
              </w:rPr>
              <m:t>t</m:t>
            </m:r>
          </m:sub>
        </m:sSub>
      </m:oMath>
      <w:r>
        <w:rPr>
          <w:rFonts w:eastAsiaTheme="minorEastAsia"/>
        </w:rPr>
        <w:t xml:space="preserve"> </w:t>
      </w:r>
      <w:r>
        <w:t>is a time eff</w:t>
      </w:r>
      <w:r w:rsidRPr="008C4D5F">
        <w:t>ect</w:t>
      </w:r>
      <w:r>
        <w:t xml:space="preserve"> </w:t>
      </w:r>
      <w:r w:rsidRPr="008C4D5F">
        <w:t>common to all individuals in the sample at time</w:t>
      </w:r>
      <m:oMath>
        <m:r>
          <w:rPr>
            <w:rFonts w:ascii="Cambria Math" w:hAnsi="Cambria Math"/>
          </w:rPr>
          <m:t xml:space="preserve"> t</m:t>
        </m:r>
      </m:oMath>
      <w:r w:rsidR="003F0111">
        <w:t xml:space="preserve">, </w:t>
      </w:r>
      <w:r w:rsidRPr="008C4D5F">
        <w:t xml:space="preserve">and </w:t>
      </w:r>
      <m:oMath>
        <m:sSub>
          <m:sSubPr>
            <m:ctrlPr>
              <w:rPr>
                <w:rFonts w:ascii="Cambria Math" w:hAnsi="Cambria Math"/>
                <w:i/>
              </w:rPr>
            </m:ctrlPr>
          </m:sSubPr>
          <m:e>
            <m:r>
              <w:rPr>
                <w:rFonts w:ascii="Cambria Math" w:hAnsi="Cambria Math"/>
              </w:rPr>
              <m:t>ϵ</m:t>
            </m:r>
          </m:e>
          <m:sub>
            <m:r>
              <w:rPr>
                <w:rFonts w:ascii="Cambria Math" w:hAnsi="Cambria Math"/>
              </w:rPr>
              <m:t>it</m:t>
            </m:r>
          </m:sub>
        </m:sSub>
      </m:oMath>
      <w:r>
        <w:rPr>
          <w:rFonts w:eastAsiaTheme="minorEastAsia"/>
        </w:rPr>
        <w:t xml:space="preserve"> </w:t>
      </w:r>
      <w:r w:rsidRPr="008C4D5F">
        <w:t>is an idiosyncratic</w:t>
      </w:r>
      <w:r>
        <w:t xml:space="preserve"> </w:t>
      </w:r>
      <w:r w:rsidRPr="008C4D5F">
        <w:t>error.</w:t>
      </w:r>
      <w:r w:rsidR="009C7E9A">
        <w:t xml:space="preserve"> </w:t>
      </w:r>
    </w:p>
    <w:p w14:paraId="7C16C09F" w14:textId="25849D02" w:rsidR="003C6526" w:rsidRDefault="0035112A" w:rsidP="00947587">
      <w:pPr>
        <w:spacing w:line="360" w:lineRule="auto"/>
        <w:jc w:val="both"/>
      </w:pPr>
      <w:r>
        <w:t>N</w:t>
      </w:r>
      <w:r w:rsidR="009C5F91" w:rsidRPr="008C4D5F">
        <w:t xml:space="preserve">o restriction </w:t>
      </w:r>
      <w:r w:rsidR="003F0111">
        <w:t xml:space="preserve">is </w:t>
      </w:r>
      <w:r w:rsidR="00E02F9D">
        <w:t>plac</w:t>
      </w:r>
      <w:r w:rsidR="003F0111">
        <w:t xml:space="preserve">ed </w:t>
      </w:r>
      <w:r w:rsidR="009C5F91" w:rsidRPr="008C4D5F">
        <w:t xml:space="preserve">on the shape </w:t>
      </w:r>
      <w:r w:rsidR="009C5F91">
        <w:t>of</w:t>
      </w:r>
      <m:oMath>
        <m:r>
          <w:rPr>
            <w:rFonts w:ascii="Cambria Math" w:hAnsi="Cambria Math"/>
          </w:rPr>
          <m:t xml:space="preserve"> </m:t>
        </m:r>
        <m:d>
          <m:dPr>
            <m:begChr m:val="{"/>
            <m:endChr m:val="}"/>
            <m:ctrlPr>
              <w:rPr>
                <w:rFonts w:ascii="Cambria Math" w:hAnsi="Cambria Math"/>
                <w:i/>
              </w:rPr>
            </m:ctrlPr>
          </m:dPr>
          <m:e>
            <m:r>
              <w:rPr>
                <w:rFonts w:ascii="Cambria Math" w:hAnsi="Cambria Math"/>
              </w:rPr>
              <m:t>c,a,τ</m:t>
            </m:r>
          </m:e>
        </m:d>
      </m:oMath>
      <w:r w:rsidR="009C5F91" w:rsidRPr="008C4D5F">
        <w:t>. However,</w:t>
      </w:r>
      <w:r w:rsidR="009C5F91">
        <w:t xml:space="preserve"> </w:t>
      </w:r>
      <w:r w:rsidR="009C5F91" w:rsidRPr="008C4D5F">
        <w:t xml:space="preserve">the framework embeds the </w:t>
      </w:r>
      <w:r w:rsidR="009C5F91">
        <w:t>restriction that the eff</w:t>
      </w:r>
      <w:r w:rsidR="009C5F91" w:rsidRPr="008C4D5F">
        <w:t>ects</w:t>
      </w:r>
      <w:r w:rsidR="009C5F91">
        <w:t xml:space="preserve"> are additive and that </w:t>
      </w:r>
      <w:r w:rsidR="00E02F9D">
        <w:t xml:space="preserve">seasoning </w:t>
      </w:r>
      <w:r w:rsidR="009C5F91">
        <w:t xml:space="preserve">effects </w:t>
      </w:r>
      <w:r w:rsidR="009C5F91" w:rsidRPr="008C4D5F">
        <w:t xml:space="preserve">are constant </w:t>
      </w:r>
      <w:r w:rsidR="009C5F91">
        <w:t xml:space="preserve">across </w:t>
      </w:r>
      <w:r w:rsidR="009C5F91" w:rsidRPr="008C4D5F">
        <w:t>cohorts.</w:t>
      </w:r>
      <w:r w:rsidR="00E02F9D">
        <w:rPr>
          <w:rStyle w:val="FootnoteReference"/>
        </w:rPr>
        <w:footnoteReference w:id="10"/>
      </w:r>
      <w:r w:rsidR="009C5F91">
        <w:t xml:space="preserve"> </w:t>
      </w:r>
      <w:r w:rsidR="00055F3D">
        <w:t xml:space="preserve">Furthermore, we are assuming a linear probability model rather than a nonlinear logit or </w:t>
      </w:r>
      <w:proofErr w:type="spellStart"/>
      <w:r w:rsidR="00055F3D">
        <w:t>probit</w:t>
      </w:r>
      <w:proofErr w:type="spellEnd"/>
      <w:r w:rsidR="00055F3D">
        <w:t xml:space="preserve"> specification </w:t>
      </w:r>
      <w:r w:rsidR="00C35B7F">
        <w:t>for</w:t>
      </w:r>
      <m:oMath>
        <m:sSub>
          <m:sSubPr>
            <m:ctrlPr>
              <w:rPr>
                <w:rFonts w:ascii="Cambria Math" w:hAnsi="Cambria Math"/>
                <w:i/>
              </w:rPr>
            </m:ctrlPr>
          </m:sSubPr>
          <m:e>
            <m:r>
              <w:rPr>
                <w:rFonts w:ascii="Cambria Math" w:hAnsi="Cambria Math"/>
              </w:rPr>
              <m:t xml:space="preserve"> y</m:t>
            </m:r>
          </m:e>
          <m:sub>
            <m:r>
              <w:rPr>
                <w:rFonts w:ascii="Cambria Math" w:hAnsi="Cambria Math"/>
              </w:rPr>
              <m:t>it</m:t>
            </m:r>
          </m:sub>
        </m:sSub>
      </m:oMath>
      <w:r w:rsidR="00055F3D">
        <w:rPr>
          <w:rFonts w:eastAsiaTheme="minorEastAsia"/>
        </w:rPr>
        <w:t xml:space="preserve"> </w:t>
      </w:r>
      <w:r w:rsidR="00426630">
        <w:rPr>
          <w:rFonts w:eastAsiaTheme="minorEastAsia"/>
        </w:rPr>
        <w:t>to enable us</w:t>
      </w:r>
      <w:r w:rsidR="00937688">
        <w:rPr>
          <w:rFonts w:eastAsiaTheme="minorEastAsia"/>
        </w:rPr>
        <w:t xml:space="preserve"> to implement a</w:t>
      </w:r>
      <w:r w:rsidR="00055F3D">
        <w:rPr>
          <w:rFonts w:eastAsiaTheme="minorEastAsia"/>
        </w:rPr>
        <w:t xml:space="preserve"> filtering algorithm. </w:t>
      </w:r>
      <w:r w:rsidR="00426630">
        <w:rPr>
          <w:rFonts w:eastAsiaTheme="minorEastAsia"/>
        </w:rPr>
        <w:t>Reassuringly, w</w:t>
      </w:r>
      <w:r w:rsidR="00055F3D">
        <w:rPr>
          <w:rFonts w:eastAsiaTheme="minorEastAsia"/>
        </w:rPr>
        <w:t>he</w:t>
      </w:r>
      <w:r w:rsidR="00720B64">
        <w:rPr>
          <w:rFonts w:eastAsiaTheme="minorEastAsia"/>
        </w:rPr>
        <w:t>n we</w:t>
      </w:r>
      <w:r w:rsidR="00055F3D">
        <w:rPr>
          <w:rFonts w:eastAsiaTheme="minorEastAsia"/>
        </w:rPr>
        <w:t xml:space="preserve"> compare linear and </w:t>
      </w:r>
      <w:proofErr w:type="spellStart"/>
      <w:r w:rsidR="00055F3D">
        <w:rPr>
          <w:rFonts w:eastAsiaTheme="minorEastAsia"/>
        </w:rPr>
        <w:t>probit</w:t>
      </w:r>
      <w:proofErr w:type="spellEnd"/>
      <w:r w:rsidR="00055F3D">
        <w:rPr>
          <w:rFonts w:eastAsiaTheme="minorEastAsia"/>
        </w:rPr>
        <w:t xml:space="preserve"> </w:t>
      </w:r>
      <w:r w:rsidR="0099067B">
        <w:rPr>
          <w:rFonts w:eastAsiaTheme="minorEastAsia"/>
        </w:rPr>
        <w:t>estimates</w:t>
      </w:r>
      <w:r w:rsidR="00055F3D">
        <w:rPr>
          <w:rFonts w:eastAsiaTheme="minorEastAsia"/>
        </w:rPr>
        <w:t xml:space="preserve"> </w:t>
      </w:r>
      <w:r w:rsidR="00C35B7F">
        <w:rPr>
          <w:rFonts w:eastAsiaTheme="minorEastAsia"/>
        </w:rPr>
        <w:t>using our</w:t>
      </w:r>
      <w:r w:rsidR="00055F3D">
        <w:rPr>
          <w:rFonts w:eastAsiaTheme="minorEastAsia"/>
        </w:rPr>
        <w:t xml:space="preserve"> alternative methods, as set out in the appendix, the results are broadly similar.</w:t>
      </w:r>
    </w:p>
    <w:p w14:paraId="0FE89D55" w14:textId="3C231702" w:rsidR="009C7E9A" w:rsidRDefault="00AF79A1" w:rsidP="00947587">
      <w:pPr>
        <w:spacing w:line="360" w:lineRule="auto"/>
        <w:jc w:val="both"/>
      </w:pPr>
      <w:r>
        <w:t>Figure 2</w:t>
      </w:r>
      <w:r w:rsidR="00643F0C">
        <w:t xml:space="preserve"> show</w:t>
      </w:r>
      <w:r w:rsidR="00071CEC">
        <w:t>s</w:t>
      </w:r>
      <w:r w:rsidR="00643F0C">
        <w:t xml:space="preserve"> simple average</w:t>
      </w:r>
      <w:r w:rsidR="000A2342">
        <w:t>s</w:t>
      </w:r>
      <w:r w:rsidR="00643F0C">
        <w:t xml:space="preserve"> of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sidR="00A27D77">
        <w:t xml:space="preserve"> </w:t>
      </w:r>
      <w:r w:rsidR="00720B64">
        <w:t xml:space="preserve">by </w:t>
      </w:r>
      <w:r w:rsidR="00643F0C">
        <w:t>time, age and date of birth</w:t>
      </w:r>
      <w:r w:rsidR="000A2342">
        <w:t xml:space="preserve">. </w:t>
      </w:r>
      <w:r w:rsidR="00426630">
        <w:t>Evidently, a</w:t>
      </w:r>
      <w:r w:rsidR="001144D9">
        <w:t>ttitude</w:t>
      </w:r>
      <w:r w:rsidR="00643F0C">
        <w:t xml:space="preserve">s toward membership </w:t>
      </w:r>
      <w:r w:rsidR="00071CEC">
        <w:t>in</w:t>
      </w:r>
      <w:r w:rsidR="00643F0C">
        <w:t xml:space="preserve"> the EU and its antecedents have </w:t>
      </w:r>
      <w:r w:rsidR="00E02F9D">
        <w:t xml:space="preserve">fluctuated </w:t>
      </w:r>
      <w:r w:rsidR="00643F0C">
        <w:t xml:space="preserve">over </w:t>
      </w:r>
      <w:r w:rsidR="00071CEC">
        <w:t>the last</w:t>
      </w:r>
      <w:r w:rsidR="00643F0C">
        <w:t xml:space="preserve"> 55 years</w:t>
      </w:r>
      <w:r w:rsidR="00611690">
        <w:t>, with no clear trend</w:t>
      </w:r>
      <w:r w:rsidR="009C7E9A">
        <w:t xml:space="preserve">. Sentiment was </w:t>
      </w:r>
      <w:r w:rsidR="00071CEC">
        <w:t xml:space="preserve">unusually </w:t>
      </w:r>
      <w:r w:rsidR="00720B64">
        <w:t>negative in the 1970s</w:t>
      </w:r>
      <w:r w:rsidR="00D6580A">
        <w:t>,</w:t>
      </w:r>
      <w:r w:rsidR="00720B64">
        <w:t xml:space="preserve"> </w:t>
      </w:r>
      <w:r w:rsidR="009C7E9A">
        <w:t>positive in the 199</w:t>
      </w:r>
      <w:r w:rsidR="00CA388A">
        <w:t xml:space="preserve">0s, </w:t>
      </w:r>
      <w:r w:rsidR="0099067B">
        <w:t>and negative again around 2010.  T</w:t>
      </w:r>
      <w:r w:rsidR="00CA388A">
        <w:t>he</w:t>
      </w:r>
      <w:r w:rsidR="009C7E9A">
        <w:t xml:space="preserve"> 2016 value for the BES </w:t>
      </w:r>
      <w:r w:rsidR="00CA388A">
        <w:t>was</w:t>
      </w:r>
      <w:r w:rsidR="009C7E9A">
        <w:t xml:space="preserve"> 7 p</w:t>
      </w:r>
      <w:r w:rsidR="00E02F9D">
        <w:t>oints below the simple average.</w:t>
      </w:r>
      <w:r w:rsidR="00E02F9D">
        <w:rPr>
          <w:rStyle w:val="FootnoteReference"/>
        </w:rPr>
        <w:footnoteReference w:id="11"/>
      </w:r>
    </w:p>
    <w:p w14:paraId="69E88C3C" w14:textId="77777777" w:rsidR="00362B5D" w:rsidRPr="00931E71" w:rsidRDefault="00362B5D" w:rsidP="00931E71">
      <w:pPr>
        <w:keepNext/>
        <w:spacing w:line="360" w:lineRule="auto"/>
        <w:jc w:val="both"/>
        <w:rPr>
          <w:rFonts w:eastAsiaTheme="minorEastAsia"/>
          <w:b/>
        </w:rPr>
      </w:pPr>
      <w:r w:rsidRPr="00931E71">
        <w:rPr>
          <w:b/>
        </w:rPr>
        <w:lastRenderedPageBreak/>
        <w:t xml:space="preserve">Figure 2 </w:t>
      </w:r>
      <w:r w:rsidR="00931E71" w:rsidRPr="00931E71">
        <w:rPr>
          <w:b/>
        </w:rPr>
        <w:t xml:space="preserve">– simple average of </w:t>
      </w:r>
      <m:oMath>
        <m:sSub>
          <m:sSubPr>
            <m:ctrlPr>
              <w:rPr>
                <w:rFonts w:ascii="Cambria Math" w:hAnsi="Cambria Math"/>
                <w:b/>
                <w:i/>
              </w:rPr>
            </m:ctrlPr>
          </m:sSubPr>
          <m:e>
            <m:r>
              <m:rPr>
                <m:sty m:val="bi"/>
              </m:rPr>
              <w:rPr>
                <w:rFonts w:ascii="Cambria Math" w:hAnsi="Cambria Math"/>
              </w:rPr>
              <m:t>y</m:t>
            </m:r>
          </m:e>
          <m:sub>
            <m:r>
              <m:rPr>
                <m:sty m:val="bi"/>
              </m:rPr>
              <w:rPr>
                <w:rFonts w:ascii="Cambria Math" w:hAnsi="Cambria Math"/>
              </w:rPr>
              <m:t>it</m:t>
            </m:r>
          </m:sub>
        </m:sSub>
      </m:oMath>
      <w:r w:rsidR="00931E71" w:rsidRPr="00931E71">
        <w:rPr>
          <w:rFonts w:eastAsiaTheme="minorEastAsia"/>
          <w:b/>
        </w:rPr>
        <w:t xml:space="preserve"> by age, date of birth and time</w:t>
      </w:r>
    </w:p>
    <w:p w14:paraId="1958C925" w14:textId="77777777" w:rsidR="00931E71" w:rsidRDefault="00931E71" w:rsidP="00947587">
      <w:pPr>
        <w:spacing w:line="360" w:lineRule="auto"/>
        <w:jc w:val="both"/>
      </w:pPr>
      <w:r>
        <w:rPr>
          <w:noProof/>
          <w:lang w:val="en-US"/>
        </w:rPr>
        <w:drawing>
          <wp:inline distT="0" distB="0" distL="0" distR="0" wp14:anchorId="51F9F124" wp14:editId="7CA4D355">
            <wp:extent cx="5201285" cy="425132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01285" cy="4251325"/>
                    </a:xfrm>
                    <a:prstGeom prst="rect">
                      <a:avLst/>
                    </a:prstGeom>
                    <a:noFill/>
                    <a:ln>
                      <a:noFill/>
                    </a:ln>
                  </pic:spPr>
                </pic:pic>
              </a:graphicData>
            </a:graphic>
          </wp:inline>
        </w:drawing>
      </w:r>
    </w:p>
    <w:p w14:paraId="7E2940C4" w14:textId="7AD11554" w:rsidR="000A2342" w:rsidRDefault="00AF79A1" w:rsidP="00947587">
      <w:pPr>
        <w:spacing w:line="360" w:lineRule="auto"/>
        <w:jc w:val="both"/>
      </w:pPr>
      <w:r>
        <w:t xml:space="preserve">Figure 2 also </w:t>
      </w:r>
      <w:r w:rsidR="00F31146">
        <w:t>shows that</w:t>
      </w:r>
      <w:r w:rsidR="00A67608">
        <w:t xml:space="preserve"> pro-Europeanism rises appreciably between age 18, below which we truncate our data, and </w:t>
      </w:r>
      <w:r w:rsidR="00013E93">
        <w:t xml:space="preserve">the mid-20s. </w:t>
      </w:r>
      <w:r w:rsidR="00720B64">
        <w:t>Given that w</w:t>
      </w:r>
      <w:r w:rsidR="00013E93">
        <w:t>e document below a strong relationship between schooling and pro-Europeanism</w:t>
      </w:r>
      <w:r w:rsidR="00F31146">
        <w:t xml:space="preserve">, </w:t>
      </w:r>
      <w:r w:rsidR="00013E93">
        <w:t xml:space="preserve">this could be explained by individuals </w:t>
      </w:r>
      <w:r w:rsidR="001144D9">
        <w:t xml:space="preserve">acquiring additional </w:t>
      </w:r>
      <w:r w:rsidR="00013E93">
        <w:t>school</w:t>
      </w:r>
      <w:r w:rsidR="00720B64">
        <w:t>ing</w:t>
      </w:r>
      <w:r w:rsidR="00013E93">
        <w:t xml:space="preserve"> </w:t>
      </w:r>
      <w:r w:rsidR="00720B64">
        <w:t xml:space="preserve">while in </w:t>
      </w:r>
      <w:r w:rsidR="00013E93">
        <w:t>their 20s. Beyond their mid-20s, however</w:t>
      </w:r>
      <w:r w:rsidR="00F31146">
        <w:t>, older voters have typically been more Eurosceptic</w:t>
      </w:r>
      <w:r w:rsidR="009C7E9A">
        <w:t>, with a fall of 20-30 points between ages 18 and 80</w:t>
      </w:r>
      <w:r w:rsidR="00F31146">
        <w:t xml:space="preserve">. </w:t>
      </w:r>
      <w:r>
        <w:t xml:space="preserve">The figure </w:t>
      </w:r>
      <w:r w:rsidR="008A0DC3">
        <w:t>shows a more compl</w:t>
      </w:r>
      <w:r w:rsidR="00937688">
        <w:t>ex</w:t>
      </w:r>
      <w:r w:rsidR="008A0DC3">
        <w:t xml:space="preserve"> relationship between date of birth and EU sentiment</w:t>
      </w:r>
      <w:r w:rsidR="00426630">
        <w:t>. A</w:t>
      </w:r>
      <w:r w:rsidR="008A0DC3">
        <w:t xml:space="preserve">way from the extrema of our sample, where </w:t>
      </w:r>
      <w:r w:rsidR="00A27D77">
        <w:t xml:space="preserve">the </w:t>
      </w:r>
      <w:r w:rsidR="008A0DC3">
        <w:t>cohorts are too small to give a clear signal</w:t>
      </w:r>
      <w:r w:rsidR="00611690">
        <w:t xml:space="preserve">, </w:t>
      </w:r>
      <w:r w:rsidR="00937688">
        <w:t>we see</w:t>
      </w:r>
      <w:r w:rsidR="009C7E9A">
        <w:t xml:space="preserve"> </w:t>
      </w:r>
      <w:r w:rsidR="00A27D77">
        <w:t xml:space="preserve">a </w:t>
      </w:r>
      <w:r w:rsidR="00611690">
        <w:t>U</w:t>
      </w:r>
      <w:r w:rsidR="00A27D77">
        <w:t>-shaped cohort effect</w:t>
      </w:r>
      <w:r w:rsidR="005A0722">
        <w:t>, with the immediate post-war generations</w:t>
      </w:r>
      <w:r w:rsidR="00611690">
        <w:t xml:space="preserve"> </w:t>
      </w:r>
      <w:r w:rsidR="005A0722">
        <w:t xml:space="preserve">reporting </w:t>
      </w:r>
      <w:r w:rsidR="00720B64">
        <w:t>more</w:t>
      </w:r>
      <w:r w:rsidR="005A0722">
        <w:t xml:space="preserve"> Euroscepticism</w:t>
      </w:r>
      <w:r w:rsidR="00720B64">
        <w:t xml:space="preserve"> than their predecessors or successors</w:t>
      </w:r>
      <w:r w:rsidR="00611690">
        <w:t>.</w:t>
      </w:r>
      <w:r w:rsidR="000A2342">
        <w:t xml:space="preserve"> </w:t>
      </w:r>
    </w:p>
    <w:p w14:paraId="0FA6A57A" w14:textId="3B6070CB" w:rsidR="00D25A6A" w:rsidRDefault="001144D9" w:rsidP="00947587">
      <w:pPr>
        <w:spacing w:line="360" w:lineRule="auto"/>
        <w:jc w:val="both"/>
      </w:pPr>
      <w:r>
        <w:t>T</w:t>
      </w:r>
      <w:r w:rsidR="00104194">
        <w:t>hese simple averages</w:t>
      </w:r>
      <w:r w:rsidR="005A0F5E">
        <w:t xml:space="preserve"> </w:t>
      </w:r>
      <w:r w:rsidR="00104194">
        <w:t xml:space="preserve">will not in general correspond to the underlying APC effects. </w:t>
      </w:r>
      <w:r w:rsidR="00937688">
        <w:t>W</w:t>
      </w:r>
      <w:r w:rsidR="00611690">
        <w:t xml:space="preserve">e cannot infer </w:t>
      </w:r>
      <w:r w:rsidR="005B7EF4">
        <w:t xml:space="preserve">from them </w:t>
      </w:r>
      <w:r w:rsidR="00611690">
        <w:t>that voters become more Eurosceptic as they age</w:t>
      </w:r>
      <w:r w:rsidR="005A0722">
        <w:t>: older respo</w:t>
      </w:r>
      <w:r w:rsidR="005A0F5E">
        <w:t xml:space="preserve">ndents </w:t>
      </w:r>
      <w:r w:rsidR="00AA56A9">
        <w:t>are also necessarily born earlier</w:t>
      </w:r>
      <w:r w:rsidR="00426630">
        <w:t xml:space="preserve"> (they are members of an earlier cohort)</w:t>
      </w:r>
      <w:r w:rsidR="00611690">
        <w:t xml:space="preserve">. </w:t>
      </w:r>
      <w:r w:rsidR="00937688">
        <w:t>Thus</w:t>
      </w:r>
      <w:r w:rsidR="00AA56A9">
        <w:t xml:space="preserve">, the pattern in </w:t>
      </w:r>
      <w:r w:rsidR="00AF79A1">
        <w:t>the figure</w:t>
      </w:r>
      <w:r w:rsidR="00AA56A9">
        <w:t xml:space="preserve"> could be driven by </w:t>
      </w:r>
      <w:r w:rsidR="0038232D">
        <w:t xml:space="preserve">age </w:t>
      </w:r>
      <w:r w:rsidR="00AA56A9">
        <w:t>effects, in that more recent</w:t>
      </w:r>
      <w:r w:rsidR="0038232D">
        <w:t>ly-</w:t>
      </w:r>
      <w:r w:rsidR="009C7E9A">
        <w:t xml:space="preserve">born </w:t>
      </w:r>
      <w:r w:rsidR="00AA56A9">
        <w:t xml:space="preserve">cohorts </w:t>
      </w:r>
      <w:r w:rsidR="005A0F5E">
        <w:t>are</w:t>
      </w:r>
      <w:r w:rsidR="00AA56A9">
        <w:t xml:space="preserve"> only observed </w:t>
      </w:r>
      <w:r w:rsidR="0038232D">
        <w:t>when young</w:t>
      </w:r>
      <w:r w:rsidR="00AA56A9">
        <w:t xml:space="preserve">. </w:t>
      </w:r>
    </w:p>
    <w:p w14:paraId="0726FFFB" w14:textId="7F68608E" w:rsidR="00D25A6A" w:rsidRDefault="008D4784" w:rsidP="00947587">
      <w:pPr>
        <w:spacing w:line="360" w:lineRule="auto"/>
        <w:jc w:val="both"/>
      </w:pPr>
      <w:r>
        <w:t xml:space="preserve">Lastly, it </w:t>
      </w:r>
      <w:r w:rsidR="00937688">
        <w:t>is at least conceivable</w:t>
      </w:r>
      <w:r>
        <w:t xml:space="preserve"> that the time-series variation in </w:t>
      </w:r>
      <w:r w:rsidR="001144D9">
        <w:t>F</w:t>
      </w:r>
      <w:r w:rsidR="00AF79A1">
        <w:t>igure 2</w:t>
      </w:r>
      <w:r>
        <w:t xml:space="preserve"> is driven by </w:t>
      </w:r>
      <w:r w:rsidR="00FE015C">
        <w:t xml:space="preserve">changes in the age and cohort composition of the sample. </w:t>
      </w:r>
      <w:r w:rsidR="00937688">
        <w:t>Given, h</w:t>
      </w:r>
      <w:r w:rsidR="00FE015C">
        <w:t xml:space="preserve">owever, </w:t>
      </w:r>
      <w:r w:rsidR="005B7EF4">
        <w:t>that</w:t>
      </w:r>
      <w:r w:rsidR="00611690">
        <w:t xml:space="preserve"> the cohort and age composition of the UK electorate</w:t>
      </w:r>
      <w:r w:rsidR="005B7EF4">
        <w:t xml:space="preserve"> has changed only slowly</w:t>
      </w:r>
      <w:r w:rsidR="00864BFB">
        <w:t xml:space="preserve">, </w:t>
      </w:r>
      <w:r w:rsidR="000A2342">
        <w:t>these</w:t>
      </w:r>
      <w:r w:rsidR="00864BFB">
        <w:t xml:space="preserve"> effects would </w:t>
      </w:r>
      <w:r w:rsidR="005A0F5E">
        <w:t>have to be</w:t>
      </w:r>
      <w:r w:rsidR="00864BFB">
        <w:t xml:space="preserve"> </w:t>
      </w:r>
      <w:r w:rsidR="00937688">
        <w:t>very</w:t>
      </w:r>
      <w:r w:rsidR="00864BFB">
        <w:t xml:space="preserve"> </w:t>
      </w:r>
      <w:r w:rsidR="005B7EF4">
        <w:t>large</w:t>
      </w:r>
      <w:r w:rsidR="00426630">
        <w:t xml:space="preserve"> </w:t>
      </w:r>
      <w:r w:rsidR="005B7EF4">
        <w:t xml:space="preserve">and volatile </w:t>
      </w:r>
      <w:r w:rsidR="00426630">
        <w:t xml:space="preserve">to </w:t>
      </w:r>
      <w:r w:rsidR="00426630">
        <w:lastRenderedPageBreak/>
        <w:t>generate the pattern</w:t>
      </w:r>
      <w:r w:rsidR="00AF79A1">
        <w:t xml:space="preserve"> observe</w:t>
      </w:r>
      <w:r w:rsidR="00426630">
        <w:t>d</w:t>
      </w:r>
      <w:r w:rsidR="00AF79A1">
        <w:t xml:space="preserve"> in the time series</w:t>
      </w:r>
      <w:r w:rsidR="000A2342">
        <w:t xml:space="preserve">. </w:t>
      </w:r>
      <w:r w:rsidR="00D25A6A">
        <w:t xml:space="preserve"> </w:t>
      </w:r>
      <w:r w:rsidR="005B7EF4">
        <w:t>In practice, there is no reason to think that the attitudes of 19 year olds are radically different from those of 20 year olds, and that the attitudes of individuals born in 1985 are radically different from those born in 1986. Indeed</w:t>
      </w:r>
      <w:r w:rsidR="002545A5">
        <w:t>, t</w:t>
      </w:r>
      <w:r w:rsidR="000A2342">
        <w:t>he idea that these</w:t>
      </w:r>
      <w:r w:rsidR="00937688">
        <w:t xml:space="preserve"> age and </w:t>
      </w:r>
      <w:proofErr w:type="gramStart"/>
      <w:r w:rsidR="00937688">
        <w:t xml:space="preserve">cohort </w:t>
      </w:r>
      <w:r w:rsidR="000A2342">
        <w:t xml:space="preserve"> effects</w:t>
      </w:r>
      <w:proofErr w:type="gramEnd"/>
      <w:r w:rsidR="000A2342">
        <w:t xml:space="preserve"> are likely to be smooth is key to the identifi</w:t>
      </w:r>
      <w:r w:rsidR="00D25A6A">
        <w:t xml:space="preserve">cation method we </w:t>
      </w:r>
      <w:r w:rsidR="002545A5">
        <w:t xml:space="preserve">now </w:t>
      </w:r>
      <w:r w:rsidR="0099067B">
        <w:t>propose</w:t>
      </w:r>
      <w:r w:rsidR="001144D9">
        <w:t>.</w:t>
      </w:r>
    </w:p>
    <w:p w14:paraId="5260CD89" w14:textId="34890168" w:rsidR="003A29EF" w:rsidRDefault="009270BC" w:rsidP="004F0148">
      <w:pPr>
        <w:spacing w:line="360" w:lineRule="auto"/>
        <w:jc w:val="both"/>
      </w:pPr>
      <w:r>
        <w:t xml:space="preserve">It is well known that a model in which age, period and cohort effects are all present and unrestricted is not identified </w:t>
      </w:r>
      <w:r w:rsidR="00501EDE">
        <w:t>(</w:t>
      </w:r>
      <w:proofErr w:type="spellStart"/>
      <w:r>
        <w:t>Neundorf</w:t>
      </w:r>
      <w:proofErr w:type="spellEnd"/>
      <w:r>
        <w:t xml:space="preserve"> and </w:t>
      </w:r>
      <w:proofErr w:type="spellStart"/>
      <w:r w:rsidR="00501EDE">
        <w:t>Niemi</w:t>
      </w:r>
      <w:proofErr w:type="spellEnd"/>
      <w:r>
        <w:t xml:space="preserve"> 2014</w:t>
      </w:r>
      <w:r w:rsidR="00501EDE">
        <w:t xml:space="preserve">). </w:t>
      </w:r>
      <w:r>
        <w:t xml:space="preserve">Researchers </w:t>
      </w:r>
      <w:r w:rsidR="001144D9">
        <w:t>must</w:t>
      </w:r>
      <w:r>
        <w:t xml:space="preserve"> restrict some or all of the APC </w:t>
      </w:r>
      <w:proofErr w:type="gramStart"/>
      <w:r>
        <w:t>effects</w:t>
      </w:r>
      <w:proofErr w:type="gramEnd"/>
      <w:r>
        <w:t>, either by grouping, omitting</w:t>
      </w:r>
      <w:r w:rsidR="00AE2465">
        <w:t xml:space="preserve"> or</w:t>
      </w:r>
      <w:r>
        <w:t xml:space="preserve"> </w:t>
      </w:r>
      <w:proofErr w:type="spellStart"/>
      <w:r>
        <w:t>proxying</w:t>
      </w:r>
      <w:proofErr w:type="spellEnd"/>
      <w:r>
        <w:t xml:space="preserve"> them or </w:t>
      </w:r>
      <w:r w:rsidR="00AE2465">
        <w:t xml:space="preserve">else </w:t>
      </w:r>
      <w:r>
        <w:t>by restricting their functional form.</w:t>
      </w:r>
      <w:r w:rsidR="00F54580">
        <w:t xml:space="preserve"> </w:t>
      </w:r>
    </w:p>
    <w:p w14:paraId="6B636F91" w14:textId="2B814E7B" w:rsidR="004F0148" w:rsidRPr="00B601CE" w:rsidRDefault="003A29EF" w:rsidP="004F0148">
      <w:pPr>
        <w:spacing w:line="360" w:lineRule="auto"/>
        <w:jc w:val="both"/>
      </w:pPr>
      <w:r>
        <w:t xml:space="preserve">We </w:t>
      </w:r>
      <w:r w:rsidR="00AE2465">
        <w:t xml:space="preserve">take the second of these two approaches.  We </w:t>
      </w:r>
      <w:r w:rsidR="00937688">
        <w:t>assume</w:t>
      </w:r>
      <w:r w:rsidR="00D25A6A">
        <w:t xml:space="preserve"> that age and cohort effects, by their nature, are </w:t>
      </w:r>
      <w:r w:rsidR="00B601CE">
        <w:t>likely to be smooth</w:t>
      </w:r>
      <w:r w:rsidR="00AE2465">
        <w:t>, in the sense that they are</w:t>
      </w:r>
      <w:r w:rsidR="00B601CE">
        <w:t xml:space="preserve"> </w:t>
      </w:r>
      <w:r w:rsidR="00D25A6A">
        <w:t xml:space="preserve">unlikely to change </w:t>
      </w:r>
      <w:r w:rsidR="00B601CE">
        <w:t>violently</w:t>
      </w:r>
      <w:r w:rsidR="00D25A6A">
        <w:t xml:space="preserve"> </w:t>
      </w:r>
      <w:r w:rsidR="007169D8">
        <w:t>between adjacent ages or cohorts</w:t>
      </w:r>
      <w:r w:rsidR="00D25A6A">
        <w:t xml:space="preserve">. </w:t>
      </w:r>
      <w:r w:rsidR="00B601CE">
        <w:t xml:space="preserve">Concretely, we estimate a trend that is close to fitting the data </w:t>
      </w:r>
      <w:r w:rsidR="00937688">
        <w:t>while penalizing</w:t>
      </w:r>
      <w:r w:rsidR="00B601CE">
        <w:t xml:space="preserve"> its second difference (the change in the change). </w:t>
      </w:r>
      <w:r w:rsidR="00AE2465">
        <w:t>Note that a</w:t>
      </w:r>
      <w:r w:rsidR="004F0148">
        <w:t xml:space="preserve">ssuming that age and cohort effects evolve smoothly and gradually </w:t>
      </w:r>
      <w:r w:rsidR="004F0148" w:rsidRPr="008C4D5F">
        <w:t xml:space="preserve">does not prevent </w:t>
      </w:r>
      <w:r w:rsidR="004F0148">
        <w:t>the</w:t>
      </w:r>
      <w:r w:rsidR="007A042B">
        <w:t>m</w:t>
      </w:r>
      <w:r w:rsidR="004F0148">
        <w:t xml:space="preserve"> </w:t>
      </w:r>
      <w:r w:rsidR="004F0148" w:rsidRPr="008C4D5F">
        <w:t>from b</w:t>
      </w:r>
      <w:r w:rsidR="004F0148">
        <w:t>eing non-linear or non-monotone. Reversals in the direction of change can still occur, but not too frequently and sharp</w:t>
      </w:r>
      <w:r w:rsidR="0038232D">
        <w:t>ly</w:t>
      </w:r>
      <w:r w:rsidR="004F0148">
        <w:t xml:space="preserve"> </w:t>
      </w:r>
      <w:r w:rsidR="004F0148" w:rsidRPr="008C4D5F">
        <w:t>over a short</w:t>
      </w:r>
      <w:r w:rsidR="004F0148">
        <w:t xml:space="preserve"> </w:t>
      </w:r>
      <w:r w:rsidR="004F0148" w:rsidRPr="008C4D5F">
        <w:t>time span.</w:t>
      </w:r>
      <w:r w:rsidR="004F0148">
        <w:t xml:space="preserve"> In contrast, t</w:t>
      </w:r>
      <w:proofErr w:type="spellStart"/>
      <w:r w:rsidR="004F0148">
        <w:rPr>
          <w:lang w:val="en-US"/>
        </w:rPr>
        <w:t>ime</w:t>
      </w:r>
      <w:proofErr w:type="spellEnd"/>
      <w:r w:rsidR="004F0148">
        <w:rPr>
          <w:lang w:val="en-US"/>
        </w:rPr>
        <w:t xml:space="preserve"> effects </w:t>
      </w:r>
      <w:r w:rsidR="007A042B">
        <w:rPr>
          <w:lang w:val="en-US"/>
        </w:rPr>
        <w:t>a</w:t>
      </w:r>
      <w:r w:rsidR="00426630">
        <w:rPr>
          <w:lang w:val="en-US"/>
        </w:rPr>
        <w:t>re</w:t>
      </w:r>
      <w:r w:rsidR="007A042B">
        <w:rPr>
          <w:lang w:val="en-US"/>
        </w:rPr>
        <w:t xml:space="preserve"> unrestricted</w:t>
      </w:r>
      <w:r w:rsidR="00AE2465">
        <w:rPr>
          <w:lang w:val="en-US"/>
        </w:rPr>
        <w:t>. T</w:t>
      </w:r>
      <w:r>
        <w:rPr>
          <w:lang w:val="en-US"/>
        </w:rPr>
        <w:t xml:space="preserve">hey may exhibit a trend </w:t>
      </w:r>
      <w:r w:rsidR="007A042B">
        <w:rPr>
          <w:lang w:val="en-US"/>
        </w:rPr>
        <w:t xml:space="preserve">and </w:t>
      </w:r>
      <w:r w:rsidR="004F0148" w:rsidRPr="00CC24CA">
        <w:rPr>
          <w:lang w:val="en-US"/>
        </w:rPr>
        <w:t>vary sharply between successive y</w:t>
      </w:r>
      <w:r w:rsidR="004F0148">
        <w:rPr>
          <w:lang w:val="en-US"/>
        </w:rPr>
        <w:t>ears</w:t>
      </w:r>
      <w:r w:rsidR="001144D9">
        <w:rPr>
          <w:lang w:val="en-US"/>
        </w:rPr>
        <w:t>. Intuitively,</w:t>
      </w:r>
      <w:r w:rsidR="00426630">
        <w:rPr>
          <w:lang w:val="en-US"/>
        </w:rPr>
        <w:t xml:space="preserve"> they could vary sharply </w:t>
      </w:r>
      <w:r w:rsidR="004F0148">
        <w:rPr>
          <w:lang w:val="en-US"/>
        </w:rPr>
        <w:t>because</w:t>
      </w:r>
      <w:r w:rsidR="004F0148" w:rsidRPr="00CC24CA">
        <w:rPr>
          <w:lang w:val="en-US"/>
        </w:rPr>
        <w:t xml:space="preserve"> an expanding economy </w:t>
      </w:r>
      <w:r w:rsidR="004F0148">
        <w:rPr>
          <w:lang w:val="en-US"/>
        </w:rPr>
        <w:t>enter</w:t>
      </w:r>
      <w:r w:rsidR="001144D9">
        <w:rPr>
          <w:lang w:val="en-US"/>
        </w:rPr>
        <w:t>s</w:t>
      </w:r>
      <w:r w:rsidR="004F0148">
        <w:rPr>
          <w:lang w:val="en-US"/>
        </w:rPr>
        <w:t xml:space="preserve"> a recession, </w:t>
      </w:r>
      <w:r w:rsidR="005F4C37">
        <w:rPr>
          <w:lang w:val="en-US"/>
        </w:rPr>
        <w:t xml:space="preserve">because </w:t>
      </w:r>
      <w:r w:rsidR="004F0148" w:rsidRPr="00CC24CA">
        <w:rPr>
          <w:lang w:val="en-US"/>
        </w:rPr>
        <w:t>a stable financial system beco</w:t>
      </w:r>
      <w:r w:rsidR="004F0148">
        <w:rPr>
          <w:lang w:val="en-US"/>
        </w:rPr>
        <w:t>me</w:t>
      </w:r>
      <w:r w:rsidR="001144D9">
        <w:rPr>
          <w:lang w:val="en-US"/>
        </w:rPr>
        <w:t>s</w:t>
      </w:r>
      <w:r w:rsidR="004F0148">
        <w:rPr>
          <w:lang w:val="en-US"/>
        </w:rPr>
        <w:t xml:space="preserve"> unstable, or</w:t>
      </w:r>
      <w:r w:rsidR="004F0148" w:rsidRPr="00CC24CA">
        <w:rPr>
          <w:lang w:val="en-US"/>
        </w:rPr>
        <w:t xml:space="preserve"> </w:t>
      </w:r>
      <w:r w:rsidR="005F4C37">
        <w:rPr>
          <w:lang w:val="en-US"/>
        </w:rPr>
        <w:t xml:space="preserve">because </w:t>
      </w:r>
      <w:r w:rsidR="004F0148" w:rsidRPr="00CC24CA">
        <w:rPr>
          <w:lang w:val="en-US"/>
        </w:rPr>
        <w:t xml:space="preserve">a native population </w:t>
      </w:r>
      <w:r w:rsidR="001144D9">
        <w:rPr>
          <w:lang w:val="en-US"/>
        </w:rPr>
        <w:t>is</w:t>
      </w:r>
      <w:r w:rsidR="004F0148">
        <w:rPr>
          <w:lang w:val="en-US"/>
        </w:rPr>
        <w:t xml:space="preserve"> suddenly be confronted by a large refugee influx.  </w:t>
      </w:r>
    </w:p>
    <w:p w14:paraId="60BBF394" w14:textId="70812600" w:rsidR="004F0148" w:rsidRPr="008C4D5F" w:rsidRDefault="00B601CE" w:rsidP="004F0148">
      <w:pPr>
        <w:spacing w:line="360" w:lineRule="auto"/>
        <w:jc w:val="both"/>
      </w:pPr>
      <w:r>
        <w:t xml:space="preserve">The problem of </w:t>
      </w:r>
      <w:r w:rsidR="00AE2465">
        <w:t>dividing</w:t>
      </w:r>
      <w:r>
        <w:t xml:space="preserve"> an observable variable into a smooth trend and residual </w:t>
      </w:r>
      <w:r w:rsidR="00937688">
        <w:t>“</w:t>
      </w:r>
      <w:r>
        <w:t>cycle</w:t>
      </w:r>
      <w:r w:rsidR="00937688">
        <w:t>”</w:t>
      </w:r>
      <w:r w:rsidR="00F54580">
        <w:t xml:space="preserve"> </w:t>
      </w:r>
      <w:r w:rsidR="004F0148" w:rsidRPr="008C4D5F">
        <w:t>is isomorphic to</w:t>
      </w:r>
      <w:r w:rsidR="005F4C37">
        <w:t xml:space="preserve"> </w:t>
      </w:r>
      <w:r w:rsidR="004F0148" w:rsidRPr="008C4D5F">
        <w:t xml:space="preserve">one </w:t>
      </w:r>
      <w:r>
        <w:t>common to</w:t>
      </w:r>
      <w:r w:rsidR="004F0148" w:rsidRPr="008C4D5F">
        <w:t xml:space="preserve"> time-series econometrics,</w:t>
      </w:r>
      <w:r w:rsidR="004F0148">
        <w:t xml:space="preserve"> </w:t>
      </w:r>
      <w:r w:rsidR="00F54580">
        <w:t xml:space="preserve">which </w:t>
      </w:r>
      <w:r w:rsidR="00426630">
        <w:t>involves decomposing</w:t>
      </w:r>
      <w:r w:rsidR="004F0148" w:rsidRPr="008C4D5F">
        <w:t xml:space="preserve"> a macroeconomic time series </w:t>
      </w:r>
      <m:oMath>
        <m:sSub>
          <m:sSubPr>
            <m:ctrlPr>
              <w:rPr>
                <w:rFonts w:ascii="Cambria Math" w:hAnsi="Cambria Math"/>
                <w:i/>
              </w:rPr>
            </m:ctrlPr>
          </m:sSubPr>
          <m:e>
            <m:r>
              <w:rPr>
                <w:rFonts w:ascii="Cambria Math" w:hAnsi="Cambria Math"/>
              </w:rPr>
              <m:t>y</m:t>
            </m:r>
          </m:e>
          <m:sub>
            <m:r>
              <w:rPr>
                <w:rFonts w:ascii="Cambria Math" w:hAnsi="Cambria Math"/>
              </w:rPr>
              <m:t>t</m:t>
            </m:r>
          </m:sub>
        </m:sSub>
      </m:oMath>
      <w:r w:rsidR="004F0148">
        <w:rPr>
          <w:rFonts w:ascii="Cambria Math" w:hAnsi="Cambria Math"/>
          <w:i/>
        </w:rPr>
        <w:t xml:space="preserve"> </w:t>
      </w:r>
      <w:r w:rsidR="004F0148" w:rsidRPr="008C4D5F">
        <w:t>into</w:t>
      </w:r>
      <w:r w:rsidR="004F0148">
        <w:t xml:space="preserve"> </w:t>
      </w:r>
      <w:r w:rsidR="004F0148" w:rsidRPr="008C4D5F">
        <w:t xml:space="preserve">a </w:t>
      </w:r>
      <w:r w:rsidR="003A29EF">
        <w:t xml:space="preserve">smooth </w:t>
      </w:r>
      <w:r w:rsidR="004F0148" w:rsidRPr="008C4D5F">
        <w:t>trend</w:t>
      </w:r>
      <w:r w:rsidR="004F0148">
        <w:rPr>
          <w:rFonts w:eastAsiaTheme="minorEastAsia"/>
        </w:rPr>
        <w:t xml:space="preserve">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004F0148">
        <w:rPr>
          <w:rFonts w:ascii="Cambria Math" w:hAnsi="Cambria Math"/>
          <w:i/>
        </w:rPr>
        <w:t xml:space="preserve"> </w:t>
      </w:r>
      <w:r w:rsidR="004F0148">
        <w:t xml:space="preserve">and a </w:t>
      </w:r>
      <w:proofErr w:type="gramStart"/>
      <w:r w:rsidR="004F0148">
        <w:t xml:space="preserve">cycle </w:t>
      </w:r>
      <w:proofErr w:type="gramEnd"/>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oMath>
      <w:r w:rsidR="004F0148" w:rsidRPr="008C4D5F">
        <w:t>:</w:t>
      </w:r>
    </w:p>
    <w:p w14:paraId="257C4FCE" w14:textId="77777777" w:rsidR="004F0148" w:rsidRPr="008C4D5F" w:rsidRDefault="004F0148" w:rsidP="00947587">
      <w:pPr>
        <w:spacing w:line="360" w:lineRule="auto"/>
        <w:ind w:firstLine="720"/>
        <w:jc w:val="both"/>
      </w:pPr>
      <w:r>
        <w:t xml:space="preserve"> </w:t>
      </w:r>
      <m:oMath>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oMath>
      <w:r>
        <w:rPr>
          <w:rFonts w:ascii="Cambria Math" w:hAnsi="Cambria Math"/>
          <w:i/>
        </w:rPr>
        <w:t xml:space="preserve"> </w:t>
      </w:r>
      <w:r>
        <w:t xml:space="preserve"> </w:t>
      </w:r>
      <w:r w:rsidRPr="008C4D5F">
        <w:t xml:space="preserve"> </w:t>
      </w:r>
      <w:r>
        <w:t xml:space="preserve">        </w:t>
      </w:r>
      <w:r w:rsidRPr="008C4D5F">
        <w:t>(1.2)</w:t>
      </w:r>
    </w:p>
    <w:p w14:paraId="2D0E5FEA" w14:textId="536B9E0E" w:rsidR="004F0148" w:rsidRPr="008C4D5F" w:rsidRDefault="003A29EF" w:rsidP="004F0148">
      <w:pPr>
        <w:spacing w:line="360" w:lineRule="auto"/>
        <w:jc w:val="both"/>
      </w:pPr>
      <w:r>
        <w:t xml:space="preserve">As </w:t>
      </w:r>
      <w:r w:rsidR="00AE2465">
        <w:t>in</w:t>
      </w:r>
      <w:r>
        <w:t xml:space="preserve"> our problem</w:t>
      </w:r>
      <w:r w:rsidR="00AE2465">
        <w:t>, with</w:t>
      </w:r>
      <w:r w:rsidR="004F0148" w:rsidRPr="008C4D5F">
        <w:t xml:space="preserve"> no other informat</w:t>
      </w:r>
      <w:r w:rsidR="004F0148">
        <w:t xml:space="preserve">ion this problem is not identified - </w:t>
      </w:r>
      <w:r w:rsidR="007A042B">
        <w:t xml:space="preserve">infinitely many sequences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x,</m:t>
                </m:r>
                <m:acc>
                  <m:accPr>
                    <m:ctrlPr>
                      <w:rPr>
                        <w:rFonts w:ascii="Cambria Math" w:hAnsi="Cambria Math"/>
                        <w:i/>
                      </w:rPr>
                    </m:ctrlPr>
                  </m:accPr>
                  <m:e>
                    <m:r>
                      <w:rPr>
                        <w:rFonts w:ascii="Cambria Math" w:hAnsi="Cambria Math"/>
                      </w:rPr>
                      <m:t>y</m:t>
                    </m:r>
                  </m:e>
                </m:acc>
              </m:e>
              <m:sub/>
            </m:sSub>
          </m:e>
        </m:d>
      </m:oMath>
      <w:r w:rsidR="004F0148">
        <w:t xml:space="preserve">  </w:t>
      </w:r>
      <w:r w:rsidR="007A042B">
        <w:t>satisfy</w:t>
      </w:r>
      <w:r w:rsidR="004F0148" w:rsidRPr="008C4D5F">
        <w:t xml:space="preserve"> this equation</w:t>
      </w:r>
      <w:r w:rsidR="004F0148">
        <w:t xml:space="preserve">. </w:t>
      </w:r>
      <w:r w:rsidR="007A042B">
        <w:t xml:space="preserve">Similarly, in equation </w:t>
      </w:r>
      <w:r w:rsidR="00FE3D9C">
        <w:t xml:space="preserve">(1.1) there are infinitely many sequences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c,a,τ</m:t>
                </m:r>
              </m:e>
              <m:sub/>
            </m:sSub>
          </m:e>
        </m:d>
      </m:oMath>
      <w:r w:rsidR="00FE3D9C">
        <w:t xml:space="preserve"> which yield well-behaved error terms.</w:t>
      </w:r>
    </w:p>
    <w:p w14:paraId="1B8251D4" w14:textId="502A81DE" w:rsidR="00306276" w:rsidRDefault="00FE3D9C" w:rsidP="004F0148">
      <w:pPr>
        <w:spacing w:line="360" w:lineRule="auto"/>
        <w:jc w:val="both"/>
        <w:rPr>
          <w:rFonts w:eastAsiaTheme="minorEastAsia"/>
        </w:rPr>
      </w:pPr>
      <w:r>
        <w:t xml:space="preserve">We thus adapt an algorithm from time-series econometrics (the </w:t>
      </w:r>
      <w:proofErr w:type="spellStart"/>
      <w:r>
        <w:t>Hodrick</w:t>
      </w:r>
      <w:proofErr w:type="spellEnd"/>
      <w:r>
        <w:t xml:space="preserve">-Prescott or HP filter) </w:t>
      </w:r>
      <w:r w:rsidR="00AE2465">
        <w:t xml:space="preserve">commonly </w:t>
      </w:r>
      <w:r>
        <w:t xml:space="preserve">used to identify a smooth trend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Pr>
          <w:rFonts w:eastAsiaTheme="minorEastAsia"/>
        </w:rPr>
        <w:t xml:space="preserve"> in equation (1.2) </w:t>
      </w:r>
      <w:r w:rsidR="00AE2465">
        <w:rPr>
          <w:rFonts w:eastAsiaTheme="minorEastAsia"/>
        </w:rPr>
        <w:t xml:space="preserve">in order </w:t>
      </w:r>
      <w:r>
        <w:rPr>
          <w:rFonts w:eastAsiaTheme="minorEastAsia"/>
        </w:rPr>
        <w:t xml:space="preserve">to obtain </w:t>
      </w:r>
      <w:r w:rsidR="00306276">
        <w:rPr>
          <w:rFonts w:eastAsiaTheme="minorEastAsia"/>
        </w:rPr>
        <w:t xml:space="preserve">smooth age and cohort effects in equation </w:t>
      </w:r>
      <w:r w:rsidR="00722C9A">
        <w:rPr>
          <w:rFonts w:eastAsiaTheme="minorEastAsia"/>
        </w:rPr>
        <w:t>(</w:t>
      </w:r>
      <w:r w:rsidR="00306276">
        <w:rPr>
          <w:rFonts w:eastAsiaTheme="minorEastAsia"/>
        </w:rPr>
        <w:t>1.1</w:t>
      </w:r>
      <w:r w:rsidR="00722C9A">
        <w:rPr>
          <w:rFonts w:eastAsiaTheme="minorEastAsia"/>
        </w:rPr>
        <w:t>)</w:t>
      </w:r>
      <w:r w:rsidR="00306276">
        <w:rPr>
          <w:rFonts w:eastAsiaTheme="minorEastAsia"/>
        </w:rPr>
        <w:t xml:space="preserve">. The standard </w:t>
      </w:r>
      <w:proofErr w:type="spellStart"/>
      <w:r w:rsidR="00306276">
        <w:rPr>
          <w:rFonts w:eastAsiaTheme="minorEastAsia"/>
        </w:rPr>
        <w:t>Kalman</w:t>
      </w:r>
      <w:proofErr w:type="spellEnd"/>
      <w:r w:rsidR="00306276">
        <w:rPr>
          <w:rFonts w:eastAsiaTheme="minorEastAsia"/>
        </w:rPr>
        <w:t xml:space="preserve"> filter </w:t>
      </w:r>
      <m:oMath>
        <m:sSub>
          <m:sSubPr>
            <m:ctrlPr>
              <w:rPr>
                <w:rFonts w:ascii="Cambria Math" w:hAnsi="Cambria Math"/>
                <w:i/>
              </w:rPr>
            </m:ctrlPr>
          </m:sSubPr>
          <m:e>
            <m:r>
              <w:rPr>
                <w:rFonts w:ascii="Cambria Math" w:hAnsi="Cambria Math"/>
              </w:rPr>
              <m:t>x</m:t>
            </m:r>
          </m:e>
          <m:sub>
            <m:r>
              <w:rPr>
                <w:rFonts w:ascii="Cambria Math" w:hAnsi="Cambria Math"/>
              </w:rPr>
              <m:t>t</m:t>
            </m:r>
          </m:sub>
        </m:sSub>
      </m:oMath>
      <w:r w:rsidR="00306276">
        <w:rPr>
          <w:rFonts w:eastAsiaTheme="minorEastAsia"/>
        </w:rPr>
        <w:t xml:space="preserve"> </w:t>
      </w:r>
      <w:r w:rsidR="00AE2465">
        <w:rPr>
          <w:rFonts w:eastAsiaTheme="minorEastAsia"/>
        </w:rPr>
        <w:t>i</w:t>
      </w:r>
      <w:r w:rsidR="00306276">
        <w:rPr>
          <w:rFonts w:eastAsiaTheme="minorEastAsia"/>
        </w:rPr>
        <w:t>s the solution to the following constrained minimisation problem, minimising the varia</w:t>
      </w:r>
      <w:r w:rsidR="008A063A">
        <w:rPr>
          <w:rFonts w:eastAsiaTheme="minorEastAsia"/>
        </w:rPr>
        <w:t>nce of the cycle subject to keeping the trend smooth (i.e. minimising its second differences).</w:t>
      </w:r>
    </w:p>
    <w:p w14:paraId="7189DFDE" w14:textId="77777777" w:rsidR="00A67171" w:rsidRDefault="00E621E0" w:rsidP="00947587">
      <w:pPr>
        <w:spacing w:line="360" w:lineRule="auto"/>
        <w:jc w:val="both"/>
        <w:rPr>
          <w:rFonts w:eastAsiaTheme="minorEastAsia"/>
        </w:rPr>
      </w:pPr>
      <m:oMathPara>
        <m:oMath>
          <m:sSub>
            <m:sSubPr>
              <m:ctrlPr>
                <w:rPr>
                  <w:rFonts w:ascii="Cambria Math" w:hAnsi="Cambria Math"/>
                  <w:i/>
                </w:rPr>
              </m:ctrlPr>
            </m:sSubPr>
            <m:e>
              <m:r>
                <w:rPr>
                  <w:rFonts w:ascii="Cambria Math" w:hAnsi="Cambria Math"/>
                </w:rPr>
                <m:t>x</m:t>
              </m:r>
            </m:e>
            <m:sub>
              <m:r>
                <w:rPr>
                  <w:rFonts w:ascii="Cambria Math" w:hAnsi="Cambria Math"/>
                </w:rPr>
                <m:t>t</m:t>
              </m:r>
            </m:sub>
          </m:sSub>
          <m:r>
            <w:rPr>
              <w:rFonts w:ascii="Cambria Math" w:hAnsi="Cambria Math"/>
            </w:rPr>
            <m:t xml:space="preserve">=argmin </m:t>
          </m:r>
          <m:nary>
            <m:naryPr>
              <m:chr m:val="∑"/>
              <m:limLoc m:val="undOvr"/>
              <m:supHide m:val="1"/>
              <m:ctrlPr>
                <w:rPr>
                  <w:rFonts w:ascii="Cambria Math" w:hAnsi="Cambria Math"/>
                  <w:i/>
                </w:rPr>
              </m:ctrlPr>
            </m:naryPr>
            <m:sub>
              <m:r>
                <w:rPr>
                  <w:rFonts w:ascii="Cambria Math" w:hAnsi="Cambria Math"/>
                </w:rPr>
                <m:t>t</m:t>
              </m: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t</m:t>
                          </m:r>
                        </m:sub>
                      </m:sSub>
                    </m:e>
                  </m:d>
                </m:e>
                <m:sup>
                  <m:r>
                    <w:rPr>
                      <w:rFonts w:ascii="Cambria Math" w:hAnsi="Cambria Math"/>
                    </w:rPr>
                    <m:t>2</m:t>
                  </m:r>
                </m:sup>
              </m:sSup>
              <m:r>
                <w:rPr>
                  <w:rFonts w:ascii="Cambria Math" w:hAnsi="Cambria Math"/>
                </w:rPr>
                <m:t xml:space="preserve"> </m:t>
              </m:r>
              <m:r>
                <m:rPr>
                  <m:sty m:val="p"/>
                </m:rPr>
                <w:rPr>
                  <w:rFonts w:ascii="Cambria Math"/>
                </w:rPr>
                <m:t>+</m:t>
              </m:r>
              <m:r>
                <m:rPr>
                  <m:sty m:val="p"/>
                </m:rPr>
                <w:rPr>
                  <w:rFonts w:ascii="Cambria Math" w:hAnsi="Cambria Math"/>
                </w:rPr>
                <m:t>λ</m:t>
              </m:r>
              <m:sSup>
                <m:sSupPr>
                  <m:ctrlPr>
                    <w:rPr>
                      <w:rFonts w:ascii="Cambria Math" w:hAnsi="Cambria Math"/>
                    </w:rPr>
                  </m:ctrlPr>
                </m:sSupPr>
                <m:e>
                  <m:d>
                    <m:dPr>
                      <m:ctrlPr>
                        <w:rPr>
                          <w:rFonts w:ascii="Cambria Math" w:hAnsi="Cambria Math"/>
                        </w:rPr>
                      </m:ctrlPr>
                    </m:dPr>
                    <m:e>
                      <m:r>
                        <m:rPr>
                          <m:sty m:val="p"/>
                        </m:rPr>
                        <w:rPr>
                          <w:rFonts w:ascii="Cambria Math" w:hAnsi="Cambria Math"/>
                        </w:rPr>
                        <m:t>Δ</m:t>
                      </m:r>
                      <m:sSub>
                        <m:sSubPr>
                          <m:ctrlPr>
                            <w:rPr>
                              <w:rFonts w:ascii="Cambria Math" w:hAnsi="Cambria Math"/>
                              <w:i/>
                            </w:rPr>
                          </m:ctrlPr>
                        </m:sSubPr>
                        <m:e>
                          <m:r>
                            <w:rPr>
                              <w:rFonts w:ascii="Cambria Math"/>
                            </w:rPr>
                            <m:t>y</m:t>
                          </m:r>
                        </m:e>
                        <m:sub>
                          <m:r>
                            <w:rPr>
                              <w:rFonts w:ascii="Cambria Math"/>
                            </w:rPr>
                            <m:t>t</m:t>
                          </m:r>
                        </m:sub>
                      </m:sSub>
                      <m:r>
                        <w:rPr>
                          <w:rFonts w:ascii="Cambria Math"/>
                        </w:rPr>
                        <m:t>-</m:t>
                      </m:r>
                      <m:r>
                        <m:rPr>
                          <m:sty m:val="p"/>
                        </m:rPr>
                        <w:rPr>
                          <w:rFonts w:ascii="Cambria Math" w:hAnsi="Cambria Math"/>
                        </w:rPr>
                        <m:t>Δ</m:t>
                      </m:r>
                      <m:sSub>
                        <m:sSubPr>
                          <m:ctrlPr>
                            <w:rPr>
                              <w:rFonts w:ascii="Cambria Math" w:hAnsi="Cambria Math"/>
                              <w:i/>
                            </w:rPr>
                          </m:ctrlPr>
                        </m:sSubPr>
                        <m:e>
                          <m:r>
                            <w:rPr>
                              <w:rFonts w:ascii="Cambria Math"/>
                            </w:rPr>
                            <m:t>y</m:t>
                          </m:r>
                        </m:e>
                        <m:sub>
                          <m:r>
                            <w:rPr>
                              <w:rFonts w:ascii="Cambria Math"/>
                            </w:rPr>
                            <m:t>t</m:t>
                          </m:r>
                          <m:r>
                            <w:rPr>
                              <w:rFonts w:ascii="Cambria Math"/>
                            </w:rPr>
                            <m:t>-</m:t>
                          </m:r>
                          <m:r>
                            <w:rPr>
                              <w:rFonts w:ascii="Cambria Math"/>
                            </w:rPr>
                            <m:t>1</m:t>
                          </m:r>
                        </m:sub>
                      </m:sSub>
                    </m:e>
                  </m:d>
                </m:e>
                <m:sup>
                  <m:r>
                    <w:rPr>
                      <w:rFonts w:ascii="Cambria Math"/>
                    </w:rPr>
                    <m:t>2</m:t>
                  </m:r>
                </m:sup>
              </m:sSup>
            </m:e>
          </m:nary>
        </m:oMath>
      </m:oMathPara>
    </w:p>
    <w:p w14:paraId="515E4E25" w14:textId="6F515CD9" w:rsidR="00A67171" w:rsidRDefault="00013E93" w:rsidP="00947587">
      <w:pPr>
        <w:spacing w:line="360" w:lineRule="auto"/>
        <w:jc w:val="both"/>
      </w:pPr>
      <w:proofErr w:type="gramStart"/>
      <w:r>
        <w:rPr>
          <w:rFonts w:eastAsiaTheme="minorEastAsia"/>
        </w:rPr>
        <w:lastRenderedPageBreak/>
        <w:t>w</w:t>
      </w:r>
      <w:r w:rsidR="00A67171">
        <w:rPr>
          <w:rFonts w:eastAsiaTheme="minorEastAsia"/>
        </w:rPr>
        <w:t>here</w:t>
      </w:r>
      <w:proofErr w:type="gramEnd"/>
      <w:r>
        <w:rPr>
          <w:rFonts w:eastAsiaTheme="minorEastAsia"/>
        </w:rPr>
        <w:t xml:space="preserve"> </w:t>
      </w:r>
      <m:oMath>
        <m:r>
          <m:rPr>
            <m:sty m:val="p"/>
          </m:rPr>
          <w:rPr>
            <w:rFonts w:ascii="Cambria Math" w:hAnsi="Cambria Math"/>
          </w:rPr>
          <m:t>Δ</m:t>
        </m:r>
      </m:oMath>
      <w:r w:rsidR="00A67171">
        <w:rPr>
          <w:rFonts w:eastAsiaTheme="minorEastAsia"/>
        </w:rPr>
        <w:t xml:space="preserve"> </w:t>
      </w:r>
      <w:r>
        <w:rPr>
          <w:rFonts w:eastAsiaTheme="minorEastAsia"/>
        </w:rPr>
        <w:t>is the time difference operator</w:t>
      </w:r>
      <w:r w:rsidR="00AE2465">
        <w:rPr>
          <w:rFonts w:eastAsiaTheme="minorEastAsia"/>
        </w:rPr>
        <w:t>,</w:t>
      </w:r>
      <w:r>
        <w:rPr>
          <w:rFonts w:eastAsiaTheme="minorEastAsia"/>
        </w:rPr>
        <w:t xml:space="preserve"> and </w:t>
      </w:r>
      <m:oMath>
        <m:r>
          <m:rPr>
            <m:sty m:val="p"/>
          </m:rPr>
          <w:rPr>
            <w:rFonts w:ascii="Cambria Math" w:hAnsi="Cambria Math"/>
          </w:rPr>
          <m:t>λ</m:t>
        </m:r>
      </m:oMath>
      <w:r w:rsidR="00A67171">
        <w:t xml:space="preserve"> determines </w:t>
      </w:r>
      <w:r w:rsidR="00AE2465">
        <w:t xml:space="preserve">the size of </w:t>
      </w:r>
      <w:r w:rsidR="00722C9A">
        <w:t xml:space="preserve">the penalty on the trend’s second differences and therefore </w:t>
      </w:r>
      <w:r w:rsidR="00AE2465">
        <w:t xml:space="preserve">the </w:t>
      </w:r>
      <w:r w:rsidR="00A67171">
        <w:t>smooth</w:t>
      </w:r>
      <w:r w:rsidR="00AE2465">
        <w:t>ness of</w:t>
      </w:r>
      <w:r w:rsidR="00A67171">
        <w:t xml:space="preserve"> the trend</w:t>
      </w:r>
      <w:r w:rsidR="00722C9A">
        <w:t>. I</w:t>
      </w:r>
      <w:r w:rsidR="00A67171">
        <w:t xml:space="preserve">n the limit </w:t>
      </w:r>
      <w:r w:rsidR="00AE2465">
        <w:t>(</w:t>
      </w:r>
      <m:oMath>
        <m:r>
          <w:rPr>
            <w:rFonts w:ascii="Cambria Math" w:hAnsi="Cambria Math"/>
          </w:rPr>
          <m:t>λ</m:t>
        </m:r>
        <m:r>
          <m:rPr>
            <m:sty m:val="p"/>
          </m:rPr>
          <w:rPr>
            <w:rFonts w:ascii="Cambria Math" w:hAnsi="Cambria Math"/>
          </w:rPr>
          <m:t>→∞</m:t>
        </m:r>
      </m:oMath>
      <w:r w:rsidR="00AE2465">
        <w:rPr>
          <w:rFonts w:eastAsiaTheme="minorEastAsia"/>
        </w:rPr>
        <w:t>),</w:t>
      </w:r>
      <w:r w:rsidR="00A67171">
        <w:t xml:space="preserve"> </w:t>
      </w:r>
      <w:r w:rsidR="00362B5D">
        <w:t>the trend becomes linear.</w:t>
      </w:r>
    </w:p>
    <w:p w14:paraId="29E8BD15" w14:textId="77777777" w:rsidR="00B31873" w:rsidRPr="00947587" w:rsidRDefault="008A063A" w:rsidP="00947587">
      <w:pPr>
        <w:spacing w:line="360" w:lineRule="auto"/>
        <w:jc w:val="both"/>
        <w:rPr>
          <w:rFonts w:eastAsiaTheme="minorEastAsia"/>
        </w:rPr>
      </w:pPr>
      <w:r>
        <w:t>Our age and cohort effects are accordingly identified as the solution to the following minimisation problem</w:t>
      </w:r>
    </w:p>
    <w:p w14:paraId="60AA87B9" w14:textId="77777777" w:rsidR="008A063A" w:rsidRDefault="008A063A" w:rsidP="00947587">
      <w:pPr>
        <w:spacing w:line="360" w:lineRule="auto"/>
        <w:jc w:val="both"/>
      </w:pPr>
      <m:oMathPara>
        <m:oMath>
          <m:r>
            <w:rPr>
              <w:rFonts w:ascii="Cambria Math" w:hAnsi="Cambria Math"/>
            </w:rPr>
            <m:t xml:space="preserve"> </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t-i</m:t>
              </m:r>
            </m:sub>
          </m:sSub>
          <m:r>
            <w:rPr>
              <w:rFonts w:ascii="Cambria Math" w:hAnsi="Cambria Math"/>
            </w:rPr>
            <m:t xml:space="preserve">=argmin </m:t>
          </m:r>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t</m:t>
                  </m:r>
                </m:sub>
                <m:sup/>
                <m:e>
                  <m:sSup>
                    <m:sSupPr>
                      <m:ctrlPr>
                        <w:rPr>
                          <w:rFonts w:ascii="Cambria Math" w:hAnsi="Cambria Math"/>
                          <w:i/>
                        </w:rPr>
                      </m:ctrlPr>
                    </m:sSup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t-i</m:t>
                              </m:r>
                            </m:sub>
                          </m:sSub>
                        </m:e>
                      </m:d>
                    </m:e>
                    <m:sup>
                      <m:r>
                        <w:rPr>
                          <w:rFonts w:ascii="Cambria Math" w:hAnsi="Cambria Math"/>
                        </w:rPr>
                        <m:t>2</m:t>
                      </m:r>
                    </m:sup>
                  </m:sSup>
                  <m:r>
                    <w:rPr>
                      <w:rFonts w:ascii="Cambria Math" w:hAnsi="Cambria Math"/>
                    </w:rPr>
                    <m:t xml:space="preserve"> </m:t>
                  </m:r>
                  <m:r>
                    <m:rPr>
                      <m:sty m:val="p"/>
                    </m:rPr>
                    <w:rPr>
                      <w:rFonts w:ascii="Cambria Math"/>
                    </w:rPr>
                    <m:t>+</m:t>
                  </m:r>
                  <m:sSub>
                    <m:sSubPr>
                      <m:ctrlPr>
                        <w:rPr>
                          <w:rFonts w:ascii="Cambria Math" w:hAnsi="Cambria Math"/>
                        </w:rPr>
                      </m:ctrlPr>
                    </m:sSubPr>
                    <m:e>
                      <m:r>
                        <m:rPr>
                          <m:sty m:val="p"/>
                        </m:rPr>
                        <w:rPr>
                          <w:rFonts w:ascii="Cambria Math" w:hAnsi="Cambria Math"/>
                        </w:rPr>
                        <m:t>λ</m:t>
                      </m:r>
                    </m:e>
                    <m:sub>
                      <m:r>
                        <w:rPr>
                          <w:rFonts w:ascii="Cambria Math" w:hAnsi="Cambria Math"/>
                        </w:rPr>
                        <m:t>c</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Δ</m:t>
                              </m:r>
                            </m:e>
                            <m:sub>
                              <m:r>
                                <w:rPr>
                                  <w:rFonts w:ascii="Cambria Math" w:hAnsi="Cambria Math"/>
                                </w:rPr>
                                <m:t>i</m:t>
                              </m:r>
                            </m:sub>
                          </m:sSub>
                          <m:sSub>
                            <m:sSubPr>
                              <m:ctrlPr>
                                <w:rPr>
                                  <w:rFonts w:ascii="Cambria Math" w:hAnsi="Cambria Math"/>
                                  <w:i/>
                                </w:rPr>
                              </m:ctrlPr>
                            </m:sSubPr>
                            <m:e>
                              <m:r>
                                <w:rPr>
                                  <w:rFonts w:ascii="Cambria Math"/>
                                </w:rPr>
                                <m:t>c</m:t>
                              </m:r>
                            </m:e>
                            <m:sub>
                              <m:r>
                                <w:rPr>
                                  <w:rFonts w:ascii="Cambria Math"/>
                                </w:rPr>
                                <m:t>i</m:t>
                              </m:r>
                            </m:sub>
                          </m:sSub>
                          <m:r>
                            <w:rPr>
                              <w:rFonts w:asci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i</m:t>
                              </m:r>
                            </m:sub>
                          </m:sSub>
                          <m:sSub>
                            <m:sSubPr>
                              <m:ctrlPr>
                                <w:rPr>
                                  <w:rFonts w:ascii="Cambria Math" w:hAnsi="Cambria Math"/>
                                  <w:i/>
                                </w:rPr>
                              </m:ctrlPr>
                            </m:sSubPr>
                            <m:e>
                              <m:r>
                                <w:rPr>
                                  <w:rFonts w:ascii="Cambria Math"/>
                                </w:rPr>
                                <m:t>c</m:t>
                              </m:r>
                            </m:e>
                            <m:sub>
                              <m:r>
                                <w:rPr>
                                  <w:rFonts w:ascii="Cambria Math"/>
                                </w:rPr>
                                <m:t>i</m:t>
                              </m:r>
                              <m:r>
                                <w:rPr>
                                  <w:rFonts w:ascii="Cambria Math"/>
                                </w:rPr>
                                <m:t>-</m:t>
                              </m:r>
                              <m:r>
                                <w:rPr>
                                  <w:rFonts w:ascii="Cambria Math"/>
                                </w:rPr>
                                <m:t>1</m:t>
                              </m:r>
                            </m:sub>
                          </m:sSub>
                        </m:e>
                      </m:d>
                    </m:e>
                    <m:sup>
                      <m:r>
                        <w:rPr>
                          <w:rFonts w:ascii="Cambria Math"/>
                        </w:rPr>
                        <m:t>2</m:t>
                      </m:r>
                    </m:sup>
                  </m:sSup>
                  <m:sSub>
                    <m:sSubPr>
                      <m:ctrlPr>
                        <w:rPr>
                          <w:rFonts w:ascii="Cambria Math" w:hAnsi="Cambria Math"/>
                        </w:rPr>
                      </m:ctrlPr>
                    </m:sSubPr>
                    <m:e>
                      <m:r>
                        <m:rPr>
                          <m:sty m:val="p"/>
                        </m:rPr>
                        <w:rPr>
                          <w:rFonts w:ascii="Cambria Math" w:hAnsi="Cambria Math"/>
                        </w:rPr>
                        <m:t>+λ</m:t>
                      </m:r>
                    </m:e>
                    <m:sub>
                      <m:r>
                        <w:rPr>
                          <w:rFonts w:ascii="Cambria Math" w:hAnsi="Cambria Math"/>
                        </w:rPr>
                        <m:t>a</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m:rPr>
                                  <m:sty m:val="p"/>
                                </m:rPr>
                                <w:rPr>
                                  <w:rFonts w:ascii="Cambria Math" w:hAnsi="Cambria Math"/>
                                </w:rPr>
                                <m:t>Δ</m:t>
                              </m:r>
                            </m:e>
                            <m:sub>
                              <m:r>
                                <w:rPr>
                                  <w:rFonts w:ascii="Cambria Math" w:hAnsi="Cambria Math"/>
                                </w:rPr>
                                <m:t>t-i</m:t>
                              </m:r>
                            </m:sub>
                          </m:sSub>
                          <m:sSub>
                            <m:sSubPr>
                              <m:ctrlPr>
                                <w:rPr>
                                  <w:rFonts w:ascii="Cambria Math" w:hAnsi="Cambria Math"/>
                                  <w:i/>
                                </w:rPr>
                              </m:ctrlPr>
                            </m:sSubPr>
                            <m:e>
                              <m:r>
                                <w:rPr>
                                  <w:rFonts w:ascii="Cambria Math"/>
                                </w:rPr>
                                <m:t>a</m:t>
                              </m:r>
                            </m:e>
                            <m:sub>
                              <m:r>
                                <w:rPr>
                                  <w:rFonts w:ascii="Cambria Math"/>
                                </w:rPr>
                                <m:t>t</m:t>
                              </m:r>
                              <m:r>
                                <w:rPr>
                                  <w:rFonts w:ascii="Cambria Math"/>
                                </w:rPr>
                                <m:t>-</m:t>
                              </m:r>
                              <m:r>
                                <w:rPr>
                                  <w:rFonts w:ascii="Cambria Math"/>
                                </w:rPr>
                                <m:t>i</m:t>
                              </m:r>
                            </m:sub>
                          </m:sSub>
                          <m:r>
                            <w:rPr>
                              <w:rFonts w:ascii="Cambria Math"/>
                            </w:rPr>
                            <m:t>-</m:t>
                          </m:r>
                          <m:sSub>
                            <m:sSubPr>
                              <m:ctrlPr>
                                <w:rPr>
                                  <w:rFonts w:ascii="Cambria Math" w:hAnsi="Cambria Math"/>
                                </w:rPr>
                              </m:ctrlPr>
                            </m:sSubPr>
                            <m:e>
                              <m:r>
                                <m:rPr>
                                  <m:sty m:val="p"/>
                                </m:rPr>
                                <w:rPr>
                                  <w:rFonts w:ascii="Cambria Math" w:hAnsi="Cambria Math"/>
                                </w:rPr>
                                <m:t>Δ</m:t>
                              </m:r>
                            </m:e>
                            <m:sub>
                              <m:r>
                                <w:rPr>
                                  <w:rFonts w:ascii="Cambria Math" w:hAnsi="Cambria Math"/>
                                </w:rPr>
                                <m:t>t-i</m:t>
                              </m:r>
                            </m:sub>
                          </m:sSub>
                          <m:sSub>
                            <m:sSubPr>
                              <m:ctrlPr>
                                <w:rPr>
                                  <w:rFonts w:ascii="Cambria Math" w:hAnsi="Cambria Math"/>
                                  <w:i/>
                                </w:rPr>
                              </m:ctrlPr>
                            </m:sSubPr>
                            <m:e>
                              <m:r>
                                <w:rPr>
                                  <w:rFonts w:ascii="Cambria Math"/>
                                </w:rPr>
                                <m:t>a</m:t>
                              </m:r>
                            </m:e>
                            <m:sub>
                              <m:r>
                                <w:rPr>
                                  <w:rFonts w:ascii="Cambria Math"/>
                                </w:rPr>
                                <m:t>t</m:t>
                              </m:r>
                              <m:r>
                                <w:rPr>
                                  <w:rFonts w:ascii="Cambria Math"/>
                                </w:rPr>
                                <m:t>-</m:t>
                              </m:r>
                              <m:r>
                                <w:rPr>
                                  <w:rFonts w:ascii="Cambria Math"/>
                                </w:rPr>
                                <m:t>i</m:t>
                              </m:r>
                              <m:r>
                                <w:rPr>
                                  <w:rFonts w:ascii="Cambria Math"/>
                                </w:rPr>
                                <m:t>-</m:t>
                              </m:r>
                              <m:r>
                                <w:rPr>
                                  <w:rFonts w:ascii="Cambria Math"/>
                                </w:rPr>
                                <m:t>1</m:t>
                              </m:r>
                            </m:sub>
                          </m:sSub>
                        </m:e>
                      </m:d>
                    </m:e>
                    <m:sup>
                      <m:r>
                        <w:rPr>
                          <w:rFonts w:ascii="Cambria Math"/>
                        </w:rPr>
                        <m:t>2</m:t>
                      </m:r>
                    </m:sup>
                  </m:sSup>
                </m:e>
              </m:nary>
            </m:e>
          </m:nary>
        </m:oMath>
      </m:oMathPara>
    </w:p>
    <w:p w14:paraId="1F63D3F7" w14:textId="3BCC6EC0" w:rsidR="00AE2465" w:rsidRDefault="00AF37DF" w:rsidP="003C6526">
      <w:pPr>
        <w:spacing w:line="360" w:lineRule="auto"/>
        <w:jc w:val="both"/>
      </w:pPr>
      <w:proofErr w:type="gramStart"/>
      <w:r>
        <w:rPr>
          <w:lang w:val="en-US"/>
        </w:rPr>
        <w:t>where</w:t>
      </w:r>
      <w:proofErr w:type="gramEnd"/>
      <w:r>
        <w:rPr>
          <w:lang w:val="en-US"/>
        </w:rPr>
        <w:t xml:space="preserve"> </w:t>
      </w:r>
      <m:oMath>
        <m:sSub>
          <m:sSubPr>
            <m:ctrlPr>
              <w:rPr>
                <w:rFonts w:ascii="Cambria Math" w:hAnsi="Cambria Math"/>
              </w:rPr>
            </m:ctrlPr>
          </m:sSubPr>
          <m:e>
            <m:r>
              <m:rPr>
                <m:sty m:val="p"/>
              </m:rPr>
              <w:rPr>
                <w:rFonts w:ascii="Cambria Math" w:hAnsi="Cambria Math"/>
              </w:rPr>
              <m:t>λ</m:t>
            </m:r>
          </m:e>
          <m:sub>
            <m:r>
              <w:rPr>
                <w:rFonts w:ascii="Cambria Math" w:hAnsi="Cambria Math"/>
              </w:rPr>
              <m:t>c</m:t>
            </m:r>
          </m:sub>
        </m:sSub>
      </m:oMath>
      <w:r>
        <w:rPr>
          <w:rFonts w:eastAsiaTheme="minorEastAsia"/>
        </w:rPr>
        <w:t xml:space="preserve"> and </w:t>
      </w:r>
      <m:oMath>
        <m:sSub>
          <m:sSubPr>
            <m:ctrlPr>
              <w:rPr>
                <w:rFonts w:ascii="Cambria Math" w:hAnsi="Cambria Math"/>
              </w:rPr>
            </m:ctrlPr>
          </m:sSubPr>
          <m:e>
            <m:r>
              <m:rPr>
                <m:sty m:val="p"/>
              </m:rPr>
              <w:rPr>
                <w:rFonts w:ascii="Cambria Math" w:hAnsi="Cambria Math"/>
              </w:rPr>
              <m:t>λ</m:t>
            </m:r>
          </m:e>
          <m:sub>
            <m:r>
              <w:rPr>
                <w:rFonts w:ascii="Cambria Math" w:hAnsi="Cambria Math"/>
              </w:rPr>
              <m:t>a</m:t>
            </m:r>
          </m:sub>
        </m:sSub>
      </m:oMath>
      <w:r>
        <w:rPr>
          <w:rFonts w:eastAsiaTheme="minorEastAsia"/>
        </w:rPr>
        <w:t xml:space="preserve">are </w:t>
      </w:r>
      <w:r w:rsidR="00B938C7">
        <w:rPr>
          <w:rFonts w:eastAsiaTheme="minorEastAsia"/>
        </w:rPr>
        <w:t>parameters govern</w:t>
      </w:r>
      <w:r w:rsidR="00BE4364">
        <w:rPr>
          <w:rFonts w:eastAsiaTheme="minorEastAsia"/>
        </w:rPr>
        <w:t>ing</w:t>
      </w:r>
      <w:r w:rsidR="00B938C7">
        <w:rPr>
          <w:rFonts w:eastAsiaTheme="minorEastAsia"/>
        </w:rPr>
        <w:t xml:space="preserve"> the desired smoothness of the age and cohort effects</w:t>
      </w:r>
      <w:r w:rsidR="00AF79A1">
        <w:rPr>
          <w:rFonts w:eastAsiaTheme="minorEastAsia"/>
        </w:rPr>
        <w:t xml:space="preserve"> and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00AF79A1">
        <w:rPr>
          <w:rFonts w:eastAsiaTheme="minorEastAsia"/>
        </w:rPr>
        <w:t xml:space="preserve"> and </w:t>
      </w:r>
      <m:oMath>
        <m:sSub>
          <m:sSubPr>
            <m:ctrlPr>
              <w:rPr>
                <w:rFonts w:ascii="Cambria Math" w:hAnsi="Cambria Math"/>
              </w:rPr>
            </m:ctrlPr>
          </m:sSubPr>
          <m:e>
            <m:r>
              <m:rPr>
                <m:sty m:val="p"/>
              </m:rPr>
              <w:rPr>
                <w:rFonts w:ascii="Cambria Math" w:hAnsi="Cambria Math"/>
              </w:rPr>
              <m:t>Δ</m:t>
            </m:r>
          </m:e>
          <m:sub>
            <m:r>
              <w:rPr>
                <w:rFonts w:ascii="Cambria Math" w:hAnsi="Cambria Math"/>
              </w:rPr>
              <m:t>t-i</m:t>
            </m:r>
          </m:sub>
        </m:sSub>
      </m:oMath>
      <w:r w:rsidR="00AF79A1">
        <w:rPr>
          <w:rFonts w:eastAsiaTheme="minorEastAsia"/>
        </w:rPr>
        <w:t xml:space="preserve"> denote differences with respect to age and cohort respectively</w:t>
      </w:r>
      <w:r w:rsidR="00B938C7">
        <w:rPr>
          <w:rFonts w:eastAsiaTheme="minorEastAsia"/>
        </w:rPr>
        <w:t>. The solution to this problem is derived in Appendix</w:t>
      </w:r>
      <w:r w:rsidR="00515F82">
        <w:rPr>
          <w:rFonts w:eastAsiaTheme="minorEastAsia"/>
        </w:rPr>
        <w:t xml:space="preserve"> 1</w:t>
      </w:r>
      <w:r w:rsidR="00B938C7">
        <w:rPr>
          <w:rFonts w:eastAsiaTheme="minorEastAsia"/>
        </w:rPr>
        <w:t>.</w:t>
      </w:r>
      <w:r w:rsidR="003C6526" w:rsidRPr="003C6526">
        <w:t xml:space="preserve"> </w:t>
      </w:r>
    </w:p>
    <w:p w14:paraId="0925ADC9" w14:textId="2529D4EE" w:rsidR="003C6526" w:rsidRDefault="00722C9A" w:rsidP="003C6526">
      <w:pPr>
        <w:spacing w:line="360" w:lineRule="auto"/>
        <w:jc w:val="both"/>
      </w:pPr>
      <w:r>
        <w:t xml:space="preserve">The resulting </w:t>
      </w:r>
      <w:r w:rsidR="008C534D">
        <w:t xml:space="preserve">annual </w:t>
      </w:r>
      <w:r>
        <w:t>age and cohort effects are generalisations of the linear trends in e.g. Tilley and Evans (2014).</w:t>
      </w:r>
      <w:r w:rsidR="00B601CE">
        <w:t xml:space="preserve"> </w:t>
      </w:r>
      <w:r w:rsidR="002C27DB">
        <w:t>Equally, o</w:t>
      </w:r>
      <w:r w:rsidR="00B601CE">
        <w:t xml:space="preserve">ur approach </w:t>
      </w:r>
      <w:r w:rsidR="00BE4364">
        <w:t>is related to</w:t>
      </w:r>
      <w:r w:rsidR="00B601CE">
        <w:t xml:space="preserve"> the grouping assumption used </w:t>
      </w:r>
      <w:r w:rsidR="00AE2465">
        <w:t>by</w:t>
      </w:r>
      <w:r w:rsidR="00B601CE">
        <w:t xml:space="preserve"> Grasso (2014), where cohorts are binned into groups (a 5-year birth cohort, for example) </w:t>
      </w:r>
      <w:r w:rsidR="002C27DB">
        <w:t>within which there</w:t>
      </w:r>
      <w:r w:rsidR="00B601CE">
        <w:t xml:space="preserve"> is no variation in cohort effects</w:t>
      </w:r>
      <w:r w:rsidR="002C27DB">
        <w:t>, but between which the variation is unrestricted</w:t>
      </w:r>
      <w:r w:rsidR="00B601CE">
        <w:t>.</w:t>
      </w:r>
      <w:r w:rsidR="00C63D88">
        <w:rPr>
          <w:rStyle w:val="FootnoteReference"/>
        </w:rPr>
        <w:footnoteReference w:id="12"/>
      </w:r>
      <w:r w:rsidR="002C27DB">
        <w:t xml:space="preserve"> Our method allows for variation between adjacent ages or dates of birth but limits the change in the change </w:t>
      </w:r>
      <w:r w:rsidR="00AE2465">
        <w:t>of</w:t>
      </w:r>
      <w:r w:rsidR="002C27DB">
        <w:t xml:space="preserve"> these effects.</w:t>
      </w:r>
    </w:p>
    <w:p w14:paraId="0588A8E0" w14:textId="696B485E" w:rsidR="000975EC" w:rsidRDefault="00362B5D" w:rsidP="00947587">
      <w:pPr>
        <w:spacing w:line="360" w:lineRule="auto"/>
        <w:jc w:val="both"/>
        <w:rPr>
          <w:rFonts w:eastAsiaTheme="minorEastAsia"/>
        </w:rPr>
      </w:pPr>
      <w:r>
        <w:rPr>
          <w:rFonts w:eastAsiaTheme="minorEastAsia"/>
        </w:rPr>
        <w:t>Figure 3</w:t>
      </w:r>
      <w:r w:rsidR="00E27974">
        <w:rPr>
          <w:rFonts w:eastAsiaTheme="minorEastAsia"/>
        </w:rPr>
        <w:t xml:space="preserve"> shows estimated age, period and cohort effects for different values </w:t>
      </w:r>
      <w:proofErr w:type="gramStart"/>
      <w:r w:rsidR="00E27974">
        <w:rPr>
          <w:rFonts w:eastAsiaTheme="minorEastAsia"/>
        </w:rPr>
        <w:t xml:space="preserve">of </w:t>
      </w:r>
      <w:proofErr w:type="gramEnd"/>
      <m:oMath>
        <m:sSub>
          <m:sSubPr>
            <m:ctrlPr>
              <w:rPr>
                <w:rFonts w:ascii="Cambria Math" w:hAnsi="Cambria Math"/>
              </w:rPr>
            </m:ctrlPr>
          </m:sSubPr>
          <m:e>
            <m:r>
              <m:rPr>
                <m:sty m:val="p"/>
              </m:rPr>
              <w:rPr>
                <w:rFonts w:ascii="Cambria Math" w:hAnsi="Cambria Math"/>
              </w:rPr>
              <m:t>λ</m:t>
            </m:r>
          </m:e>
          <m:sub>
            <m:r>
              <w:rPr>
                <w:rFonts w:ascii="Cambria Math" w:hAnsi="Cambria Math"/>
              </w:rPr>
              <m:t>c</m:t>
            </m:r>
          </m:sub>
        </m:sSub>
        <m:sSub>
          <m:sSubPr>
            <m:ctrlPr>
              <w:rPr>
                <w:rFonts w:ascii="Cambria Math" w:hAnsi="Cambria Math"/>
              </w:rPr>
            </m:ctrlPr>
          </m:sSubPr>
          <m:e>
            <m:r>
              <m:rPr>
                <m:sty m:val="p"/>
              </m:rPr>
              <w:rPr>
                <w:rFonts w:ascii="Cambria Math" w:hAnsi="Cambria Math"/>
              </w:rPr>
              <m:t>,λ</m:t>
            </m:r>
          </m:e>
          <m:sub>
            <m:r>
              <w:rPr>
                <w:rFonts w:ascii="Cambria Math" w:hAnsi="Cambria Math"/>
              </w:rPr>
              <m:t>a</m:t>
            </m:r>
          </m:sub>
        </m:sSub>
      </m:oMath>
      <w:r w:rsidR="00E27974">
        <w:rPr>
          <w:rFonts w:eastAsiaTheme="minorEastAsia"/>
        </w:rPr>
        <w:t xml:space="preserve">. We begin by </w:t>
      </w:r>
      <w:proofErr w:type="gramStart"/>
      <w:r w:rsidR="00E27974">
        <w:rPr>
          <w:rFonts w:eastAsiaTheme="minorEastAsia"/>
        </w:rPr>
        <w:t>setting</w:t>
      </w:r>
      <w:r w:rsidR="00AE2465">
        <w:rPr>
          <w:rFonts w:eastAsiaTheme="minorEastAsia"/>
        </w:rPr>
        <w:t xml:space="preserve"> </w:t>
      </w:r>
      <w:proofErr w:type="gramEnd"/>
      <m:oMath>
        <m:sSub>
          <m:sSubPr>
            <m:ctrlPr>
              <w:rPr>
                <w:rFonts w:ascii="Cambria Math" w:hAnsi="Cambria Math"/>
              </w:rPr>
            </m:ctrlPr>
          </m:sSubPr>
          <m:e>
            <m:r>
              <m:rPr>
                <m:sty m:val="p"/>
              </m:rPr>
              <w:rPr>
                <w:rFonts w:ascii="Cambria Math" w:hAnsi="Cambria Math"/>
              </w:rPr>
              <m:t>λ</m:t>
            </m:r>
          </m:e>
          <m:sub>
            <m:r>
              <w:rPr>
                <w:rFonts w:ascii="Cambria Math" w:hAnsi="Cambria Math"/>
              </w:rPr>
              <m:t>c</m:t>
            </m:r>
          </m:sub>
        </m:sSub>
        <m:sSub>
          <m:sSubPr>
            <m:ctrlPr>
              <w:rPr>
                <w:rFonts w:ascii="Cambria Math" w:hAnsi="Cambria Math"/>
              </w:rPr>
            </m:ctrlPr>
          </m:sSubPr>
          <m:e>
            <m:r>
              <m:rPr>
                <m:sty m:val="p"/>
              </m:rPr>
              <w:rPr>
                <w:rFonts w:ascii="Cambria Math" w:hAnsi="Cambria Math"/>
              </w:rPr>
              <m:t>,λ</m:t>
            </m:r>
          </m:e>
          <m:sub>
            <m:r>
              <w:rPr>
                <w:rFonts w:ascii="Cambria Math" w:hAnsi="Cambria Math"/>
              </w:rPr>
              <m:t>a</m:t>
            </m:r>
          </m:sub>
        </m:sSub>
        <m:r>
          <w:rPr>
            <w:rFonts w:ascii="Cambria Math" w:hAnsi="Cambria Math"/>
          </w:rPr>
          <m:t>=6.25</m:t>
        </m:r>
      </m:oMath>
      <w:r w:rsidR="00E27974">
        <w:rPr>
          <w:rFonts w:eastAsiaTheme="minorEastAsia"/>
        </w:rPr>
        <w:t>, the standard value for the HP filter using annual data,</w:t>
      </w:r>
      <w:r w:rsidR="0005183A">
        <w:rPr>
          <w:rFonts w:eastAsiaTheme="minorEastAsia"/>
        </w:rPr>
        <w:t xml:space="preserve"> and experiment with larger and smaller </w:t>
      </w:r>
      <w:r w:rsidR="00AE2465">
        <w:rPr>
          <w:rFonts w:eastAsiaTheme="minorEastAsia"/>
        </w:rPr>
        <w:t>values</w:t>
      </w:r>
      <w:r w:rsidR="0005183A">
        <w:rPr>
          <w:rFonts w:eastAsiaTheme="minorEastAsia"/>
        </w:rPr>
        <w:t>.</w:t>
      </w:r>
      <w:r w:rsidR="00D96513">
        <w:rPr>
          <w:rFonts w:eastAsiaTheme="minorEastAsia"/>
        </w:rPr>
        <w:t xml:space="preserve"> As shown</w:t>
      </w:r>
      <w:r w:rsidR="00740FF3">
        <w:rPr>
          <w:rFonts w:eastAsiaTheme="minorEastAsia"/>
        </w:rPr>
        <w:t xml:space="preserve">, </w:t>
      </w:r>
      <w:r w:rsidR="00AE2465">
        <w:rPr>
          <w:rFonts w:eastAsiaTheme="minorEastAsia"/>
        </w:rPr>
        <w:t>larger</w:t>
      </w:r>
      <w:r w:rsidR="00740FF3">
        <w:rPr>
          <w:rFonts w:eastAsiaTheme="minorEastAsia"/>
        </w:rPr>
        <w:t xml:space="preserve"> values of </w:t>
      </w:r>
      <m:oMath>
        <m:r>
          <m:rPr>
            <m:sty m:val="p"/>
          </m:rPr>
          <w:rPr>
            <w:rFonts w:ascii="Cambria Math" w:hAnsi="Cambria Math"/>
          </w:rPr>
          <m:t>λ</m:t>
        </m:r>
      </m:oMath>
      <w:r w:rsidR="00740FF3">
        <w:rPr>
          <w:rFonts w:eastAsiaTheme="minorEastAsia"/>
        </w:rPr>
        <w:t xml:space="preserve"> yield more nearly linear </w:t>
      </w:r>
      <w:r w:rsidR="00410D5D">
        <w:rPr>
          <w:rFonts w:eastAsiaTheme="minorEastAsia"/>
        </w:rPr>
        <w:t xml:space="preserve">age and cohort effects. </w:t>
      </w:r>
      <w:r w:rsidR="00670173">
        <w:rPr>
          <w:rFonts w:eastAsiaTheme="minorEastAsia"/>
        </w:rPr>
        <w:t>One reassuring</w:t>
      </w:r>
      <w:r w:rsidR="000975EC">
        <w:rPr>
          <w:rFonts w:eastAsiaTheme="minorEastAsia"/>
        </w:rPr>
        <w:t xml:space="preserve"> insight from Chart D is that</w:t>
      </w:r>
      <w:r w:rsidR="009272F4">
        <w:rPr>
          <w:rFonts w:eastAsiaTheme="minorEastAsia"/>
        </w:rPr>
        <w:t xml:space="preserve"> the</w:t>
      </w:r>
      <w:r w:rsidR="000975EC">
        <w:rPr>
          <w:rFonts w:eastAsiaTheme="minorEastAsia"/>
        </w:rPr>
        <w:t xml:space="preserve"> estimated time effects are almost completely insensitive to the choice </w:t>
      </w:r>
      <w:proofErr w:type="gramStart"/>
      <w:r w:rsidR="000975EC">
        <w:rPr>
          <w:rFonts w:eastAsiaTheme="minorEastAsia"/>
        </w:rPr>
        <w:t xml:space="preserve">of </w:t>
      </w:r>
      <w:proofErr w:type="gramEnd"/>
      <m:oMath>
        <m:r>
          <m:rPr>
            <m:sty m:val="p"/>
          </m:rPr>
          <w:rPr>
            <w:rFonts w:ascii="Cambria Math" w:hAnsi="Cambria Math"/>
          </w:rPr>
          <m:t>λ</m:t>
        </m:r>
      </m:oMath>
      <w:r w:rsidR="000975EC">
        <w:rPr>
          <w:rFonts w:eastAsiaTheme="minorEastAsia"/>
        </w:rPr>
        <w:t>.</w:t>
      </w:r>
      <w:r w:rsidR="00AE2465">
        <w:rPr>
          <w:rFonts w:eastAsiaTheme="minorEastAsia"/>
        </w:rPr>
        <w:t xml:space="preserve"> This is important, since these time effects will be prominent in our estimates and important for </w:t>
      </w:r>
      <w:r w:rsidR="00D96513">
        <w:rPr>
          <w:rFonts w:eastAsiaTheme="minorEastAsia"/>
        </w:rPr>
        <w:t>the associated</w:t>
      </w:r>
      <w:r w:rsidR="00AE2465">
        <w:rPr>
          <w:rFonts w:eastAsiaTheme="minorEastAsia"/>
        </w:rPr>
        <w:t xml:space="preserve"> forecasting exercises.</w:t>
      </w:r>
    </w:p>
    <w:p w14:paraId="0D3A9144" w14:textId="385E0B40" w:rsidR="00670173" w:rsidRDefault="009E01E1" w:rsidP="00947587">
      <w:pPr>
        <w:spacing w:line="360" w:lineRule="auto"/>
        <w:jc w:val="both"/>
        <w:rPr>
          <w:rFonts w:eastAsiaTheme="minorEastAsia"/>
        </w:rPr>
      </w:pPr>
      <w:r>
        <w:rPr>
          <w:rFonts w:eastAsiaTheme="minorEastAsia"/>
        </w:rPr>
        <w:t xml:space="preserve">When the smoothness parameter is </w:t>
      </w:r>
      <w:r w:rsidR="00670173">
        <w:rPr>
          <w:rFonts w:eastAsiaTheme="minorEastAsia"/>
        </w:rPr>
        <w:t>relatively low</w:t>
      </w:r>
      <w:r>
        <w:rPr>
          <w:rFonts w:eastAsiaTheme="minorEastAsia"/>
        </w:rPr>
        <w:t xml:space="preserve">, we see that </w:t>
      </w:r>
      <w:r w:rsidR="00070AE6">
        <w:rPr>
          <w:rFonts w:eastAsiaTheme="minorEastAsia"/>
        </w:rPr>
        <w:t xml:space="preserve">cohort effects are </w:t>
      </w:r>
      <w:proofErr w:type="spellStart"/>
      <w:r w:rsidR="00070AE6">
        <w:rPr>
          <w:rFonts w:eastAsiaTheme="minorEastAsia"/>
        </w:rPr>
        <w:t>nonmonotone</w:t>
      </w:r>
      <w:proofErr w:type="spellEnd"/>
      <w:r w:rsidR="00070AE6">
        <w:rPr>
          <w:rFonts w:eastAsiaTheme="minorEastAsia"/>
        </w:rPr>
        <w:t>, peaking for the generation born in the interwar period</w:t>
      </w:r>
      <w:r w:rsidR="000975EC">
        <w:rPr>
          <w:rFonts w:eastAsiaTheme="minorEastAsia"/>
        </w:rPr>
        <w:t>, falling for the baby boomers,</w:t>
      </w:r>
      <w:r w:rsidR="00070AE6">
        <w:rPr>
          <w:rFonts w:eastAsiaTheme="minorEastAsia"/>
        </w:rPr>
        <w:t xml:space="preserve"> and </w:t>
      </w:r>
      <w:r w:rsidR="000975EC">
        <w:rPr>
          <w:rFonts w:eastAsiaTheme="minorEastAsia"/>
        </w:rPr>
        <w:t xml:space="preserve">rising </w:t>
      </w:r>
      <w:r w:rsidR="00070AE6">
        <w:rPr>
          <w:rFonts w:eastAsiaTheme="minorEastAsia"/>
        </w:rPr>
        <w:t>again in the most recent cohort.</w:t>
      </w:r>
      <w:r w:rsidR="00070AE6">
        <w:rPr>
          <w:rStyle w:val="FootnoteReference"/>
          <w:rFonts w:eastAsiaTheme="minorEastAsia"/>
        </w:rPr>
        <w:footnoteReference w:id="13"/>
      </w:r>
      <w:r w:rsidR="00070AE6">
        <w:rPr>
          <w:rFonts w:eastAsiaTheme="minorEastAsia"/>
        </w:rPr>
        <w:t xml:space="preserve"> The min-max range of these cohort</w:t>
      </w:r>
      <w:r w:rsidR="000975EC">
        <w:rPr>
          <w:rFonts w:eastAsiaTheme="minorEastAsia"/>
        </w:rPr>
        <w:t xml:space="preserve"> effect</w:t>
      </w:r>
      <w:r w:rsidR="00070AE6">
        <w:rPr>
          <w:rFonts w:eastAsiaTheme="minorEastAsia"/>
        </w:rPr>
        <w:t xml:space="preserve">s is about 0.1 – other things equal, the probability of supporting EU membership </w:t>
      </w:r>
      <w:r w:rsidR="000975EC">
        <w:rPr>
          <w:rFonts w:eastAsiaTheme="minorEastAsia"/>
        </w:rPr>
        <w:t xml:space="preserve">varies </w:t>
      </w:r>
      <w:r w:rsidR="00070AE6">
        <w:rPr>
          <w:rFonts w:eastAsiaTheme="minorEastAsia"/>
        </w:rPr>
        <w:t>by about 10 percentage points</w:t>
      </w:r>
      <w:r w:rsidR="000975EC">
        <w:rPr>
          <w:rFonts w:eastAsiaTheme="minorEastAsia"/>
        </w:rPr>
        <w:t xml:space="preserve"> according to date of birth</w:t>
      </w:r>
      <w:r w:rsidR="00070AE6">
        <w:rPr>
          <w:rFonts w:eastAsiaTheme="minorEastAsia"/>
        </w:rPr>
        <w:t xml:space="preserve">. </w:t>
      </w:r>
      <w:r w:rsidR="00722C9A">
        <w:rPr>
          <w:rFonts w:eastAsiaTheme="minorEastAsia"/>
        </w:rPr>
        <w:t>A</w:t>
      </w:r>
      <w:r w:rsidR="00070AE6">
        <w:rPr>
          <w:rFonts w:eastAsiaTheme="minorEastAsia"/>
        </w:rPr>
        <w:t xml:space="preserve">ge effects are larger </w:t>
      </w:r>
      <w:r w:rsidR="000975EC">
        <w:rPr>
          <w:rFonts w:eastAsiaTheme="minorEastAsia"/>
        </w:rPr>
        <w:t xml:space="preserve">– </w:t>
      </w:r>
      <w:r w:rsidR="00670173">
        <w:rPr>
          <w:rFonts w:eastAsiaTheme="minorEastAsia"/>
        </w:rPr>
        <w:t>they fall within a</w:t>
      </w:r>
      <w:r w:rsidR="000975EC">
        <w:rPr>
          <w:rFonts w:eastAsiaTheme="minorEastAsia"/>
        </w:rPr>
        <w:t xml:space="preserve"> range of 0.3 - </w:t>
      </w:r>
      <w:r w:rsidR="00070AE6">
        <w:rPr>
          <w:rFonts w:eastAsiaTheme="minorEastAsia"/>
        </w:rPr>
        <w:t xml:space="preserve">and monotonically negative for a </w:t>
      </w:r>
      <w:r w:rsidR="000975EC">
        <w:rPr>
          <w:rFonts w:eastAsiaTheme="minorEastAsia"/>
        </w:rPr>
        <w:t xml:space="preserve">wider range of the smoothing parameters. </w:t>
      </w:r>
      <w:r w:rsidR="00722C9A">
        <w:rPr>
          <w:rFonts w:eastAsiaTheme="minorEastAsia"/>
        </w:rPr>
        <w:t xml:space="preserve">This echoes the finding in Tilley and Evans (2014) that voters </w:t>
      </w:r>
      <w:r w:rsidR="00AE2465">
        <w:rPr>
          <w:rFonts w:eastAsiaTheme="minorEastAsia"/>
        </w:rPr>
        <w:t>are</w:t>
      </w:r>
      <w:r w:rsidR="00722C9A">
        <w:rPr>
          <w:rFonts w:eastAsiaTheme="minorEastAsia"/>
        </w:rPr>
        <w:t xml:space="preserve"> more likely to vote Conservative as they age. </w:t>
      </w:r>
      <w:r w:rsidR="000975EC">
        <w:rPr>
          <w:rFonts w:eastAsiaTheme="minorEastAsia"/>
        </w:rPr>
        <w:t xml:space="preserve">There is some evidence that ageing </w:t>
      </w:r>
      <w:r w:rsidR="000975EC">
        <w:rPr>
          <w:rFonts w:eastAsiaTheme="minorEastAsia"/>
        </w:rPr>
        <w:lastRenderedPageBreak/>
        <w:t>effects f</w:t>
      </w:r>
      <w:r w:rsidR="00670173">
        <w:rPr>
          <w:rFonts w:eastAsiaTheme="minorEastAsia"/>
        </w:rPr>
        <w:t>all</w:t>
      </w:r>
      <w:r w:rsidR="000975EC">
        <w:rPr>
          <w:rFonts w:eastAsiaTheme="minorEastAsia"/>
        </w:rPr>
        <w:t xml:space="preserve"> off </w:t>
      </w:r>
      <w:r w:rsidR="00670173">
        <w:rPr>
          <w:rFonts w:eastAsiaTheme="minorEastAsia"/>
        </w:rPr>
        <w:t xml:space="preserve">(or flatten) </w:t>
      </w:r>
      <w:r w:rsidR="000975EC">
        <w:rPr>
          <w:rFonts w:eastAsiaTheme="minorEastAsia"/>
        </w:rPr>
        <w:t>for the very young and the very old. In the latter case, this may be driven in part by differential mortality among different demographic groups.</w:t>
      </w:r>
      <w:r w:rsidR="000975EC" w:rsidRPr="000975EC">
        <w:rPr>
          <w:rFonts w:eastAsiaTheme="minorEastAsia"/>
        </w:rPr>
        <w:t xml:space="preserve"> </w:t>
      </w:r>
    </w:p>
    <w:p w14:paraId="66C35D55" w14:textId="63527C64" w:rsidR="00E27974" w:rsidRPr="00947587" w:rsidRDefault="00475035" w:rsidP="00947587">
      <w:pPr>
        <w:spacing w:line="360" w:lineRule="auto"/>
        <w:jc w:val="both"/>
        <w:rPr>
          <w:rFonts w:eastAsiaTheme="minorEastAsia"/>
        </w:rPr>
      </w:pPr>
      <w:r>
        <w:rPr>
          <w:rFonts w:eastAsiaTheme="minorEastAsia"/>
        </w:rPr>
        <w:t xml:space="preserve">A value of </w:t>
      </w:r>
      <m:oMath>
        <m:sSub>
          <m:sSubPr>
            <m:ctrlPr>
              <w:rPr>
                <w:rFonts w:ascii="Cambria Math" w:hAnsi="Cambria Math"/>
              </w:rPr>
            </m:ctrlPr>
          </m:sSubPr>
          <m:e>
            <m:r>
              <m:rPr>
                <m:sty m:val="p"/>
              </m:rPr>
              <w:rPr>
                <w:rFonts w:ascii="Cambria Math" w:hAnsi="Cambria Math"/>
              </w:rPr>
              <m:t>λ</m:t>
            </m:r>
          </m:e>
          <m:sub>
            <m:r>
              <w:rPr>
                <w:rFonts w:ascii="Cambria Math" w:hAnsi="Cambria Math"/>
              </w:rPr>
              <m:t>c</m:t>
            </m:r>
          </m:sub>
        </m:sSub>
        <m:sSub>
          <m:sSubPr>
            <m:ctrlPr>
              <w:rPr>
                <w:rFonts w:ascii="Cambria Math" w:hAnsi="Cambria Math"/>
              </w:rPr>
            </m:ctrlPr>
          </m:sSubPr>
          <m:e>
            <m:r>
              <m:rPr>
                <m:sty m:val="p"/>
              </m:rPr>
              <w:rPr>
                <w:rFonts w:ascii="Cambria Math" w:hAnsi="Cambria Math"/>
              </w:rPr>
              <m:t>,λ</m:t>
            </m:r>
          </m:e>
          <m:sub>
            <m:r>
              <w:rPr>
                <w:rFonts w:ascii="Cambria Math" w:hAnsi="Cambria Math"/>
              </w:rPr>
              <m:t>a</m:t>
            </m:r>
          </m:sub>
        </m:sSub>
        <m:r>
          <w:rPr>
            <w:rFonts w:ascii="Cambria Math" w:hAnsi="Cambria Math"/>
          </w:rPr>
          <m:t>=0.625</m:t>
        </m:r>
      </m:oMath>
      <w:r w:rsidR="000975EC">
        <w:rPr>
          <w:rFonts w:eastAsiaTheme="minorEastAsia"/>
        </w:rPr>
        <w:t xml:space="preserve"> </w:t>
      </w:r>
      <w:r w:rsidR="00670173">
        <w:rPr>
          <w:rFonts w:eastAsiaTheme="minorEastAsia"/>
        </w:rPr>
        <w:t>y</w:t>
      </w:r>
      <w:r>
        <w:rPr>
          <w:rFonts w:eastAsiaTheme="minorEastAsia"/>
        </w:rPr>
        <w:t>ield</w:t>
      </w:r>
      <w:r w:rsidR="00670173">
        <w:rPr>
          <w:rFonts w:eastAsiaTheme="minorEastAsia"/>
        </w:rPr>
        <w:t>s</w:t>
      </w:r>
      <w:r>
        <w:rPr>
          <w:rFonts w:eastAsiaTheme="minorEastAsia"/>
        </w:rPr>
        <w:t xml:space="preserve"> time and age effects with a reasonable degree of smoothness and responsiveness to the data</w:t>
      </w:r>
      <w:r w:rsidR="00670173">
        <w:rPr>
          <w:rFonts w:eastAsiaTheme="minorEastAsia"/>
        </w:rPr>
        <w:t xml:space="preserve">.  We therefore </w:t>
      </w:r>
      <w:r w:rsidR="000975EC">
        <w:rPr>
          <w:rFonts w:eastAsiaTheme="minorEastAsia"/>
        </w:rPr>
        <w:t>take this as our baseline value</w:t>
      </w:r>
      <w:r w:rsidR="00670173">
        <w:rPr>
          <w:rFonts w:eastAsiaTheme="minorEastAsia"/>
        </w:rPr>
        <w:t xml:space="preserve"> and </w:t>
      </w:r>
      <w:r w:rsidR="00426630">
        <w:rPr>
          <w:rFonts w:eastAsiaTheme="minorEastAsia"/>
        </w:rPr>
        <w:t>conduct</w:t>
      </w:r>
      <w:r w:rsidR="000975EC">
        <w:rPr>
          <w:rFonts w:eastAsiaTheme="minorEastAsia"/>
        </w:rPr>
        <w:t xml:space="preserve"> sensitivity</w:t>
      </w:r>
      <w:r w:rsidR="00426630">
        <w:rPr>
          <w:rFonts w:eastAsiaTheme="minorEastAsia"/>
        </w:rPr>
        <w:t xml:space="preserve"> analyses</w:t>
      </w:r>
      <w:r w:rsidR="000975EC">
        <w:rPr>
          <w:rFonts w:eastAsiaTheme="minorEastAsia"/>
        </w:rPr>
        <w:t xml:space="preserve"> when mak</w:t>
      </w:r>
      <w:r w:rsidR="00670173">
        <w:rPr>
          <w:rFonts w:eastAsiaTheme="minorEastAsia"/>
        </w:rPr>
        <w:t>ing</w:t>
      </w:r>
      <w:r w:rsidR="000975EC">
        <w:rPr>
          <w:rFonts w:eastAsiaTheme="minorEastAsia"/>
        </w:rPr>
        <w:t xml:space="preserve"> projections.</w:t>
      </w:r>
    </w:p>
    <w:p w14:paraId="6FE07C6A" w14:textId="77777777" w:rsidR="00740FF3" w:rsidRPr="00947587" w:rsidRDefault="00362B5D" w:rsidP="00947587">
      <w:pPr>
        <w:keepNext/>
        <w:spacing w:line="360" w:lineRule="auto"/>
        <w:jc w:val="both"/>
        <w:rPr>
          <w:rFonts w:eastAsiaTheme="minorEastAsia"/>
          <w:b/>
        </w:rPr>
      </w:pPr>
      <w:r>
        <w:rPr>
          <w:rFonts w:eastAsiaTheme="minorEastAsia"/>
          <w:b/>
        </w:rPr>
        <w:t>Figure 3</w:t>
      </w:r>
      <w:r w:rsidR="00740FF3" w:rsidRPr="00947587">
        <w:rPr>
          <w:rFonts w:eastAsiaTheme="minorEastAsia"/>
          <w:b/>
        </w:rPr>
        <w:t xml:space="preserve"> – HP filtered estimates of APC effects, BES survey, for different values of </w:t>
      </w:r>
      <m:oMath>
        <m:r>
          <m:rPr>
            <m:sty m:val="b"/>
          </m:rPr>
          <w:rPr>
            <w:rFonts w:ascii="Cambria Math" w:hAnsi="Cambria Math"/>
          </w:rPr>
          <m:t>λ</m:t>
        </m:r>
      </m:oMath>
    </w:p>
    <w:p w14:paraId="1211D5FD" w14:textId="77777777" w:rsidR="00740FF3" w:rsidRDefault="00740FF3" w:rsidP="00947587">
      <w:pPr>
        <w:spacing w:line="360" w:lineRule="auto"/>
        <w:jc w:val="both"/>
        <w:rPr>
          <w:rFonts w:eastAsiaTheme="minorEastAsia"/>
        </w:rPr>
      </w:pPr>
      <w:r>
        <w:rPr>
          <w:rFonts w:eastAsiaTheme="minorEastAsia"/>
          <w:noProof/>
          <w:lang w:val="en-US"/>
        </w:rPr>
        <w:drawing>
          <wp:inline distT="0" distB="0" distL="0" distR="0" wp14:anchorId="5A4C5B3D" wp14:editId="3E551AA3">
            <wp:extent cx="5759450" cy="5448996"/>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5448996"/>
                    </a:xfrm>
                    <a:prstGeom prst="rect">
                      <a:avLst/>
                    </a:prstGeom>
                    <a:noFill/>
                    <a:ln>
                      <a:noFill/>
                    </a:ln>
                  </pic:spPr>
                </pic:pic>
              </a:graphicData>
            </a:graphic>
          </wp:inline>
        </w:drawing>
      </w:r>
    </w:p>
    <w:p w14:paraId="442DB7B9" w14:textId="0AE26D65" w:rsidR="00331775" w:rsidRDefault="005F2ACA" w:rsidP="00331775">
      <w:pPr>
        <w:spacing w:line="360" w:lineRule="auto"/>
        <w:jc w:val="both"/>
        <w:rPr>
          <w:lang w:val="en-US"/>
        </w:rPr>
      </w:pPr>
      <w:r w:rsidRPr="00394D51">
        <w:rPr>
          <w:lang w:val="en-US"/>
        </w:rPr>
        <w:t xml:space="preserve">In addition to </w:t>
      </w:r>
      <w:r w:rsidR="00E26239" w:rsidRPr="00394D51">
        <w:rPr>
          <w:lang w:val="en-US"/>
        </w:rPr>
        <w:t xml:space="preserve">uncertainty arising from the smoothing parameter, our estimated APC effects are uncertain due to sampling </w:t>
      </w:r>
      <w:r w:rsidR="00394D51">
        <w:rPr>
          <w:lang w:val="en-US"/>
        </w:rPr>
        <w:t>error</w:t>
      </w:r>
      <w:r w:rsidR="00E26239" w:rsidRPr="00394D51">
        <w:rPr>
          <w:lang w:val="en-US"/>
        </w:rPr>
        <w:t xml:space="preserve">. </w:t>
      </w:r>
      <w:r w:rsidR="00362B5D" w:rsidRPr="00394D51">
        <w:rPr>
          <w:lang w:val="en-US"/>
        </w:rPr>
        <w:t>Figure 4</w:t>
      </w:r>
      <w:r w:rsidR="00AF79A1" w:rsidRPr="00394D51">
        <w:rPr>
          <w:lang w:val="en-US"/>
        </w:rPr>
        <w:t xml:space="preserve"> displays </w:t>
      </w:r>
      <w:r w:rsidRPr="00394D51">
        <w:rPr>
          <w:lang w:val="en-US"/>
        </w:rPr>
        <w:t>bootstrapped 9</w:t>
      </w:r>
      <w:r w:rsidR="00394D51">
        <w:rPr>
          <w:lang w:val="en-US"/>
        </w:rPr>
        <w:t>0</w:t>
      </w:r>
      <w:r w:rsidRPr="00394D51">
        <w:rPr>
          <w:lang w:val="en-US"/>
        </w:rPr>
        <w:t xml:space="preserve">% </w:t>
      </w:r>
      <w:r w:rsidR="00AF79A1" w:rsidRPr="00394D51">
        <w:rPr>
          <w:lang w:val="en-US"/>
        </w:rPr>
        <w:t>confidence intervals</w:t>
      </w:r>
      <w:r w:rsidRPr="00394D51">
        <w:rPr>
          <w:lang w:val="en-US"/>
        </w:rPr>
        <w:t xml:space="preserve"> where we normalize our age effects to be zero at age 65</w:t>
      </w:r>
      <w:r w:rsidR="00AF79A1" w:rsidRPr="00394D51">
        <w:rPr>
          <w:lang w:val="en-US"/>
        </w:rPr>
        <w:t xml:space="preserve"> </w:t>
      </w:r>
      <w:r w:rsidRPr="00394D51">
        <w:rPr>
          <w:lang w:val="en-US"/>
        </w:rPr>
        <w:t>(the most common age of respondent</w:t>
      </w:r>
      <w:r w:rsidR="00E64757">
        <w:rPr>
          <w:lang w:val="en-US"/>
        </w:rPr>
        <w:t>s</w:t>
      </w:r>
      <w:r w:rsidRPr="00394D51">
        <w:rPr>
          <w:lang w:val="en-US"/>
        </w:rPr>
        <w:t xml:space="preserve"> in our sample)</w:t>
      </w:r>
      <w:r w:rsidR="00670173">
        <w:rPr>
          <w:lang w:val="en-US"/>
        </w:rPr>
        <w:t xml:space="preserve">. </w:t>
      </w:r>
      <w:r w:rsidR="00426630">
        <w:rPr>
          <w:lang w:val="en-US"/>
        </w:rPr>
        <w:t>Reassuringly, t</w:t>
      </w:r>
      <w:r w:rsidRPr="00394D51">
        <w:rPr>
          <w:lang w:val="en-US"/>
        </w:rPr>
        <w:t>hese intervals</w:t>
      </w:r>
      <w:r w:rsidR="00AF79A1" w:rsidRPr="00394D51">
        <w:rPr>
          <w:lang w:val="en-US"/>
        </w:rPr>
        <w:t xml:space="preserve"> are relatively narrow. </w:t>
      </w:r>
      <w:r w:rsidR="00B06A60" w:rsidRPr="00394D51">
        <w:rPr>
          <w:lang w:val="en-US"/>
        </w:rPr>
        <w:t>So</w:t>
      </w:r>
      <w:r w:rsidR="00331775" w:rsidRPr="00394D51">
        <w:rPr>
          <w:lang w:val="en-US"/>
        </w:rPr>
        <w:t xml:space="preserve"> </w:t>
      </w:r>
      <w:r w:rsidR="00CE4106" w:rsidRPr="00394D51">
        <w:rPr>
          <w:lang w:val="en-US"/>
        </w:rPr>
        <w:t xml:space="preserve">while </w:t>
      </w:r>
      <w:r w:rsidR="00331775" w:rsidRPr="00394D51">
        <w:rPr>
          <w:lang w:val="en-US"/>
        </w:rPr>
        <w:t xml:space="preserve">our estimates of age and cohort effects </w:t>
      </w:r>
      <w:r w:rsidR="00331775" w:rsidRPr="00394D51">
        <w:rPr>
          <w:lang w:val="en-US"/>
        </w:rPr>
        <w:lastRenderedPageBreak/>
        <w:t xml:space="preserve">are sensitive to </w:t>
      </w:r>
      <w:r w:rsidR="00891E63">
        <w:rPr>
          <w:lang w:val="en-US"/>
        </w:rPr>
        <w:t>assumptions about their</w:t>
      </w:r>
      <w:r w:rsidR="00331775" w:rsidRPr="00394D51">
        <w:rPr>
          <w:lang w:val="en-US"/>
        </w:rPr>
        <w:t xml:space="preserve"> smooth</w:t>
      </w:r>
      <w:r w:rsidR="00891E63">
        <w:rPr>
          <w:lang w:val="en-US"/>
        </w:rPr>
        <w:t>ness</w:t>
      </w:r>
      <w:r w:rsidR="00331775" w:rsidRPr="00394D51">
        <w:rPr>
          <w:lang w:val="en-US"/>
        </w:rPr>
        <w:t xml:space="preserve">, uncertainty due to sampling variability is </w:t>
      </w:r>
      <w:r w:rsidR="00670173">
        <w:rPr>
          <w:lang w:val="en-US"/>
        </w:rPr>
        <w:t>minor</w:t>
      </w:r>
      <w:r w:rsidR="00331775" w:rsidRPr="00394D51">
        <w:rPr>
          <w:lang w:val="en-US"/>
        </w:rPr>
        <w:t>.</w:t>
      </w:r>
      <w:r w:rsidR="00AF79A1" w:rsidRPr="00394D51">
        <w:rPr>
          <w:rStyle w:val="FootnoteReference"/>
          <w:lang w:val="en-US"/>
        </w:rPr>
        <w:footnoteReference w:id="14"/>
      </w:r>
    </w:p>
    <w:p w14:paraId="28EE1C22" w14:textId="77777777" w:rsidR="00331775" w:rsidRPr="00947587" w:rsidRDefault="00362B5D" w:rsidP="00947587">
      <w:pPr>
        <w:keepNext/>
        <w:spacing w:line="360" w:lineRule="auto"/>
        <w:jc w:val="both"/>
        <w:rPr>
          <w:b/>
          <w:lang w:val="en-US"/>
        </w:rPr>
      </w:pPr>
      <w:r w:rsidRPr="00947587">
        <w:rPr>
          <w:b/>
          <w:lang w:val="en-US"/>
        </w:rPr>
        <w:t>Figure 4</w:t>
      </w:r>
      <w:r w:rsidR="00331775" w:rsidRPr="00947587">
        <w:rPr>
          <w:b/>
          <w:lang w:val="en-US"/>
        </w:rPr>
        <w:t xml:space="preserve"> – bootstrapped confidence intervals for age and cohort effects</w:t>
      </w:r>
    </w:p>
    <w:p w14:paraId="51BA1BB8" w14:textId="77777777" w:rsidR="004313A2" w:rsidRDefault="00EE295F" w:rsidP="00947587">
      <w:pPr>
        <w:spacing w:line="360" w:lineRule="auto"/>
        <w:jc w:val="both"/>
        <w:rPr>
          <w:lang w:val="en-US"/>
        </w:rPr>
      </w:pPr>
      <w:r>
        <w:rPr>
          <w:noProof/>
          <w:lang w:val="en-US"/>
        </w:rPr>
        <w:drawing>
          <wp:inline distT="0" distB="0" distL="0" distR="0" wp14:anchorId="61EBB322" wp14:editId="2A4409FA">
            <wp:extent cx="5322570" cy="39852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22570" cy="3985260"/>
                    </a:xfrm>
                    <a:prstGeom prst="rect">
                      <a:avLst/>
                    </a:prstGeom>
                    <a:noFill/>
                    <a:ln>
                      <a:noFill/>
                    </a:ln>
                  </pic:spPr>
                </pic:pic>
              </a:graphicData>
            </a:graphic>
          </wp:inline>
        </w:drawing>
      </w:r>
    </w:p>
    <w:p w14:paraId="6BC633BD" w14:textId="6DD41C33" w:rsidR="00115519" w:rsidRDefault="00362B5D" w:rsidP="00947587">
      <w:pPr>
        <w:spacing w:line="360" w:lineRule="auto"/>
        <w:jc w:val="both"/>
        <w:rPr>
          <w:rFonts w:eastAsiaTheme="minorEastAsia"/>
        </w:rPr>
      </w:pPr>
      <w:r>
        <w:rPr>
          <w:lang w:val="en-US"/>
        </w:rPr>
        <w:t xml:space="preserve">Figure </w:t>
      </w:r>
      <w:r w:rsidR="003E38F4">
        <w:rPr>
          <w:lang w:val="en-US"/>
        </w:rPr>
        <w:t>5</w:t>
      </w:r>
      <w:r>
        <w:rPr>
          <w:lang w:val="en-US"/>
        </w:rPr>
        <w:t xml:space="preserve"> </w:t>
      </w:r>
      <w:r w:rsidR="00FC521F">
        <w:rPr>
          <w:lang w:val="en-US"/>
        </w:rPr>
        <w:t>compares our filtered estimates</w:t>
      </w:r>
      <w:r w:rsidR="00670173">
        <w:rPr>
          <w:lang w:val="en-US"/>
        </w:rPr>
        <w:t xml:space="preserve"> to</w:t>
      </w:r>
      <w:r w:rsidR="00FC521F">
        <w:rPr>
          <w:lang w:val="en-US"/>
        </w:rPr>
        <w:t xml:space="preserve"> those produced by simple uni</w:t>
      </w:r>
      <w:r w:rsidR="00891E63">
        <w:rPr>
          <w:lang w:val="en-US"/>
        </w:rPr>
        <w:t>variate</w:t>
      </w:r>
      <w:r w:rsidR="00FC521F">
        <w:rPr>
          <w:lang w:val="en-US"/>
        </w:rPr>
        <w:t xml:space="preserve"> and bivariate models of each effect, where we </w:t>
      </w:r>
      <w:proofErr w:type="gramStart"/>
      <w:r w:rsidR="00FC521F">
        <w:rPr>
          <w:lang w:val="en-US"/>
        </w:rPr>
        <w:t>regress</w:t>
      </w:r>
      <w:proofErr w:type="gramEnd"/>
      <w:r w:rsidR="00FC521F">
        <w:rPr>
          <w:lang w:val="en-US"/>
        </w:rPr>
        <w:t xml:space="preserve"> our indicator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sidR="00FC521F">
        <w:rPr>
          <w:rFonts w:eastAsiaTheme="minorEastAsia"/>
        </w:rPr>
        <w:t xml:space="preserve"> on one or two sets of dummy variables for age, period and/or cohort effects. </w:t>
      </w:r>
      <w:r w:rsidR="00AE2465">
        <w:rPr>
          <w:rFonts w:eastAsiaTheme="minorEastAsia"/>
        </w:rPr>
        <w:t>T</w:t>
      </w:r>
      <w:r w:rsidR="00A976FC">
        <w:rPr>
          <w:rFonts w:eastAsiaTheme="minorEastAsia"/>
        </w:rPr>
        <w:t xml:space="preserve">wo points </w:t>
      </w:r>
      <w:r w:rsidR="00AE2465">
        <w:rPr>
          <w:rFonts w:eastAsiaTheme="minorEastAsia"/>
        </w:rPr>
        <w:t xml:space="preserve">emerge </w:t>
      </w:r>
      <w:r w:rsidR="00A976FC">
        <w:rPr>
          <w:rFonts w:eastAsiaTheme="minorEastAsia"/>
        </w:rPr>
        <w:t>from the chart. First, t</w:t>
      </w:r>
      <w:r w:rsidR="00FC521F">
        <w:rPr>
          <w:rFonts w:eastAsiaTheme="minorEastAsia"/>
        </w:rPr>
        <w:t xml:space="preserve">he </w:t>
      </w:r>
      <w:r w:rsidR="009D512B">
        <w:rPr>
          <w:rFonts w:eastAsiaTheme="minorEastAsia"/>
        </w:rPr>
        <w:t xml:space="preserve">bottom panel </w:t>
      </w:r>
      <w:r w:rsidR="00FC521F">
        <w:rPr>
          <w:rFonts w:eastAsiaTheme="minorEastAsia"/>
        </w:rPr>
        <w:t xml:space="preserve">shows, </w:t>
      </w:r>
      <w:r w:rsidR="008727FA">
        <w:rPr>
          <w:rFonts w:eastAsiaTheme="minorEastAsia"/>
        </w:rPr>
        <w:t>as above</w:t>
      </w:r>
      <w:r w:rsidR="00FC521F">
        <w:rPr>
          <w:rFonts w:eastAsiaTheme="minorEastAsia"/>
        </w:rPr>
        <w:t xml:space="preserve">, that our estimates of period effects are </w:t>
      </w:r>
      <w:r w:rsidR="000C4E88">
        <w:rPr>
          <w:rFonts w:eastAsiaTheme="minorEastAsia"/>
        </w:rPr>
        <w:t xml:space="preserve">relatively </w:t>
      </w:r>
      <w:r w:rsidR="00FC521F">
        <w:rPr>
          <w:rFonts w:eastAsiaTheme="minorEastAsia"/>
        </w:rPr>
        <w:t>insensitive to what we assume about cohort and age effects</w:t>
      </w:r>
      <w:r w:rsidR="00A976FC">
        <w:rPr>
          <w:rFonts w:eastAsiaTheme="minorEastAsia"/>
        </w:rPr>
        <w:t>. This is consistent with the fact that the slow</w:t>
      </w:r>
      <w:r w:rsidR="00D96513">
        <w:rPr>
          <w:rFonts w:eastAsiaTheme="minorEastAsia"/>
        </w:rPr>
        <w:t>ly</w:t>
      </w:r>
      <w:r w:rsidR="00A976FC">
        <w:rPr>
          <w:rFonts w:eastAsiaTheme="minorEastAsia"/>
        </w:rPr>
        <w:t>-moving age and cohort effects</w:t>
      </w:r>
      <w:r w:rsidR="008727FA">
        <w:rPr>
          <w:rFonts w:eastAsiaTheme="minorEastAsia"/>
        </w:rPr>
        <w:t xml:space="preserve"> cannot possibly account for the </w:t>
      </w:r>
      <w:r w:rsidR="00D96513">
        <w:rPr>
          <w:rFonts w:eastAsiaTheme="minorEastAsia"/>
        </w:rPr>
        <w:t>sharp</w:t>
      </w:r>
      <w:r w:rsidR="005F37D0">
        <w:rPr>
          <w:rFonts w:eastAsiaTheme="minorEastAsia"/>
        </w:rPr>
        <w:t xml:space="preserve"> </w:t>
      </w:r>
      <w:r w:rsidR="008727FA">
        <w:rPr>
          <w:rFonts w:eastAsiaTheme="minorEastAsia"/>
        </w:rPr>
        <w:t xml:space="preserve">swings we have seen in national surveys. Second, the middle panel shows that a model without age effects estimates much steeper cohort effects. This </w:t>
      </w:r>
      <w:r w:rsidR="00D96513">
        <w:rPr>
          <w:rFonts w:eastAsiaTheme="minorEastAsia"/>
        </w:rPr>
        <w:t xml:space="preserve">reflects </w:t>
      </w:r>
      <w:r w:rsidR="008727FA">
        <w:rPr>
          <w:rFonts w:eastAsiaTheme="minorEastAsia"/>
        </w:rPr>
        <w:t xml:space="preserve">the fact </w:t>
      </w:r>
      <w:r w:rsidR="00D96513">
        <w:rPr>
          <w:rFonts w:eastAsiaTheme="minorEastAsia"/>
        </w:rPr>
        <w:t>that</w:t>
      </w:r>
      <w:r w:rsidR="008727FA">
        <w:rPr>
          <w:rFonts w:eastAsiaTheme="minorEastAsia"/>
        </w:rPr>
        <w:t xml:space="preserve"> recent cohorts are only observed when young, whereas the obverse is true for the earliest cohorts. This underlines the importance of accounting for age and cohort effects simultaneously.</w:t>
      </w:r>
    </w:p>
    <w:p w14:paraId="2DBBC7F5" w14:textId="77777777" w:rsidR="00AF79A1" w:rsidRPr="00947587" w:rsidRDefault="00362B5D" w:rsidP="00947587">
      <w:pPr>
        <w:keepNext/>
        <w:spacing w:line="360" w:lineRule="auto"/>
        <w:jc w:val="both"/>
        <w:rPr>
          <w:rFonts w:eastAsiaTheme="minorEastAsia"/>
          <w:b/>
        </w:rPr>
      </w:pPr>
      <w:r w:rsidRPr="00947587">
        <w:rPr>
          <w:rFonts w:eastAsiaTheme="minorEastAsia"/>
          <w:b/>
        </w:rPr>
        <w:lastRenderedPageBreak/>
        <w:t xml:space="preserve">Figure </w:t>
      </w:r>
      <w:r w:rsidR="003E38F4">
        <w:rPr>
          <w:rFonts w:eastAsiaTheme="minorEastAsia"/>
          <w:b/>
        </w:rPr>
        <w:t>5</w:t>
      </w:r>
      <w:r w:rsidRPr="00947587">
        <w:rPr>
          <w:rFonts w:eastAsiaTheme="minorEastAsia"/>
          <w:b/>
        </w:rPr>
        <w:t xml:space="preserve"> </w:t>
      </w:r>
      <w:r w:rsidR="005D3D1E" w:rsidRPr="00947587">
        <w:rPr>
          <w:rFonts w:eastAsiaTheme="minorEastAsia"/>
          <w:b/>
        </w:rPr>
        <w:t>– univariate,</w:t>
      </w:r>
      <w:r w:rsidR="004313A2" w:rsidRPr="00947587">
        <w:rPr>
          <w:rFonts w:eastAsiaTheme="minorEastAsia"/>
          <w:b/>
        </w:rPr>
        <w:t xml:space="preserve"> bivariate</w:t>
      </w:r>
      <w:r w:rsidR="004313A2">
        <w:rPr>
          <w:rFonts w:eastAsiaTheme="minorEastAsia"/>
          <w:b/>
        </w:rPr>
        <w:t xml:space="preserve"> and filtered estimates of APC effects</w:t>
      </w:r>
    </w:p>
    <w:p w14:paraId="17F2C3DE" w14:textId="77777777" w:rsidR="005D3D1E" w:rsidRDefault="00931E71" w:rsidP="00947587">
      <w:pPr>
        <w:spacing w:line="360" w:lineRule="auto"/>
        <w:jc w:val="both"/>
        <w:rPr>
          <w:rFonts w:eastAsiaTheme="minorEastAsia"/>
        </w:rPr>
      </w:pPr>
      <w:r>
        <w:rPr>
          <w:rFonts w:eastAsiaTheme="minorEastAsia"/>
          <w:noProof/>
          <w:lang w:val="en-US"/>
        </w:rPr>
        <w:drawing>
          <wp:inline distT="0" distB="0" distL="0" distR="0" wp14:anchorId="0F3F8182" wp14:editId="125808DC">
            <wp:extent cx="5328920" cy="398843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28920" cy="3988435"/>
                    </a:xfrm>
                    <a:prstGeom prst="rect">
                      <a:avLst/>
                    </a:prstGeom>
                    <a:noFill/>
                    <a:ln>
                      <a:noFill/>
                    </a:ln>
                  </pic:spPr>
                </pic:pic>
              </a:graphicData>
            </a:graphic>
          </wp:inline>
        </w:drawing>
      </w:r>
    </w:p>
    <w:p w14:paraId="5750E886" w14:textId="63FE8C49" w:rsidR="0017737E" w:rsidRDefault="00115519" w:rsidP="00115519">
      <w:pPr>
        <w:spacing w:line="360" w:lineRule="auto"/>
        <w:jc w:val="both"/>
        <w:rPr>
          <w:rFonts w:eastAsiaTheme="minorEastAsia"/>
        </w:rPr>
      </w:pPr>
      <w:r>
        <w:rPr>
          <w:rFonts w:eastAsiaTheme="minorEastAsia"/>
        </w:rPr>
        <w:t xml:space="preserve">Consistent with this, a bivariate model of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Pr>
          <w:rFonts w:eastAsiaTheme="minorEastAsia"/>
        </w:rPr>
        <w:t xml:space="preserve"> that</w:t>
      </w:r>
      <w:r w:rsidRPr="005D3D1E">
        <w:rPr>
          <w:rFonts w:eastAsiaTheme="minorEastAsia"/>
        </w:rPr>
        <w:t xml:space="preserve"> </w:t>
      </w:r>
      <w:r>
        <w:rPr>
          <w:rFonts w:eastAsiaTheme="minorEastAsia"/>
        </w:rPr>
        <w:t>omits period effects</w:t>
      </w:r>
      <w:r w:rsidRPr="005D3D1E">
        <w:rPr>
          <w:rFonts w:eastAsiaTheme="minorEastAsia"/>
        </w:rPr>
        <w:t xml:space="preserve"> </w:t>
      </w:r>
      <w:r>
        <w:rPr>
          <w:rFonts w:eastAsiaTheme="minorEastAsia"/>
        </w:rPr>
        <w:t xml:space="preserve">and depends </w:t>
      </w:r>
      <w:r w:rsidR="00670173">
        <w:rPr>
          <w:rFonts w:eastAsiaTheme="minorEastAsia"/>
        </w:rPr>
        <w:t>only</w:t>
      </w:r>
      <w:r>
        <w:rPr>
          <w:rFonts w:eastAsiaTheme="minorEastAsia"/>
        </w:rPr>
        <w:t xml:space="preserve"> on age and cohort comes close to our preferred filtered estimates.</w:t>
      </w:r>
      <w:r w:rsidRPr="00115519">
        <w:t xml:space="preserve"> </w:t>
      </w:r>
      <w:r w:rsidR="00670173">
        <w:t>O</w:t>
      </w:r>
      <w:r w:rsidRPr="00115519">
        <w:rPr>
          <w:rFonts w:eastAsiaTheme="minorEastAsia"/>
        </w:rPr>
        <w:t xml:space="preserve">ne way of examining the robustness of our results is </w:t>
      </w:r>
      <w:r w:rsidR="00670173">
        <w:rPr>
          <w:rFonts w:eastAsiaTheme="minorEastAsia"/>
        </w:rPr>
        <w:t xml:space="preserve">therefore </w:t>
      </w:r>
      <w:r w:rsidRPr="00115519">
        <w:rPr>
          <w:rFonts w:eastAsiaTheme="minorEastAsia"/>
        </w:rPr>
        <w:t xml:space="preserve">to calculate the bias </w:t>
      </w:r>
      <w:r>
        <w:rPr>
          <w:rFonts w:eastAsiaTheme="minorEastAsia"/>
        </w:rPr>
        <w:t xml:space="preserve">that would </w:t>
      </w:r>
      <w:r w:rsidR="00E64757">
        <w:rPr>
          <w:rFonts w:eastAsiaTheme="minorEastAsia"/>
        </w:rPr>
        <w:t xml:space="preserve">be </w:t>
      </w:r>
      <w:r>
        <w:rPr>
          <w:rFonts w:eastAsiaTheme="minorEastAsia"/>
        </w:rPr>
        <w:t>obtain</w:t>
      </w:r>
      <w:r w:rsidR="00E64757">
        <w:rPr>
          <w:rFonts w:eastAsiaTheme="minorEastAsia"/>
        </w:rPr>
        <w:t>ed</w:t>
      </w:r>
      <w:r w:rsidRPr="00115519">
        <w:rPr>
          <w:rFonts w:eastAsiaTheme="minorEastAsia"/>
        </w:rPr>
        <w:t xml:space="preserve"> in a bivariate model when there are </w:t>
      </w:r>
      <w:r>
        <w:rPr>
          <w:rFonts w:eastAsiaTheme="minorEastAsia"/>
        </w:rPr>
        <w:t xml:space="preserve">omitted </w:t>
      </w:r>
      <w:r w:rsidRPr="00115519">
        <w:rPr>
          <w:rFonts w:eastAsiaTheme="minorEastAsia"/>
        </w:rPr>
        <w:t xml:space="preserve">time effects. </w:t>
      </w:r>
      <w:r w:rsidR="0017737E">
        <w:rPr>
          <w:rFonts w:eastAsiaTheme="minorEastAsia"/>
        </w:rPr>
        <w:t xml:space="preserve">Appendix </w:t>
      </w:r>
      <w:r w:rsidR="00D704F4">
        <w:rPr>
          <w:rFonts w:eastAsiaTheme="minorEastAsia"/>
        </w:rPr>
        <w:t>2</w:t>
      </w:r>
      <w:r w:rsidR="0017737E">
        <w:rPr>
          <w:rFonts w:eastAsiaTheme="minorEastAsia"/>
        </w:rPr>
        <w:t xml:space="preserve"> shows that the bias that would result </w:t>
      </w:r>
      <w:r w:rsidR="0017737E" w:rsidRPr="00115519">
        <w:rPr>
          <w:rFonts w:eastAsiaTheme="minorEastAsia"/>
        </w:rPr>
        <w:t xml:space="preserve">from an omitted time effect </w:t>
      </w:r>
      <w:r w:rsidR="0017737E">
        <w:rPr>
          <w:rFonts w:eastAsiaTheme="minorEastAsia"/>
        </w:rPr>
        <w:t>depend</w:t>
      </w:r>
      <w:r w:rsidR="00670173">
        <w:rPr>
          <w:rFonts w:eastAsiaTheme="minorEastAsia"/>
        </w:rPr>
        <w:t>s</w:t>
      </w:r>
      <w:r w:rsidR="0017737E" w:rsidRPr="00115519">
        <w:rPr>
          <w:rFonts w:eastAsiaTheme="minorEastAsia"/>
        </w:rPr>
        <w:t xml:space="preserve"> on when the time effect</w:t>
      </w:r>
      <w:r w:rsidR="0017737E">
        <w:rPr>
          <w:rFonts w:eastAsiaTheme="minorEastAsia"/>
        </w:rPr>
        <w:t xml:space="preserve">s happen. A negative bias to the age gradient would require a negative time trend, with large negative time effects at the end of the sample. </w:t>
      </w:r>
      <w:r w:rsidR="005F37D0">
        <w:rPr>
          <w:rFonts w:eastAsiaTheme="minorEastAsia"/>
        </w:rPr>
        <w:t>In fact,</w:t>
      </w:r>
      <w:r w:rsidR="0017737E">
        <w:rPr>
          <w:rFonts w:eastAsiaTheme="minorEastAsia"/>
        </w:rPr>
        <w:t xml:space="preserve"> </w:t>
      </w:r>
      <w:r w:rsidR="0017737E" w:rsidRPr="00115519">
        <w:rPr>
          <w:rFonts w:eastAsiaTheme="minorEastAsia"/>
        </w:rPr>
        <w:t xml:space="preserve">all the measures we have of time effects suggest </w:t>
      </w:r>
      <w:r w:rsidR="00D96513">
        <w:rPr>
          <w:rFonts w:eastAsiaTheme="minorEastAsia"/>
        </w:rPr>
        <w:t xml:space="preserve">that they are small in 2016 and </w:t>
      </w:r>
      <w:r w:rsidR="00670173">
        <w:rPr>
          <w:rFonts w:eastAsiaTheme="minorEastAsia"/>
        </w:rPr>
        <w:t>reasonably</w:t>
      </w:r>
      <w:r w:rsidR="0017737E" w:rsidRPr="00115519">
        <w:rPr>
          <w:rFonts w:eastAsiaTheme="minorEastAsia"/>
        </w:rPr>
        <w:t xml:space="preserve"> stationary, </w:t>
      </w:r>
      <w:r w:rsidR="0017737E">
        <w:rPr>
          <w:rFonts w:eastAsiaTheme="minorEastAsia"/>
        </w:rPr>
        <w:t xml:space="preserve">in contrast to the trend needed </w:t>
      </w:r>
      <w:r w:rsidR="0017737E" w:rsidRPr="00115519">
        <w:rPr>
          <w:rFonts w:eastAsiaTheme="minorEastAsia"/>
        </w:rPr>
        <w:t>to generate our results</w:t>
      </w:r>
      <w:r w:rsidR="00D96513">
        <w:rPr>
          <w:rFonts w:eastAsiaTheme="minorEastAsia"/>
        </w:rPr>
        <w:t>.  This</w:t>
      </w:r>
      <w:r w:rsidR="005F37D0">
        <w:rPr>
          <w:rFonts w:eastAsiaTheme="minorEastAsia"/>
        </w:rPr>
        <w:t xml:space="preserve"> again serves to reassure</w:t>
      </w:r>
      <w:r w:rsidR="0017737E" w:rsidRPr="00115519">
        <w:rPr>
          <w:rFonts w:eastAsiaTheme="minorEastAsia"/>
        </w:rPr>
        <w:t>.</w:t>
      </w:r>
    </w:p>
    <w:p w14:paraId="55F54474" w14:textId="51EFA4A0" w:rsidR="00D85F61" w:rsidRDefault="009A2C17" w:rsidP="003E38F4">
      <w:pPr>
        <w:spacing w:line="360" w:lineRule="auto"/>
        <w:jc w:val="both"/>
        <w:rPr>
          <w:lang w:val="en-US"/>
        </w:rPr>
      </w:pPr>
      <w:r>
        <w:rPr>
          <w:lang w:val="en-US"/>
        </w:rPr>
        <w:t xml:space="preserve">As a further </w:t>
      </w:r>
      <w:r w:rsidR="000E111E">
        <w:rPr>
          <w:lang w:val="en-US"/>
        </w:rPr>
        <w:t xml:space="preserve">robustness </w:t>
      </w:r>
      <w:r w:rsidR="00D85F61">
        <w:rPr>
          <w:lang w:val="en-US"/>
        </w:rPr>
        <w:t>checks</w:t>
      </w:r>
      <w:r>
        <w:rPr>
          <w:lang w:val="en-US"/>
        </w:rPr>
        <w:t>,</w:t>
      </w:r>
      <w:r w:rsidR="00D85F61">
        <w:rPr>
          <w:lang w:val="en-US"/>
        </w:rPr>
        <w:t xml:space="preserve"> Figure 6 </w:t>
      </w:r>
      <w:r w:rsidR="006C5CE2">
        <w:rPr>
          <w:lang w:val="en-US"/>
        </w:rPr>
        <w:t>plots the time series of average pro-European sentiment</w:t>
      </w:r>
      <w:r w:rsidR="008727FA">
        <w:rPr>
          <w:lang w:val="en-US"/>
        </w:rPr>
        <w:t xml:space="preserve"> for 10-year birth cohorts,</w:t>
      </w:r>
      <w:r w:rsidR="006C5CE2">
        <w:rPr>
          <w:lang w:val="en-US"/>
        </w:rPr>
        <w:t xml:space="preserve"> normalized for the average sentiment in the population at the time it was measured. It </w:t>
      </w:r>
      <w:r w:rsidR="00D85F61">
        <w:rPr>
          <w:lang w:val="en-US"/>
        </w:rPr>
        <w:t xml:space="preserve">shows how the pro-Europeanism of successive cohorts </w:t>
      </w:r>
      <w:r w:rsidR="006C5CE2">
        <w:rPr>
          <w:lang w:val="en-US"/>
        </w:rPr>
        <w:t xml:space="preserve">has evolved over their lifetimes </w:t>
      </w:r>
      <w:r w:rsidR="000E111E">
        <w:rPr>
          <w:lang w:val="en-US"/>
        </w:rPr>
        <w:t>controlling for</w:t>
      </w:r>
      <w:r w:rsidR="006C5CE2">
        <w:rPr>
          <w:lang w:val="en-US"/>
        </w:rPr>
        <w:t xml:space="preserve"> time effects. The picture </w:t>
      </w:r>
      <w:r w:rsidR="00690F76">
        <w:rPr>
          <w:lang w:val="en-US"/>
        </w:rPr>
        <w:t>indicates</w:t>
      </w:r>
      <w:r w:rsidR="006C5CE2">
        <w:rPr>
          <w:lang w:val="en-US"/>
        </w:rPr>
        <w:t xml:space="preserve"> that the average trend </w:t>
      </w:r>
      <w:r w:rsidR="00690F76">
        <w:rPr>
          <w:lang w:val="en-US"/>
        </w:rPr>
        <w:t xml:space="preserve">in pro-EU sentiment </w:t>
      </w:r>
      <w:r w:rsidR="00426630">
        <w:rPr>
          <w:lang w:val="en-US"/>
        </w:rPr>
        <w:t>over</w:t>
      </w:r>
      <w:r w:rsidR="006C5CE2">
        <w:rPr>
          <w:lang w:val="en-US"/>
        </w:rPr>
        <w:t xml:space="preserve"> a ty</w:t>
      </w:r>
      <w:r w:rsidR="008727FA">
        <w:rPr>
          <w:lang w:val="en-US"/>
        </w:rPr>
        <w:t>pical cohort’s life is negative, albeit highly variable.</w:t>
      </w:r>
    </w:p>
    <w:p w14:paraId="76FD4E44" w14:textId="396398D8" w:rsidR="000E111E" w:rsidRDefault="009A2C17" w:rsidP="000E111E">
      <w:pPr>
        <w:spacing w:line="360" w:lineRule="auto"/>
        <w:jc w:val="both"/>
        <w:rPr>
          <w:lang w:val="en-US"/>
        </w:rPr>
      </w:pPr>
      <w:r>
        <w:rPr>
          <w:lang w:val="en-US"/>
        </w:rPr>
        <w:t>Finally</w:t>
      </w:r>
      <w:r w:rsidR="00D704F4">
        <w:rPr>
          <w:lang w:val="en-US"/>
        </w:rPr>
        <w:t>, in Appendix 3</w:t>
      </w:r>
      <w:r w:rsidR="000E111E">
        <w:rPr>
          <w:lang w:val="en-US"/>
        </w:rPr>
        <w:t xml:space="preserve"> we report estimate</w:t>
      </w:r>
      <w:r w:rsidR="00217D2C">
        <w:rPr>
          <w:lang w:val="en-US"/>
        </w:rPr>
        <w:t>s</w:t>
      </w:r>
      <w:r w:rsidR="000E111E">
        <w:rPr>
          <w:lang w:val="en-US"/>
        </w:rPr>
        <w:t xml:space="preserve"> from a model that proxies </w:t>
      </w:r>
      <w:r w:rsidR="00455658">
        <w:rPr>
          <w:lang w:val="en-US"/>
        </w:rPr>
        <w:t xml:space="preserve">for </w:t>
      </w:r>
      <w:r w:rsidR="000E111E">
        <w:rPr>
          <w:lang w:val="en-US"/>
        </w:rPr>
        <w:t>time effects with observable variables</w:t>
      </w:r>
      <w:r w:rsidR="00217D2C">
        <w:rPr>
          <w:lang w:val="en-US"/>
        </w:rPr>
        <w:t xml:space="preserve">, such as </w:t>
      </w:r>
      <w:r w:rsidR="000E111E">
        <w:rPr>
          <w:lang w:val="en-US"/>
        </w:rPr>
        <w:t>unemployment and GDP growth</w:t>
      </w:r>
      <w:r w:rsidR="00217D2C">
        <w:rPr>
          <w:lang w:val="en-US"/>
        </w:rPr>
        <w:t>,</w:t>
      </w:r>
      <w:r w:rsidR="000E111E">
        <w:rPr>
          <w:lang w:val="en-US"/>
        </w:rPr>
        <w:t xml:space="preserve"> and finds strong negative age effects.</w:t>
      </w:r>
    </w:p>
    <w:p w14:paraId="27A079EA" w14:textId="49148D75" w:rsidR="001A7408" w:rsidRDefault="001A7408" w:rsidP="00D85F61">
      <w:pPr>
        <w:keepNext/>
        <w:spacing w:line="360" w:lineRule="auto"/>
        <w:jc w:val="both"/>
        <w:rPr>
          <w:lang w:val="en-US"/>
        </w:rPr>
      </w:pPr>
      <w:r>
        <w:rPr>
          <w:b/>
          <w:lang w:val="en-US"/>
        </w:rPr>
        <w:lastRenderedPageBreak/>
        <w:t xml:space="preserve">Figure </w:t>
      </w:r>
      <w:r w:rsidR="004B444A">
        <w:rPr>
          <w:b/>
          <w:lang w:val="en-US"/>
        </w:rPr>
        <w:t>6</w:t>
      </w:r>
      <w:r w:rsidR="00346B46">
        <w:rPr>
          <w:b/>
          <w:lang w:val="en-US"/>
        </w:rPr>
        <w:t xml:space="preserve"> - e</w:t>
      </w:r>
      <w:r w:rsidRPr="007A61B3">
        <w:rPr>
          <w:b/>
          <w:lang w:val="en-US"/>
        </w:rPr>
        <w:t>volution of pro-E</w:t>
      </w:r>
      <w:r>
        <w:rPr>
          <w:b/>
          <w:lang w:val="en-US"/>
        </w:rPr>
        <w:t xml:space="preserve">U sentiment across the lifetime, </w:t>
      </w:r>
      <w:r w:rsidRPr="007A61B3">
        <w:rPr>
          <w:b/>
          <w:lang w:val="en-US"/>
        </w:rPr>
        <w:t xml:space="preserve">by </w:t>
      </w:r>
      <w:proofErr w:type="gramStart"/>
      <w:r w:rsidRPr="007A61B3">
        <w:rPr>
          <w:b/>
          <w:lang w:val="en-US"/>
        </w:rPr>
        <w:t>cohort</w:t>
      </w:r>
      <w:r>
        <w:rPr>
          <w:b/>
          <w:lang w:val="en-US"/>
        </w:rPr>
        <w:t xml:space="preserve">  -</w:t>
      </w:r>
      <w:proofErr w:type="gramEnd"/>
      <w:r>
        <w:rPr>
          <w:b/>
          <w:lang w:val="en-US"/>
        </w:rPr>
        <w:t xml:space="preserve">  </w:t>
      </w:r>
      <w:r w:rsidRPr="007A61B3">
        <w:rPr>
          <w:b/>
          <w:lang w:val="en-US"/>
        </w:rPr>
        <w:t xml:space="preserve"> </w:t>
      </w:r>
      <w:r>
        <w:rPr>
          <w:b/>
          <w:i/>
          <w:noProof/>
          <w:lang w:eastAsia="en-GB"/>
        </w:rPr>
        <w:t xml:space="preserve">BES  </w:t>
      </w:r>
    </w:p>
    <w:p w14:paraId="731BB6BB" w14:textId="77777777" w:rsidR="004B444A" w:rsidRDefault="004B444A" w:rsidP="003E38F4">
      <w:pPr>
        <w:spacing w:line="360" w:lineRule="auto"/>
        <w:jc w:val="both"/>
        <w:rPr>
          <w:lang w:val="en-US"/>
        </w:rPr>
      </w:pPr>
    </w:p>
    <w:tbl>
      <w:tblPr>
        <w:tblStyle w:val="TableGrid"/>
        <w:tblpPr w:leftFromText="180" w:rightFromText="180" w:vertAnchor="text" w:horzAnchor="margin"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4B444A" w14:paraId="31A5AFF5" w14:textId="77777777" w:rsidTr="008606E8">
        <w:tc>
          <w:tcPr>
            <w:tcW w:w="9286" w:type="dxa"/>
          </w:tcPr>
          <w:p w14:paraId="5189E1BB" w14:textId="77777777" w:rsidR="004B444A" w:rsidRDefault="004B444A" w:rsidP="008606E8">
            <w:pPr>
              <w:jc w:val="both"/>
              <w:rPr>
                <w:noProof/>
                <w:lang w:eastAsia="en-GB"/>
              </w:rPr>
            </w:pPr>
            <w:r>
              <w:rPr>
                <w:noProof/>
                <w:lang w:val="en-US"/>
              </w:rPr>
              <w:drawing>
                <wp:inline distT="0" distB="0" distL="0" distR="0" wp14:anchorId="56588EFA" wp14:editId="5BA5C007">
                  <wp:extent cx="5943600" cy="4318635"/>
                  <wp:effectExtent l="0" t="0" r="0" b="571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bl>
    <w:p w14:paraId="6EB075D2" w14:textId="77777777" w:rsidR="000E111E" w:rsidRDefault="000E111E" w:rsidP="00F74F53">
      <w:pPr>
        <w:pStyle w:val="Title"/>
        <w:jc w:val="both"/>
        <w:rPr>
          <w:sz w:val="32"/>
          <w:szCs w:val="32"/>
          <w:lang w:val="en-US"/>
        </w:rPr>
      </w:pPr>
    </w:p>
    <w:p w14:paraId="3C5C087F" w14:textId="77777777" w:rsidR="00F74F53" w:rsidRPr="00CC24CA" w:rsidRDefault="00F74F53" w:rsidP="00F74F53">
      <w:pPr>
        <w:pStyle w:val="Title"/>
        <w:jc w:val="both"/>
        <w:rPr>
          <w:sz w:val="32"/>
          <w:szCs w:val="32"/>
          <w:lang w:val="en-US"/>
        </w:rPr>
      </w:pPr>
      <w:r>
        <w:rPr>
          <w:sz w:val="32"/>
          <w:szCs w:val="32"/>
          <w:lang w:val="en-US"/>
        </w:rPr>
        <w:t>4 Cohort effects and schooling</w:t>
      </w:r>
    </w:p>
    <w:p w14:paraId="31BEB659" w14:textId="7E268C96" w:rsidR="00F25F19" w:rsidRDefault="003A18D9" w:rsidP="003A18D9">
      <w:pPr>
        <w:spacing w:line="360" w:lineRule="auto"/>
        <w:jc w:val="both"/>
        <w:rPr>
          <w:rFonts w:eastAsiaTheme="minorEastAsia"/>
        </w:rPr>
      </w:pPr>
      <w:r>
        <w:rPr>
          <w:rFonts w:eastAsiaTheme="minorEastAsia"/>
        </w:rPr>
        <w:t>W</w:t>
      </w:r>
      <w:r w:rsidR="00515F82">
        <w:rPr>
          <w:rFonts w:eastAsiaTheme="minorEastAsia"/>
        </w:rPr>
        <w:t>hile w</w:t>
      </w:r>
      <w:r>
        <w:rPr>
          <w:rFonts w:eastAsiaTheme="minorEastAsia"/>
        </w:rPr>
        <w:t xml:space="preserve">e have identified </w:t>
      </w:r>
      <w:r w:rsidR="007056FE">
        <w:rPr>
          <w:rFonts w:eastAsiaTheme="minorEastAsia"/>
        </w:rPr>
        <w:t xml:space="preserve">differences in </w:t>
      </w:r>
      <w:r w:rsidR="00515F82">
        <w:rPr>
          <w:rFonts w:eastAsiaTheme="minorEastAsia"/>
        </w:rPr>
        <w:t>pro-</w:t>
      </w:r>
      <w:r w:rsidR="007056FE">
        <w:rPr>
          <w:rFonts w:eastAsiaTheme="minorEastAsia"/>
        </w:rPr>
        <w:t>European sentiment across cohorts at a given age</w:t>
      </w:r>
      <w:r w:rsidR="00515F82">
        <w:rPr>
          <w:rFonts w:eastAsiaTheme="minorEastAsia"/>
        </w:rPr>
        <w:t>, we</w:t>
      </w:r>
      <w:r>
        <w:rPr>
          <w:rFonts w:eastAsiaTheme="minorEastAsia"/>
        </w:rPr>
        <w:t xml:space="preserve"> have not explained </w:t>
      </w:r>
      <w:r w:rsidR="00515F82">
        <w:rPr>
          <w:rFonts w:eastAsiaTheme="minorEastAsia"/>
        </w:rPr>
        <w:t>their</w:t>
      </w:r>
      <w:r>
        <w:rPr>
          <w:rFonts w:eastAsiaTheme="minorEastAsia"/>
        </w:rPr>
        <w:t xml:space="preserve"> </w:t>
      </w:r>
      <w:r w:rsidR="00455658">
        <w:rPr>
          <w:rFonts w:eastAsiaTheme="minorEastAsia"/>
        </w:rPr>
        <w:t>presen</w:t>
      </w:r>
      <w:r w:rsidR="00515F82">
        <w:rPr>
          <w:rFonts w:eastAsiaTheme="minorEastAsia"/>
        </w:rPr>
        <w:t>ce</w:t>
      </w:r>
      <w:r>
        <w:rPr>
          <w:rFonts w:eastAsiaTheme="minorEastAsia"/>
        </w:rPr>
        <w:t>.</w:t>
      </w:r>
      <w:r w:rsidR="00263E1A">
        <w:rPr>
          <w:rFonts w:eastAsiaTheme="minorEastAsia"/>
        </w:rPr>
        <w:t xml:space="preserve"> </w:t>
      </w:r>
      <w:r w:rsidR="009A2C17">
        <w:rPr>
          <w:rFonts w:eastAsiaTheme="minorEastAsia"/>
        </w:rPr>
        <w:t>But i</w:t>
      </w:r>
      <w:r w:rsidR="007056FE">
        <w:rPr>
          <w:rFonts w:eastAsiaTheme="minorEastAsia"/>
        </w:rPr>
        <w:t xml:space="preserve">t </w:t>
      </w:r>
      <w:r w:rsidR="00D30B4E">
        <w:rPr>
          <w:rFonts w:eastAsiaTheme="minorEastAsia"/>
        </w:rPr>
        <w:t xml:space="preserve">may be possible to relate them </w:t>
      </w:r>
      <w:r w:rsidR="00F74F53">
        <w:rPr>
          <w:rFonts w:eastAsiaTheme="minorEastAsia"/>
        </w:rPr>
        <w:t>either to specific events</w:t>
      </w:r>
      <w:r w:rsidR="009F090D">
        <w:rPr>
          <w:rFonts w:eastAsiaTheme="minorEastAsia"/>
        </w:rPr>
        <w:t xml:space="preserve"> that happen to those cohorts</w:t>
      </w:r>
      <w:r w:rsidR="004E3384">
        <w:rPr>
          <w:rFonts w:eastAsiaTheme="minorEastAsia"/>
        </w:rPr>
        <w:t xml:space="preserve"> at formative points in their lives</w:t>
      </w:r>
      <w:r w:rsidR="00F74F53">
        <w:rPr>
          <w:rFonts w:eastAsiaTheme="minorEastAsia"/>
        </w:rPr>
        <w:t xml:space="preserve"> </w:t>
      </w:r>
      <w:r w:rsidR="00BA7376">
        <w:rPr>
          <w:rFonts w:eastAsiaTheme="minorEastAsia"/>
        </w:rPr>
        <w:t xml:space="preserve">(see e.g. </w:t>
      </w:r>
      <w:proofErr w:type="spellStart"/>
      <w:r w:rsidR="00BA7376">
        <w:rPr>
          <w:rFonts w:eastAsiaTheme="minorEastAsia"/>
        </w:rPr>
        <w:t>Malmandier</w:t>
      </w:r>
      <w:proofErr w:type="spellEnd"/>
      <w:r w:rsidR="00BA7376">
        <w:rPr>
          <w:rFonts w:eastAsiaTheme="minorEastAsia"/>
        </w:rPr>
        <w:t xml:space="preserve"> and Nagel 2009, </w:t>
      </w:r>
      <w:proofErr w:type="spellStart"/>
      <w:r w:rsidR="00BA7376">
        <w:rPr>
          <w:rFonts w:eastAsiaTheme="minorEastAsia"/>
        </w:rPr>
        <w:t>Malmandier</w:t>
      </w:r>
      <w:proofErr w:type="spellEnd"/>
      <w:r w:rsidR="00BA7376">
        <w:rPr>
          <w:rFonts w:eastAsiaTheme="minorEastAsia"/>
        </w:rPr>
        <w:t xml:space="preserve"> et al. 2017)</w:t>
      </w:r>
      <w:r w:rsidR="00263E1A">
        <w:rPr>
          <w:rFonts w:eastAsiaTheme="minorEastAsia"/>
        </w:rPr>
        <w:t xml:space="preserve"> </w:t>
      </w:r>
      <w:r w:rsidR="00F74F53">
        <w:rPr>
          <w:rFonts w:eastAsiaTheme="minorEastAsia"/>
        </w:rPr>
        <w:t xml:space="preserve">or to changes in the composition of observable characteristics between generations. </w:t>
      </w:r>
      <w:r w:rsidR="00F25F19">
        <w:rPr>
          <w:rFonts w:eastAsiaTheme="minorEastAsia"/>
        </w:rPr>
        <w:t>Explaining cohort effects in this way may help to forecast the</w:t>
      </w:r>
      <w:r w:rsidR="000E111E">
        <w:rPr>
          <w:rFonts w:eastAsiaTheme="minorEastAsia"/>
        </w:rPr>
        <w:t xml:space="preserve">ir </w:t>
      </w:r>
      <w:r w:rsidR="00F25F19">
        <w:rPr>
          <w:rFonts w:eastAsiaTheme="minorEastAsia"/>
        </w:rPr>
        <w:t>future</w:t>
      </w:r>
      <w:r w:rsidR="000E111E">
        <w:rPr>
          <w:rFonts w:eastAsiaTheme="minorEastAsia"/>
        </w:rPr>
        <w:t xml:space="preserve"> evolution</w:t>
      </w:r>
      <w:r w:rsidR="00F25F19">
        <w:rPr>
          <w:rFonts w:eastAsiaTheme="minorEastAsia"/>
        </w:rPr>
        <w:t xml:space="preserve">. </w:t>
      </w:r>
    </w:p>
    <w:p w14:paraId="7C662F5F" w14:textId="6B85464A" w:rsidR="00303877" w:rsidRDefault="00F74F53" w:rsidP="003A18D9">
      <w:pPr>
        <w:spacing w:line="360" w:lineRule="auto"/>
        <w:jc w:val="both"/>
        <w:rPr>
          <w:rFonts w:eastAsiaTheme="minorEastAsia"/>
        </w:rPr>
      </w:pPr>
      <w:r>
        <w:rPr>
          <w:rFonts w:eastAsiaTheme="minorEastAsia"/>
        </w:rPr>
        <w:t xml:space="preserve">In this section </w:t>
      </w:r>
      <w:r w:rsidR="00303877">
        <w:rPr>
          <w:rFonts w:eastAsiaTheme="minorEastAsia"/>
        </w:rPr>
        <w:t xml:space="preserve">we </w:t>
      </w:r>
      <w:r w:rsidR="00455658">
        <w:rPr>
          <w:rFonts w:eastAsiaTheme="minorEastAsia"/>
        </w:rPr>
        <w:t>ask</w:t>
      </w:r>
      <w:r w:rsidR="00303877">
        <w:rPr>
          <w:rFonts w:eastAsiaTheme="minorEastAsia"/>
        </w:rPr>
        <w:t xml:space="preserve"> how much of the cohort effect can be explained by changes in years</w:t>
      </w:r>
      <w:r w:rsidR="00F25F19">
        <w:rPr>
          <w:rFonts w:eastAsiaTheme="minorEastAsia"/>
        </w:rPr>
        <w:t xml:space="preserve"> of schooling. </w:t>
      </w:r>
      <w:r w:rsidR="00501144">
        <w:rPr>
          <w:rFonts w:eastAsiaTheme="minorEastAsia"/>
        </w:rPr>
        <w:t xml:space="preserve">Figure </w:t>
      </w:r>
      <w:r w:rsidR="004B444A">
        <w:rPr>
          <w:rFonts w:eastAsiaTheme="minorEastAsia"/>
        </w:rPr>
        <w:t>7</w:t>
      </w:r>
      <w:r w:rsidR="00501144">
        <w:rPr>
          <w:rFonts w:eastAsiaTheme="minorEastAsia"/>
        </w:rPr>
        <w:t xml:space="preserve"> shows a </w:t>
      </w:r>
      <w:r w:rsidR="00303877">
        <w:rPr>
          <w:rFonts w:eastAsiaTheme="minorEastAsia"/>
        </w:rPr>
        <w:t>non</w:t>
      </w:r>
      <w:r w:rsidR="004703ED">
        <w:rPr>
          <w:rFonts w:eastAsiaTheme="minorEastAsia"/>
        </w:rPr>
        <w:t>-</w:t>
      </w:r>
      <w:r w:rsidR="00303877">
        <w:rPr>
          <w:rFonts w:eastAsiaTheme="minorEastAsia"/>
        </w:rPr>
        <w:t xml:space="preserve">monotone relationship </w:t>
      </w:r>
      <w:r w:rsidR="008606E8">
        <w:rPr>
          <w:rFonts w:eastAsiaTheme="minorEastAsia"/>
        </w:rPr>
        <w:t>in 2016</w:t>
      </w:r>
      <w:r w:rsidR="00253D3F">
        <w:rPr>
          <w:rFonts w:eastAsiaTheme="minorEastAsia"/>
        </w:rPr>
        <w:t xml:space="preserve"> </w:t>
      </w:r>
      <w:r w:rsidR="00303877">
        <w:rPr>
          <w:rFonts w:eastAsiaTheme="minorEastAsia"/>
        </w:rPr>
        <w:t xml:space="preserve">between </w:t>
      </w:r>
      <w:r w:rsidR="00501144">
        <w:rPr>
          <w:rFonts w:eastAsiaTheme="minorEastAsia"/>
        </w:rPr>
        <w:t>age (and hence date of birth)</w:t>
      </w:r>
      <w:r w:rsidR="00F25F19">
        <w:rPr>
          <w:rFonts w:eastAsiaTheme="minorEastAsia"/>
        </w:rPr>
        <w:t xml:space="preserve"> and ave</w:t>
      </w:r>
      <w:r w:rsidR="000E5BBA">
        <w:rPr>
          <w:rFonts w:eastAsiaTheme="minorEastAsia"/>
        </w:rPr>
        <w:t>rage years of schooling</w:t>
      </w:r>
      <w:r w:rsidR="000137AF">
        <w:rPr>
          <w:rFonts w:eastAsiaTheme="minorEastAsia"/>
        </w:rPr>
        <w:t xml:space="preserve">, </w:t>
      </w:r>
      <w:r w:rsidR="00501144">
        <w:rPr>
          <w:rFonts w:eastAsiaTheme="minorEastAsia"/>
        </w:rPr>
        <w:t xml:space="preserve">with average </w:t>
      </w:r>
      <w:r w:rsidR="000137AF">
        <w:rPr>
          <w:rFonts w:eastAsiaTheme="minorEastAsia"/>
        </w:rPr>
        <w:t xml:space="preserve">years of schooling </w:t>
      </w:r>
      <w:r w:rsidR="00501144">
        <w:rPr>
          <w:rFonts w:eastAsiaTheme="minorEastAsia"/>
        </w:rPr>
        <w:t xml:space="preserve">rising </w:t>
      </w:r>
      <w:r w:rsidR="00C9023A">
        <w:rPr>
          <w:rFonts w:eastAsiaTheme="minorEastAsia"/>
        </w:rPr>
        <w:t>through</w:t>
      </w:r>
      <w:r w:rsidR="00501144">
        <w:rPr>
          <w:rFonts w:eastAsiaTheme="minorEastAsia"/>
        </w:rPr>
        <w:t xml:space="preserve"> the mid-20s as people typically complete their education, and then falling until around age 80, reflecting rises in the </w:t>
      </w:r>
      <w:r w:rsidR="00501144">
        <w:rPr>
          <w:rFonts w:eastAsiaTheme="minorEastAsia"/>
        </w:rPr>
        <w:lastRenderedPageBreak/>
        <w:t>school leaving age and recent increase</w:t>
      </w:r>
      <w:r w:rsidR="000E111E">
        <w:rPr>
          <w:rFonts w:eastAsiaTheme="minorEastAsia"/>
        </w:rPr>
        <w:t>s in</w:t>
      </w:r>
      <w:r w:rsidR="00501144">
        <w:rPr>
          <w:rFonts w:eastAsiaTheme="minorEastAsia"/>
        </w:rPr>
        <w:t xml:space="preserve"> participation in tertiary education. </w:t>
      </w:r>
      <w:r w:rsidR="009A2C17">
        <w:rPr>
          <w:rStyle w:val="FootnoteReference"/>
          <w:rFonts w:eastAsiaTheme="minorEastAsia"/>
        </w:rPr>
        <w:footnoteReference w:id="15"/>
      </w:r>
      <w:r w:rsidR="00455658">
        <w:rPr>
          <w:rFonts w:eastAsiaTheme="minorEastAsia"/>
        </w:rPr>
        <w:t>In addition t</w:t>
      </w:r>
      <w:r w:rsidR="00501144">
        <w:rPr>
          <w:rFonts w:eastAsiaTheme="minorEastAsia"/>
        </w:rPr>
        <w:t>here is likely to be a stronger correlation between mortality and education</w:t>
      </w:r>
      <w:r w:rsidR="00455658">
        <w:rPr>
          <w:rFonts w:eastAsiaTheme="minorEastAsia"/>
        </w:rPr>
        <w:t xml:space="preserve"> among the very old</w:t>
      </w:r>
      <w:r w:rsidR="00501144">
        <w:rPr>
          <w:rFonts w:eastAsiaTheme="minorEastAsia"/>
        </w:rPr>
        <w:t>.</w:t>
      </w:r>
      <w:r w:rsidR="00E83361">
        <w:rPr>
          <w:rFonts w:eastAsiaTheme="minorEastAsia"/>
        </w:rPr>
        <w:t xml:space="preserve"> </w:t>
      </w:r>
      <w:r w:rsidR="00455658">
        <w:rPr>
          <w:rFonts w:eastAsiaTheme="minorEastAsia"/>
        </w:rPr>
        <w:t>Note that a</w:t>
      </w:r>
      <w:r w:rsidR="00E83361">
        <w:rPr>
          <w:rFonts w:eastAsiaTheme="minorEastAsia"/>
        </w:rPr>
        <w:t xml:space="preserve"> similar relationship </w:t>
      </w:r>
      <w:r w:rsidR="000E111E">
        <w:rPr>
          <w:rFonts w:eastAsiaTheme="minorEastAsia"/>
        </w:rPr>
        <w:t xml:space="preserve">exists </w:t>
      </w:r>
      <w:r w:rsidR="00E83361">
        <w:rPr>
          <w:rFonts w:eastAsiaTheme="minorEastAsia"/>
        </w:rPr>
        <w:t xml:space="preserve">between average </w:t>
      </w:r>
      <w:r w:rsidR="003B1284">
        <w:rPr>
          <w:rFonts w:eastAsiaTheme="minorEastAsia"/>
        </w:rPr>
        <w:t>pro-</w:t>
      </w:r>
      <w:r w:rsidR="00E83361">
        <w:rPr>
          <w:rFonts w:eastAsiaTheme="minorEastAsia"/>
        </w:rPr>
        <w:t>European sentiment and age.</w:t>
      </w:r>
    </w:p>
    <w:p w14:paraId="773454CE" w14:textId="3A01F896" w:rsidR="00303877" w:rsidRDefault="00067B97" w:rsidP="00067B97">
      <w:pPr>
        <w:keepNext/>
        <w:spacing w:line="360" w:lineRule="auto"/>
        <w:jc w:val="both"/>
        <w:rPr>
          <w:rFonts w:eastAsiaTheme="minorEastAsia"/>
        </w:rPr>
      </w:pPr>
      <w:r w:rsidRPr="00AE4BFB">
        <w:rPr>
          <w:b/>
          <w:lang w:val="tr-TR"/>
        </w:rPr>
        <w:t xml:space="preserve">Figure </w:t>
      </w:r>
      <w:r w:rsidR="004B444A">
        <w:rPr>
          <w:b/>
          <w:lang w:val="tr-TR"/>
        </w:rPr>
        <w:t>7</w:t>
      </w:r>
      <w:r w:rsidR="00346B46">
        <w:rPr>
          <w:b/>
          <w:lang w:val="tr-TR"/>
        </w:rPr>
        <w:t xml:space="preserve"> - a</w:t>
      </w:r>
      <w:r>
        <w:rPr>
          <w:b/>
          <w:lang w:val="tr-TR"/>
        </w:rPr>
        <w:t>ge left school and share pro-EU by age, 2016</w:t>
      </w:r>
    </w:p>
    <w:p w14:paraId="2DA6686F" w14:textId="77777777" w:rsidR="00067B97" w:rsidRDefault="00067B97" w:rsidP="003A18D9">
      <w:pPr>
        <w:spacing w:line="360" w:lineRule="auto"/>
        <w:jc w:val="both"/>
        <w:rPr>
          <w:rFonts w:eastAsiaTheme="minorEastAsia"/>
        </w:rPr>
      </w:pPr>
      <w:r>
        <w:rPr>
          <w:rFonts w:eastAsiaTheme="minorEastAsia"/>
          <w:noProof/>
          <w:lang w:val="en-US"/>
        </w:rPr>
        <w:drawing>
          <wp:inline distT="0" distB="0" distL="0" distR="0" wp14:anchorId="13122E6A" wp14:editId="3B8B50A1">
            <wp:extent cx="5118100" cy="37407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118100" cy="3740785"/>
                    </a:xfrm>
                    <a:prstGeom prst="rect">
                      <a:avLst/>
                    </a:prstGeom>
                    <a:noFill/>
                    <a:ln>
                      <a:noFill/>
                    </a:ln>
                  </pic:spPr>
                </pic:pic>
              </a:graphicData>
            </a:graphic>
          </wp:inline>
        </w:drawing>
      </w:r>
    </w:p>
    <w:p w14:paraId="07877057" w14:textId="77777777" w:rsidR="009A2C17" w:rsidRDefault="002F1E59" w:rsidP="00E83361">
      <w:pPr>
        <w:spacing w:line="360" w:lineRule="auto"/>
        <w:jc w:val="both"/>
        <w:rPr>
          <w:rFonts w:eastAsiaTheme="minorEastAsia"/>
        </w:rPr>
      </w:pPr>
      <w:r>
        <w:rPr>
          <w:rFonts w:eastAsiaTheme="minorEastAsia"/>
        </w:rPr>
        <w:t>Figure 7</w:t>
      </w:r>
      <w:r w:rsidR="00E83361">
        <w:rPr>
          <w:rFonts w:eastAsiaTheme="minorEastAsia"/>
        </w:rPr>
        <w:t xml:space="preserve"> is consistent with education being an important det</w:t>
      </w:r>
      <w:r w:rsidR="0085206B">
        <w:rPr>
          <w:rFonts w:eastAsiaTheme="minorEastAsia"/>
        </w:rPr>
        <w:t xml:space="preserve">erminant of </w:t>
      </w:r>
      <w:r w:rsidR="003B1284">
        <w:rPr>
          <w:rFonts w:eastAsiaTheme="minorEastAsia"/>
        </w:rPr>
        <w:t>pro-</w:t>
      </w:r>
      <w:r w:rsidR="0085206B">
        <w:rPr>
          <w:rFonts w:eastAsiaTheme="minorEastAsia"/>
        </w:rPr>
        <w:t xml:space="preserve">European sentiment, </w:t>
      </w:r>
      <w:r w:rsidR="00CF4FAC">
        <w:rPr>
          <w:rFonts w:eastAsiaTheme="minorEastAsia"/>
        </w:rPr>
        <w:t xml:space="preserve">and therefore with </w:t>
      </w:r>
      <w:r w:rsidR="003B1284">
        <w:rPr>
          <w:rFonts w:eastAsiaTheme="minorEastAsia"/>
        </w:rPr>
        <w:t xml:space="preserve">the hypothesis that </w:t>
      </w:r>
      <w:r w:rsidR="00CF4FAC">
        <w:rPr>
          <w:rFonts w:eastAsiaTheme="minorEastAsia"/>
        </w:rPr>
        <w:t>changes in education explain part of the behaviour of different cohorts. B</w:t>
      </w:r>
      <w:r w:rsidR="0085206B">
        <w:rPr>
          <w:rFonts w:eastAsiaTheme="minorEastAsia"/>
        </w:rPr>
        <w:t xml:space="preserve">ut </w:t>
      </w:r>
      <w:r w:rsidR="00CF4FAC">
        <w:rPr>
          <w:rFonts w:eastAsiaTheme="minorEastAsia"/>
        </w:rPr>
        <w:t xml:space="preserve">it is </w:t>
      </w:r>
      <w:r w:rsidR="0085206B">
        <w:rPr>
          <w:rFonts w:eastAsiaTheme="minorEastAsia"/>
        </w:rPr>
        <w:t xml:space="preserve">also consistent with age/cohort and education exhibiting common trends. </w:t>
      </w:r>
    </w:p>
    <w:p w14:paraId="64013F11" w14:textId="433EBF8F" w:rsidR="00E83361" w:rsidRDefault="0085206B" w:rsidP="00E83361">
      <w:pPr>
        <w:spacing w:line="360" w:lineRule="auto"/>
        <w:jc w:val="both"/>
        <w:rPr>
          <w:rFonts w:eastAsiaTheme="minorEastAsia"/>
        </w:rPr>
      </w:pPr>
      <w:r>
        <w:rPr>
          <w:rFonts w:eastAsiaTheme="minorEastAsia"/>
        </w:rPr>
        <w:t xml:space="preserve">To go further we must compare individuals </w:t>
      </w:r>
      <w:r w:rsidR="00EE295F">
        <w:rPr>
          <w:rFonts w:eastAsiaTheme="minorEastAsia"/>
        </w:rPr>
        <w:t>with</w:t>
      </w:r>
      <w:r>
        <w:rPr>
          <w:rFonts w:eastAsiaTheme="minorEastAsia"/>
        </w:rPr>
        <w:t xml:space="preserve"> given ages or </w:t>
      </w:r>
      <w:r w:rsidR="00EE295F">
        <w:rPr>
          <w:rFonts w:eastAsiaTheme="minorEastAsia"/>
        </w:rPr>
        <w:t>dates of birt</w:t>
      </w:r>
      <w:r w:rsidR="002F1E59">
        <w:rPr>
          <w:rFonts w:eastAsiaTheme="minorEastAsia"/>
        </w:rPr>
        <w:t>h but different levels of education</w:t>
      </w:r>
      <w:r w:rsidR="00EE295F">
        <w:rPr>
          <w:rFonts w:eastAsiaTheme="minorEastAsia"/>
        </w:rPr>
        <w:t xml:space="preserve">. </w:t>
      </w:r>
      <w:r w:rsidR="009A2C17">
        <w:rPr>
          <w:rFonts w:eastAsiaTheme="minorEastAsia"/>
        </w:rPr>
        <w:t xml:space="preserve"> We therefore es</w:t>
      </w:r>
      <w:r w:rsidR="0005723C">
        <w:rPr>
          <w:rFonts w:eastAsiaTheme="minorEastAsia"/>
        </w:rPr>
        <w:t xml:space="preserve">timate </w:t>
      </w:r>
      <w:r w:rsidR="00EE295F">
        <w:rPr>
          <w:rFonts w:eastAsiaTheme="minorEastAsia"/>
        </w:rPr>
        <w:t>a version of our bivariate age-cohort effect model (i.e. omitting period effects)</w:t>
      </w:r>
      <w:r w:rsidR="002F1E59">
        <w:rPr>
          <w:rFonts w:eastAsiaTheme="minorEastAsia"/>
        </w:rPr>
        <w:t xml:space="preserve">, breaking down </w:t>
      </w:r>
      <w:r w:rsidR="00B30ED4">
        <w:rPr>
          <w:rFonts w:eastAsiaTheme="minorEastAsia"/>
        </w:rPr>
        <w:t xml:space="preserve">cohort effects into an effect common to all members of the cohort and </w:t>
      </w:r>
      <w:r w:rsidR="0005723C">
        <w:rPr>
          <w:rFonts w:eastAsiaTheme="minorEastAsia"/>
        </w:rPr>
        <w:t>a term that depends on years of schooling but varies across cohorts</w:t>
      </w:r>
      <w:r w:rsidR="001A7408">
        <w:rPr>
          <w:rStyle w:val="FootnoteReference"/>
          <w:rFonts w:eastAsiaTheme="minorEastAsia"/>
        </w:rPr>
        <w:footnoteReference w:id="16"/>
      </w:r>
    </w:p>
    <w:p w14:paraId="1EDD59BA" w14:textId="77777777" w:rsidR="00EE295F" w:rsidRDefault="00E621E0" w:rsidP="00E83361">
      <w:pPr>
        <w:spacing w:line="360" w:lineRule="auto"/>
        <w:jc w:val="both"/>
        <w:rPr>
          <w:rFonts w:eastAsiaTheme="minorEastAsia"/>
        </w:rPr>
      </w:pPr>
      <m:oMathPara>
        <m:oMath>
          <m:sSub>
            <m:sSubPr>
              <m:ctrlPr>
                <w:rPr>
                  <w:rFonts w:ascii="Cambria Math" w:hAnsi="Cambria Math"/>
                  <w:i/>
                </w:rPr>
              </m:ctrlPr>
            </m:sSubPr>
            <m:e>
              <m:r>
                <w:rPr>
                  <w:rFonts w:ascii="Cambria Math" w:hAnsi="Cambria Math"/>
                </w:rPr>
                <m:t>y</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ageleft</m:t>
              </m:r>
            </m:e>
            <m:sub>
              <m:r>
                <w:rPr>
                  <w:rFonts w:ascii="Cambria Math" w:hAnsi="Cambria Math"/>
                </w:rPr>
                <m:t>i</m:t>
              </m:r>
            </m:sub>
          </m:sSub>
        </m:oMath>
      </m:oMathPara>
    </w:p>
    <w:p w14:paraId="7268BA6A" w14:textId="24CD246D" w:rsidR="002F1E59" w:rsidRDefault="002F1E59" w:rsidP="003A18D9">
      <w:pPr>
        <w:spacing w:line="360" w:lineRule="auto"/>
        <w:jc w:val="both"/>
        <w:rPr>
          <w:rFonts w:eastAsiaTheme="minorEastAsia"/>
        </w:rPr>
      </w:pPr>
      <w:r>
        <w:rPr>
          <w:rFonts w:eastAsiaTheme="minorEastAsia"/>
        </w:rPr>
        <w:lastRenderedPageBreak/>
        <w:t>T</w:t>
      </w:r>
      <w:r w:rsidR="00B30ED4">
        <w:rPr>
          <w:rFonts w:eastAsiaTheme="minorEastAsia"/>
        </w:rPr>
        <w:t xml:space="preserve">he last term is an interaction between cohort and the age at which the individual left full-time education. We can interpret this as the effect </w:t>
      </w:r>
      <w:r w:rsidR="00455658">
        <w:rPr>
          <w:rFonts w:eastAsiaTheme="minorEastAsia"/>
        </w:rPr>
        <w:t>of</w:t>
      </w:r>
      <w:r w:rsidR="00B30ED4">
        <w:rPr>
          <w:rFonts w:eastAsiaTheme="minorEastAsia"/>
        </w:rPr>
        <w:t xml:space="preserve"> one extra year of s</w:t>
      </w:r>
      <w:r w:rsidR="009F090D">
        <w:rPr>
          <w:rFonts w:eastAsiaTheme="minorEastAsia"/>
        </w:rPr>
        <w:t xml:space="preserve">chooling on a cohort born in a given year. </w:t>
      </w:r>
    </w:p>
    <w:p w14:paraId="2CC7F349" w14:textId="2F85FC3A" w:rsidR="00E83361" w:rsidRDefault="009F090D" w:rsidP="003A18D9">
      <w:pPr>
        <w:spacing w:line="360" w:lineRule="auto"/>
        <w:jc w:val="both"/>
        <w:rPr>
          <w:rFonts w:eastAsiaTheme="minorEastAsia"/>
        </w:rPr>
      </w:pPr>
      <w:r>
        <w:rPr>
          <w:rFonts w:eastAsiaTheme="minorEastAsia"/>
        </w:rPr>
        <w:t xml:space="preserve">Figure </w:t>
      </w:r>
      <w:r w:rsidR="004B444A">
        <w:rPr>
          <w:rFonts w:eastAsiaTheme="minorEastAsia"/>
        </w:rPr>
        <w:t>8</w:t>
      </w:r>
      <w:r>
        <w:rPr>
          <w:rFonts w:eastAsiaTheme="minorEastAsia"/>
        </w:rPr>
        <w:t xml:space="preserve"> plots </w:t>
      </w:r>
      <w:r w:rsidR="00455658">
        <w:rPr>
          <w:rFonts w:eastAsiaTheme="minorEastAsia"/>
        </w:rPr>
        <w:t xml:space="preserve">the </w:t>
      </w:r>
      <w:r>
        <w:rPr>
          <w:rFonts w:eastAsiaTheme="minorEastAsia"/>
        </w:rPr>
        <w:t xml:space="preserve">central estimates and confidence </w:t>
      </w:r>
      <w:r w:rsidR="00455658">
        <w:rPr>
          <w:rFonts w:eastAsiaTheme="minorEastAsia"/>
        </w:rPr>
        <w:t>intervals</w:t>
      </w:r>
      <w:r>
        <w:rPr>
          <w:rFonts w:eastAsiaTheme="minorEastAsia"/>
        </w:rPr>
        <w:t xml:space="preserve"> for this set of coefficients. </w:t>
      </w:r>
      <w:r w:rsidR="000B26B6">
        <w:rPr>
          <w:rFonts w:eastAsiaTheme="minorEastAsia"/>
        </w:rPr>
        <w:t>E</w:t>
      </w:r>
      <w:r>
        <w:rPr>
          <w:rFonts w:eastAsiaTheme="minorEastAsia"/>
        </w:rPr>
        <w:t xml:space="preserve">ducation is positively associated with </w:t>
      </w:r>
      <w:r w:rsidR="003B1284">
        <w:rPr>
          <w:rFonts w:eastAsiaTheme="minorEastAsia"/>
        </w:rPr>
        <w:t>pro-</w:t>
      </w:r>
      <w:r>
        <w:rPr>
          <w:rFonts w:eastAsiaTheme="minorEastAsia"/>
        </w:rPr>
        <w:t xml:space="preserve">EU sentiment throughout </w:t>
      </w:r>
      <w:r w:rsidR="00455658">
        <w:rPr>
          <w:rFonts w:eastAsiaTheme="minorEastAsia"/>
        </w:rPr>
        <w:t>the</w:t>
      </w:r>
      <w:r>
        <w:rPr>
          <w:rFonts w:eastAsiaTheme="minorEastAsia"/>
        </w:rPr>
        <w:t xml:space="preserve"> sample, with the effect rising from 0.02 (</w:t>
      </w:r>
      <w:r w:rsidR="002F1E59">
        <w:rPr>
          <w:rFonts w:eastAsiaTheme="minorEastAsia"/>
        </w:rPr>
        <w:t xml:space="preserve">additional </w:t>
      </w:r>
      <w:r>
        <w:rPr>
          <w:rFonts w:eastAsiaTheme="minorEastAsia"/>
        </w:rPr>
        <w:t>decimal poin</w:t>
      </w:r>
      <w:r w:rsidR="002F1E59">
        <w:rPr>
          <w:rFonts w:eastAsiaTheme="minorEastAsia"/>
        </w:rPr>
        <w:t>ts in favour of</w:t>
      </w:r>
      <w:r>
        <w:rPr>
          <w:rFonts w:eastAsiaTheme="minorEastAsia"/>
        </w:rPr>
        <w:t xml:space="preserve"> Remain per extra year of schooling) for pre-war cohorts to </w:t>
      </w:r>
      <w:r w:rsidR="00645900">
        <w:rPr>
          <w:rFonts w:eastAsiaTheme="minorEastAsia"/>
        </w:rPr>
        <w:t xml:space="preserve">over </w:t>
      </w:r>
      <w:r>
        <w:rPr>
          <w:rFonts w:eastAsiaTheme="minorEastAsia"/>
        </w:rPr>
        <w:t>0.0</w:t>
      </w:r>
      <w:r w:rsidR="005638DC">
        <w:rPr>
          <w:rFonts w:eastAsiaTheme="minorEastAsia"/>
        </w:rPr>
        <w:t>5</w:t>
      </w:r>
      <w:r>
        <w:rPr>
          <w:rFonts w:eastAsiaTheme="minorEastAsia"/>
        </w:rPr>
        <w:t xml:space="preserve"> for </w:t>
      </w:r>
      <w:r w:rsidR="005638DC">
        <w:rPr>
          <w:rFonts w:eastAsiaTheme="minorEastAsia"/>
        </w:rPr>
        <w:t xml:space="preserve">the baby boomers, and </w:t>
      </w:r>
      <w:r w:rsidR="003B1284">
        <w:rPr>
          <w:rFonts w:eastAsiaTheme="minorEastAsia"/>
        </w:rPr>
        <w:t xml:space="preserve">then </w:t>
      </w:r>
      <w:r w:rsidR="005638DC">
        <w:rPr>
          <w:rFonts w:eastAsiaTheme="minorEastAsia"/>
        </w:rPr>
        <w:t>falling back to around 0.03 for millen</w:t>
      </w:r>
      <w:r w:rsidR="00C9023A">
        <w:rPr>
          <w:rFonts w:eastAsiaTheme="minorEastAsia"/>
        </w:rPr>
        <w:t>n</w:t>
      </w:r>
      <w:r w:rsidR="005638DC">
        <w:rPr>
          <w:rFonts w:eastAsiaTheme="minorEastAsia"/>
        </w:rPr>
        <w:t>ials</w:t>
      </w:r>
      <w:r>
        <w:rPr>
          <w:rFonts w:eastAsiaTheme="minorEastAsia"/>
        </w:rPr>
        <w:t>.</w:t>
      </w:r>
    </w:p>
    <w:p w14:paraId="0DCD12A3" w14:textId="3D164A09" w:rsidR="009F090D" w:rsidRPr="009F090D" w:rsidRDefault="009F090D" w:rsidP="003A18D9">
      <w:pPr>
        <w:spacing w:line="360" w:lineRule="auto"/>
        <w:jc w:val="both"/>
        <w:rPr>
          <w:rFonts w:eastAsiaTheme="minorEastAsia"/>
          <w:b/>
        </w:rPr>
      </w:pPr>
      <w:r w:rsidRPr="009F090D">
        <w:rPr>
          <w:rFonts w:eastAsiaTheme="minorEastAsia"/>
          <w:b/>
        </w:rPr>
        <w:t xml:space="preserve">Figure </w:t>
      </w:r>
      <w:r w:rsidR="004B444A">
        <w:rPr>
          <w:rFonts w:eastAsiaTheme="minorEastAsia"/>
          <w:b/>
        </w:rPr>
        <w:t>8</w:t>
      </w:r>
      <w:r w:rsidR="00346B46">
        <w:rPr>
          <w:rFonts w:eastAsiaTheme="minorEastAsia"/>
          <w:b/>
        </w:rPr>
        <w:t xml:space="preserve"> -</w:t>
      </w:r>
      <w:r w:rsidRPr="009F090D">
        <w:rPr>
          <w:rFonts w:eastAsiaTheme="minorEastAsia"/>
          <w:b/>
        </w:rPr>
        <w:t xml:space="preserve"> effect of an extra year of schooling on probability of supporting EU membership, by birth cohort</w:t>
      </w:r>
    </w:p>
    <w:p w14:paraId="0F50A5E6" w14:textId="77777777" w:rsidR="009F090D" w:rsidRDefault="004B1469" w:rsidP="003A18D9">
      <w:pPr>
        <w:spacing w:line="360" w:lineRule="auto"/>
        <w:jc w:val="both"/>
        <w:rPr>
          <w:rFonts w:eastAsiaTheme="minorEastAsia"/>
        </w:rPr>
      </w:pPr>
      <w:r>
        <w:rPr>
          <w:noProof/>
          <w:lang w:val="en-US"/>
        </w:rPr>
        <w:drawing>
          <wp:inline distT="0" distB="0" distL="0" distR="0" wp14:anchorId="6AA10C33" wp14:editId="4817DA5C">
            <wp:extent cx="4572000" cy="27432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587C555" w14:textId="20A378C4" w:rsidR="007B3E55" w:rsidRDefault="00F604E8" w:rsidP="003A18D9">
      <w:pPr>
        <w:spacing w:line="360" w:lineRule="auto"/>
        <w:jc w:val="both"/>
        <w:rPr>
          <w:rFonts w:eastAsiaTheme="minorEastAsia"/>
        </w:rPr>
      </w:pPr>
      <w:r>
        <w:rPr>
          <w:rFonts w:eastAsiaTheme="minorEastAsia"/>
        </w:rPr>
        <w:t xml:space="preserve">We can use these coefficients to account for the effect of changing education levels on </w:t>
      </w:r>
      <w:r w:rsidR="007B3E55">
        <w:rPr>
          <w:rFonts w:eastAsiaTheme="minorEastAsia"/>
        </w:rPr>
        <w:t xml:space="preserve">the pro-Europeanism of </w:t>
      </w:r>
      <w:r w:rsidR="002F1E59">
        <w:rPr>
          <w:rFonts w:eastAsiaTheme="minorEastAsia"/>
        </w:rPr>
        <w:t xml:space="preserve">successive </w:t>
      </w:r>
      <w:r w:rsidR="004221D0">
        <w:rPr>
          <w:rFonts w:eastAsiaTheme="minorEastAsia"/>
        </w:rPr>
        <w:t>cohorts</w:t>
      </w:r>
      <w:r w:rsidR="007B3E55">
        <w:rPr>
          <w:rFonts w:eastAsiaTheme="minorEastAsia"/>
        </w:rPr>
        <w:t>.</w:t>
      </w:r>
      <w:r w:rsidR="004B1469">
        <w:rPr>
          <w:rFonts w:eastAsiaTheme="minorEastAsia"/>
        </w:rPr>
        <w:t xml:space="preserve"> Figure 9 </w:t>
      </w:r>
      <w:r w:rsidR="00E332E9">
        <w:rPr>
          <w:rFonts w:eastAsiaTheme="minorEastAsia"/>
        </w:rPr>
        <w:t xml:space="preserve">shows </w:t>
      </w:r>
      <w:r w:rsidR="005638DC">
        <w:rPr>
          <w:rFonts w:eastAsiaTheme="minorEastAsia"/>
        </w:rPr>
        <w:t>the cohort effect for a hypothetical individua</w:t>
      </w:r>
      <w:r w:rsidR="006F290A">
        <w:rPr>
          <w:rFonts w:eastAsiaTheme="minorEastAsia"/>
        </w:rPr>
        <w:t>l with no education (</w:t>
      </w:r>
      <w:r w:rsidR="002F1E59">
        <w:rPr>
          <w:rFonts w:eastAsiaTheme="minorEastAsia"/>
        </w:rPr>
        <w:t xml:space="preserve">the </w:t>
      </w:r>
      <w:r w:rsidR="006F290A">
        <w:rPr>
          <w:rFonts w:eastAsiaTheme="minorEastAsia"/>
        </w:rPr>
        <w:t>blue line), the simple cohort effect from a model without education (</w:t>
      </w:r>
      <w:r w:rsidR="002F1E59">
        <w:rPr>
          <w:rFonts w:eastAsiaTheme="minorEastAsia"/>
        </w:rPr>
        <w:t xml:space="preserve">the </w:t>
      </w:r>
      <w:r w:rsidR="006F290A">
        <w:rPr>
          <w:rFonts w:eastAsiaTheme="minorEastAsia"/>
        </w:rPr>
        <w:t xml:space="preserve">purple line), </w:t>
      </w:r>
      <w:r w:rsidR="00FE4649">
        <w:rPr>
          <w:rFonts w:eastAsiaTheme="minorEastAsia"/>
        </w:rPr>
        <w:t>the cohort effect for an individual with an average level of education for someone with their date of birth</w:t>
      </w:r>
      <w:r w:rsidR="006F290A">
        <w:rPr>
          <w:rFonts w:eastAsiaTheme="minorEastAsia"/>
        </w:rPr>
        <w:t xml:space="preserve"> (</w:t>
      </w:r>
      <w:r w:rsidR="002F1E59">
        <w:rPr>
          <w:rFonts w:eastAsiaTheme="minorEastAsia"/>
        </w:rPr>
        <w:t xml:space="preserve">the </w:t>
      </w:r>
      <w:r w:rsidR="006F290A">
        <w:rPr>
          <w:rFonts w:eastAsiaTheme="minorEastAsia"/>
        </w:rPr>
        <w:t>green line)</w:t>
      </w:r>
      <w:r w:rsidR="00FE4649">
        <w:rPr>
          <w:rFonts w:eastAsiaTheme="minorEastAsia"/>
        </w:rPr>
        <w:t xml:space="preserve">, </w:t>
      </w:r>
      <w:r w:rsidR="006F290A">
        <w:rPr>
          <w:rFonts w:eastAsiaTheme="minorEastAsia"/>
        </w:rPr>
        <w:t xml:space="preserve">and </w:t>
      </w:r>
      <w:r w:rsidR="00FE4649">
        <w:rPr>
          <w:rFonts w:eastAsiaTheme="minorEastAsia"/>
        </w:rPr>
        <w:t>the cohort effect averaging educati</w:t>
      </w:r>
      <w:r w:rsidR="006F290A">
        <w:rPr>
          <w:rFonts w:eastAsiaTheme="minorEastAsia"/>
        </w:rPr>
        <w:t>on across the sample (</w:t>
      </w:r>
      <w:r w:rsidR="002F1E59">
        <w:rPr>
          <w:rFonts w:eastAsiaTheme="minorEastAsia"/>
        </w:rPr>
        <w:t xml:space="preserve">the </w:t>
      </w:r>
      <w:r w:rsidR="007B3E55">
        <w:rPr>
          <w:rFonts w:eastAsiaTheme="minorEastAsia"/>
        </w:rPr>
        <w:t>red line)</w:t>
      </w:r>
      <w:r w:rsidR="004703ED">
        <w:rPr>
          <w:rFonts w:eastAsiaTheme="minorEastAsia"/>
        </w:rPr>
        <w:t>.</w:t>
      </w:r>
      <w:r w:rsidR="007B3E55">
        <w:rPr>
          <w:rFonts w:eastAsiaTheme="minorEastAsia"/>
        </w:rPr>
        <w:t xml:space="preserve"> </w:t>
      </w:r>
      <w:r w:rsidR="006F290A">
        <w:rPr>
          <w:rFonts w:eastAsiaTheme="minorEastAsia"/>
        </w:rPr>
        <w:t xml:space="preserve">The </w:t>
      </w:r>
      <w:r w:rsidR="0087707E">
        <w:rPr>
          <w:rFonts w:eastAsiaTheme="minorEastAsia"/>
        </w:rPr>
        <w:t xml:space="preserve">change in the pure cohort effect </w:t>
      </w:r>
      <w:r w:rsidR="002F1E59">
        <w:rPr>
          <w:rFonts w:eastAsiaTheme="minorEastAsia"/>
        </w:rPr>
        <w:t>denoted by</w:t>
      </w:r>
      <w:r w:rsidR="0087707E">
        <w:rPr>
          <w:rFonts w:eastAsiaTheme="minorEastAsia"/>
        </w:rPr>
        <w:t xml:space="preserve"> the blue line is more pronounced once we allow for the rising amount and, for much of the sample, effect of education within cohorts.</w:t>
      </w:r>
      <w:r w:rsidR="006F290A">
        <w:rPr>
          <w:rFonts w:eastAsiaTheme="minorEastAsia"/>
        </w:rPr>
        <w:t xml:space="preserve"> </w:t>
      </w:r>
      <w:r w:rsidR="004703ED">
        <w:rPr>
          <w:rFonts w:eastAsiaTheme="minorEastAsia"/>
        </w:rPr>
        <w:t xml:space="preserve">This is in line with the results shown also </w:t>
      </w:r>
      <w:r w:rsidR="00D704F4">
        <w:rPr>
          <w:rFonts w:eastAsiaTheme="minorEastAsia"/>
        </w:rPr>
        <w:t>in Appendix 3</w:t>
      </w:r>
      <w:r w:rsidR="004703ED">
        <w:rPr>
          <w:rFonts w:eastAsiaTheme="minorEastAsia"/>
        </w:rPr>
        <w:t xml:space="preserve"> using a</w:t>
      </w:r>
      <w:r w:rsidR="00D704F4">
        <w:rPr>
          <w:rFonts w:eastAsiaTheme="minorEastAsia"/>
        </w:rPr>
        <w:t>n alternative</w:t>
      </w:r>
      <w:r w:rsidR="004703ED">
        <w:rPr>
          <w:rFonts w:eastAsiaTheme="minorEastAsia"/>
        </w:rPr>
        <w:t xml:space="preserve"> model.</w:t>
      </w:r>
    </w:p>
    <w:p w14:paraId="27A3C5D9" w14:textId="39A95798" w:rsidR="006F290A" w:rsidRDefault="00C50CF7" w:rsidP="003A18D9">
      <w:pPr>
        <w:spacing w:line="360" w:lineRule="auto"/>
        <w:jc w:val="both"/>
        <w:rPr>
          <w:rFonts w:eastAsiaTheme="minorEastAsia"/>
        </w:rPr>
      </w:pPr>
      <w:r>
        <w:rPr>
          <w:rFonts w:eastAsiaTheme="minorEastAsia"/>
        </w:rPr>
        <w:t>The fact that education ha</w:t>
      </w:r>
      <w:r w:rsidR="000B26B6">
        <w:rPr>
          <w:rFonts w:eastAsiaTheme="minorEastAsia"/>
        </w:rPr>
        <w:t>s</w:t>
      </w:r>
      <w:r>
        <w:rPr>
          <w:rFonts w:eastAsiaTheme="minorEastAsia"/>
        </w:rPr>
        <w:t xml:space="preserve"> been </w:t>
      </w:r>
      <w:r w:rsidR="000B26B6">
        <w:rPr>
          <w:rFonts w:eastAsiaTheme="minorEastAsia"/>
        </w:rPr>
        <w:t xml:space="preserve">a </w:t>
      </w:r>
      <w:r>
        <w:rPr>
          <w:rFonts w:eastAsiaTheme="minorEastAsia"/>
        </w:rPr>
        <w:t xml:space="preserve">reliable predictor of </w:t>
      </w:r>
      <w:r w:rsidR="003B1284">
        <w:rPr>
          <w:rFonts w:eastAsiaTheme="minorEastAsia"/>
        </w:rPr>
        <w:t>pro-</w:t>
      </w:r>
      <w:r>
        <w:rPr>
          <w:rFonts w:eastAsiaTheme="minorEastAsia"/>
        </w:rPr>
        <w:t xml:space="preserve">European sentiment throughout </w:t>
      </w:r>
      <w:r w:rsidR="002F1E59">
        <w:rPr>
          <w:rFonts w:eastAsiaTheme="minorEastAsia"/>
        </w:rPr>
        <w:t>the</w:t>
      </w:r>
      <w:r w:rsidR="00BF767B">
        <w:rPr>
          <w:rFonts w:eastAsiaTheme="minorEastAsia"/>
        </w:rPr>
        <w:t xml:space="preserve"> sample suggests that future cohorts are likely to remain relatively pro-European, </w:t>
      </w:r>
      <w:r w:rsidR="003B1284">
        <w:rPr>
          <w:rFonts w:eastAsiaTheme="minorEastAsia"/>
        </w:rPr>
        <w:t>assuming</w:t>
      </w:r>
      <w:r w:rsidR="00BF767B">
        <w:rPr>
          <w:rFonts w:eastAsiaTheme="minorEastAsia"/>
        </w:rPr>
        <w:t xml:space="preserve"> that they </w:t>
      </w:r>
      <w:r w:rsidR="003B1284">
        <w:rPr>
          <w:rFonts w:eastAsiaTheme="minorEastAsia"/>
        </w:rPr>
        <w:t>will</w:t>
      </w:r>
      <w:r w:rsidR="00BF767B">
        <w:rPr>
          <w:rFonts w:eastAsiaTheme="minorEastAsia"/>
        </w:rPr>
        <w:t xml:space="preserve"> be a</w:t>
      </w:r>
      <w:r w:rsidR="002F1E59">
        <w:rPr>
          <w:rFonts w:eastAsiaTheme="minorEastAsia"/>
        </w:rPr>
        <w:t>t least a</w:t>
      </w:r>
      <w:r w:rsidR="00BF767B">
        <w:rPr>
          <w:rFonts w:eastAsiaTheme="minorEastAsia"/>
        </w:rPr>
        <w:t>s well-educated as existing cohorts.</w:t>
      </w:r>
      <w:r w:rsidR="007B3E55">
        <w:rPr>
          <w:rFonts w:eastAsiaTheme="minorEastAsia"/>
        </w:rPr>
        <w:t xml:space="preserve">  And insofar as levels of education are unlikely to change radically, it provides a basis for projecting cohort effects over time.</w:t>
      </w:r>
    </w:p>
    <w:p w14:paraId="6490337D" w14:textId="77777777" w:rsidR="002F1E59" w:rsidRDefault="002F1E59" w:rsidP="003A18D9">
      <w:pPr>
        <w:spacing w:line="360" w:lineRule="auto"/>
        <w:jc w:val="both"/>
        <w:rPr>
          <w:rFonts w:eastAsiaTheme="minorEastAsia"/>
        </w:rPr>
      </w:pPr>
    </w:p>
    <w:p w14:paraId="50E9CC14" w14:textId="77777777" w:rsidR="006F290A" w:rsidRPr="00BF767B" w:rsidRDefault="00BF767B" w:rsidP="003A18D9">
      <w:pPr>
        <w:spacing w:line="360" w:lineRule="auto"/>
        <w:jc w:val="both"/>
        <w:rPr>
          <w:rFonts w:eastAsiaTheme="minorEastAsia"/>
          <w:b/>
        </w:rPr>
      </w:pPr>
      <w:r w:rsidRPr="00BF767B">
        <w:rPr>
          <w:rFonts w:eastAsiaTheme="minorEastAsia"/>
          <w:b/>
        </w:rPr>
        <w:t>Figure 9 – impact of education on cohort effects</w:t>
      </w:r>
    </w:p>
    <w:p w14:paraId="34470896" w14:textId="77777777" w:rsidR="00F604E8" w:rsidRDefault="004B1469" w:rsidP="003A18D9">
      <w:pPr>
        <w:spacing w:line="360" w:lineRule="auto"/>
        <w:jc w:val="both"/>
        <w:rPr>
          <w:rFonts w:eastAsiaTheme="minorEastAsia"/>
        </w:rPr>
      </w:pPr>
      <w:r>
        <w:rPr>
          <w:noProof/>
          <w:lang w:val="en-US"/>
        </w:rPr>
        <w:drawing>
          <wp:inline distT="0" distB="0" distL="0" distR="0" wp14:anchorId="10720419" wp14:editId="5620CCCB">
            <wp:extent cx="5759450" cy="356743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4213CDC" w14:textId="77777777" w:rsidR="004B1469" w:rsidRDefault="004B1469" w:rsidP="003A18D9">
      <w:pPr>
        <w:spacing w:line="360" w:lineRule="auto"/>
        <w:jc w:val="both"/>
        <w:rPr>
          <w:rFonts w:eastAsiaTheme="minorEastAsia"/>
        </w:rPr>
      </w:pPr>
    </w:p>
    <w:p w14:paraId="2A2879A6" w14:textId="583FA72D" w:rsidR="00AF79A1" w:rsidRPr="00CC24CA" w:rsidRDefault="00F74F53" w:rsidP="00AF79A1">
      <w:pPr>
        <w:pStyle w:val="Title"/>
        <w:jc w:val="both"/>
        <w:rPr>
          <w:sz w:val="32"/>
          <w:szCs w:val="32"/>
          <w:lang w:val="en-US"/>
        </w:rPr>
      </w:pPr>
      <w:r>
        <w:rPr>
          <w:sz w:val="32"/>
          <w:szCs w:val="32"/>
          <w:lang w:val="en-US"/>
        </w:rPr>
        <w:t>5</w:t>
      </w:r>
      <w:r w:rsidR="00AF79A1">
        <w:rPr>
          <w:sz w:val="32"/>
          <w:szCs w:val="32"/>
          <w:lang w:val="en-US"/>
        </w:rPr>
        <w:t xml:space="preserve"> Forecasting </w:t>
      </w:r>
      <w:r w:rsidR="00524F5A">
        <w:rPr>
          <w:sz w:val="32"/>
          <w:szCs w:val="32"/>
          <w:lang w:val="en-US"/>
        </w:rPr>
        <w:t>Pro-</w:t>
      </w:r>
      <w:r w:rsidR="00AF79A1">
        <w:rPr>
          <w:sz w:val="32"/>
          <w:szCs w:val="32"/>
          <w:lang w:val="en-US"/>
        </w:rPr>
        <w:t>E</w:t>
      </w:r>
      <w:r w:rsidR="00524F5A">
        <w:rPr>
          <w:sz w:val="32"/>
          <w:szCs w:val="32"/>
          <w:lang w:val="en-US"/>
        </w:rPr>
        <w:t>U</w:t>
      </w:r>
      <w:r w:rsidR="00AF79A1">
        <w:rPr>
          <w:sz w:val="32"/>
          <w:szCs w:val="32"/>
          <w:lang w:val="en-US"/>
        </w:rPr>
        <w:t xml:space="preserve"> sentiment</w:t>
      </w:r>
    </w:p>
    <w:p w14:paraId="6DCF91D8" w14:textId="5897C3E9" w:rsidR="000D246A" w:rsidRDefault="00577DD1" w:rsidP="00947587">
      <w:pPr>
        <w:spacing w:line="360" w:lineRule="auto"/>
        <w:jc w:val="both"/>
        <w:rPr>
          <w:lang w:val="en-US"/>
        </w:rPr>
      </w:pPr>
      <w:r>
        <w:rPr>
          <w:lang w:val="en-US"/>
        </w:rPr>
        <w:t>W</w:t>
      </w:r>
      <w:r w:rsidR="00F048DB">
        <w:rPr>
          <w:lang w:val="en-US"/>
        </w:rPr>
        <w:t xml:space="preserve">e </w:t>
      </w:r>
      <w:r>
        <w:rPr>
          <w:lang w:val="en-US"/>
        </w:rPr>
        <w:t xml:space="preserve">now </w:t>
      </w:r>
      <w:r w:rsidR="00F048DB">
        <w:rPr>
          <w:lang w:val="en-US"/>
        </w:rPr>
        <w:t xml:space="preserve">use our estimates of age and cohort effects to produce illustrative forecasts of pro-European sentiment. </w:t>
      </w:r>
      <w:r w:rsidR="000D246A">
        <w:rPr>
          <w:lang w:val="en-US"/>
        </w:rPr>
        <w:t xml:space="preserve">We obtain population data and projections from the Office of National Statistics for 1971-2068. Figure </w:t>
      </w:r>
      <w:r w:rsidR="00BF767B">
        <w:rPr>
          <w:lang w:val="en-US"/>
        </w:rPr>
        <w:t>10</w:t>
      </w:r>
      <w:r w:rsidR="000D246A">
        <w:rPr>
          <w:lang w:val="en-US"/>
        </w:rPr>
        <w:t xml:space="preserve"> shows how the age distribution of the electorate has and is forecast to change. Falling birth rates and rising longevity</w:t>
      </w:r>
      <w:r w:rsidR="00C6124D">
        <w:rPr>
          <w:lang w:val="en-US"/>
        </w:rPr>
        <w:t xml:space="preserve"> have both contributed to</w:t>
      </w:r>
      <w:r>
        <w:rPr>
          <w:lang w:val="en-US"/>
        </w:rPr>
        <w:t xml:space="preserve"> ageing of the population, a trend that</w:t>
      </w:r>
      <w:r w:rsidR="00C6124D">
        <w:rPr>
          <w:lang w:val="en-US"/>
        </w:rPr>
        <w:t xml:space="preserve"> is forecast to continue over coming ge</w:t>
      </w:r>
      <w:r w:rsidR="00C9023A">
        <w:rPr>
          <w:lang w:val="en-US"/>
        </w:rPr>
        <w:t>nerations. G</w:t>
      </w:r>
      <w:r w:rsidR="00C6124D">
        <w:rPr>
          <w:lang w:val="en-US"/>
        </w:rPr>
        <w:t>iven the negative ageing effects</w:t>
      </w:r>
      <w:r w:rsidR="00483661">
        <w:rPr>
          <w:lang w:val="en-US"/>
        </w:rPr>
        <w:t xml:space="preserve"> </w:t>
      </w:r>
      <w:r w:rsidR="00C6124D">
        <w:rPr>
          <w:lang w:val="en-US"/>
        </w:rPr>
        <w:t xml:space="preserve">found in the previous section, this is likely to </w:t>
      </w:r>
      <w:r w:rsidR="00447100">
        <w:rPr>
          <w:lang w:val="en-US"/>
        </w:rPr>
        <w:t xml:space="preserve">have a negative effect on </w:t>
      </w:r>
      <w:r w:rsidR="00C6124D">
        <w:rPr>
          <w:lang w:val="en-US"/>
        </w:rPr>
        <w:t>aggregate sentiment toward the EU.</w:t>
      </w:r>
    </w:p>
    <w:p w14:paraId="4F1B02AE" w14:textId="77777777" w:rsidR="004B444A" w:rsidRPr="00947587" w:rsidRDefault="004B444A" w:rsidP="004B444A">
      <w:pPr>
        <w:keepNext/>
        <w:spacing w:line="360" w:lineRule="auto"/>
        <w:jc w:val="both"/>
        <w:rPr>
          <w:b/>
          <w:lang w:val="en-US"/>
        </w:rPr>
      </w:pPr>
      <w:r w:rsidRPr="00947587">
        <w:rPr>
          <w:b/>
          <w:lang w:val="en-US"/>
        </w:rPr>
        <w:lastRenderedPageBreak/>
        <w:t xml:space="preserve">Figure </w:t>
      </w:r>
      <w:r w:rsidR="00BF767B">
        <w:rPr>
          <w:b/>
          <w:lang w:val="en-US"/>
        </w:rPr>
        <w:t>10</w:t>
      </w:r>
      <w:r w:rsidRPr="00947587">
        <w:rPr>
          <w:b/>
          <w:lang w:val="en-US"/>
        </w:rPr>
        <w:t xml:space="preserve"> – age distribution of the UK population age 18-80</w:t>
      </w:r>
    </w:p>
    <w:p w14:paraId="5A42A6C0" w14:textId="77777777" w:rsidR="004B444A" w:rsidRDefault="004B444A" w:rsidP="00947587">
      <w:pPr>
        <w:spacing w:line="360" w:lineRule="auto"/>
        <w:jc w:val="both"/>
        <w:rPr>
          <w:lang w:val="en-US"/>
        </w:rPr>
      </w:pPr>
      <w:r>
        <w:rPr>
          <w:noProof/>
          <w:lang w:val="en-US"/>
        </w:rPr>
        <w:drawing>
          <wp:inline distT="0" distB="0" distL="0" distR="0" wp14:anchorId="732A917F" wp14:editId="431CBD6F">
            <wp:extent cx="5320030" cy="3990340"/>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14:paraId="4A03EFE9" w14:textId="372B3174" w:rsidR="00115519" w:rsidRDefault="00115519" w:rsidP="00115519">
      <w:pPr>
        <w:spacing w:line="360" w:lineRule="auto"/>
        <w:jc w:val="both"/>
        <w:rPr>
          <w:rFonts w:eastAsiaTheme="minorEastAsia"/>
        </w:rPr>
      </w:pPr>
      <w:r>
        <w:rPr>
          <w:lang w:val="en-US"/>
        </w:rPr>
        <w:t xml:space="preserve">Figure </w:t>
      </w:r>
      <w:r w:rsidR="00BF767B">
        <w:rPr>
          <w:lang w:val="en-US"/>
        </w:rPr>
        <w:t>11</w:t>
      </w:r>
      <w:r>
        <w:rPr>
          <w:lang w:val="en-US"/>
        </w:rPr>
        <w:t xml:space="preserve"> shows the mean of </w:t>
      </w:r>
      <m:oMath>
        <m:sSub>
          <m:sSubPr>
            <m:ctrlPr>
              <w:rPr>
                <w:rFonts w:ascii="Cambria Math" w:hAnsi="Cambria Math"/>
                <w:i/>
              </w:rPr>
            </m:ctrlPr>
          </m:sSubPr>
          <m:e>
            <m:r>
              <w:rPr>
                <w:rFonts w:ascii="Cambria Math" w:hAnsi="Cambria Math"/>
              </w:rPr>
              <m:t>y</m:t>
            </m:r>
          </m:e>
          <m:sub>
            <m:r>
              <w:rPr>
                <w:rFonts w:ascii="Cambria Math" w:hAnsi="Cambria Math"/>
              </w:rPr>
              <m:t>it</m:t>
            </m:r>
          </m:sub>
        </m:sSub>
      </m:oMath>
      <w:r>
        <w:rPr>
          <w:rFonts w:eastAsiaTheme="minorEastAsia"/>
        </w:rPr>
        <w:t xml:space="preserve"> by age in the 2016 BES</w:t>
      </w:r>
      <w:r w:rsidR="00447100">
        <w:rPr>
          <w:rFonts w:eastAsiaTheme="minorEastAsia"/>
        </w:rPr>
        <w:t>,</w:t>
      </w:r>
      <w:r>
        <w:rPr>
          <w:rFonts w:eastAsiaTheme="minorEastAsia"/>
        </w:rPr>
        <w:t xml:space="preserve"> alongside our estimates of the age effect and the cohort effects that apply to those ages in 2016, both of which were estimated over the </w:t>
      </w:r>
      <w:r w:rsidR="00447100">
        <w:rPr>
          <w:rFonts w:eastAsiaTheme="minorEastAsia"/>
        </w:rPr>
        <w:t>entire</w:t>
      </w:r>
      <w:r>
        <w:rPr>
          <w:rFonts w:eastAsiaTheme="minorEastAsia"/>
        </w:rPr>
        <w:t xml:space="preserve"> 1963-2016 sample. The sum of these effects does a good job </w:t>
      </w:r>
      <w:r w:rsidR="00447100">
        <w:rPr>
          <w:rFonts w:eastAsiaTheme="minorEastAsia"/>
        </w:rPr>
        <w:t xml:space="preserve">at </w:t>
      </w:r>
      <w:r>
        <w:rPr>
          <w:rFonts w:eastAsiaTheme="minorEastAsia"/>
        </w:rPr>
        <w:t xml:space="preserve">capturing the 2016 age-Leave gradient. </w:t>
      </w:r>
      <w:r w:rsidR="00447100">
        <w:rPr>
          <w:rFonts w:eastAsiaTheme="minorEastAsia"/>
        </w:rPr>
        <w:t>O</w:t>
      </w:r>
      <w:r w:rsidR="001D05CA">
        <w:rPr>
          <w:rFonts w:eastAsiaTheme="minorEastAsia"/>
        </w:rPr>
        <w:t>ur coeff</w:t>
      </w:r>
      <w:r w:rsidR="00447100">
        <w:rPr>
          <w:rFonts w:eastAsiaTheme="minorEastAsia"/>
        </w:rPr>
        <w:t>i</w:t>
      </w:r>
      <w:r w:rsidR="001D05CA">
        <w:rPr>
          <w:rFonts w:eastAsiaTheme="minorEastAsia"/>
        </w:rPr>
        <w:t>c</w:t>
      </w:r>
      <w:r w:rsidR="00447100">
        <w:rPr>
          <w:rFonts w:eastAsiaTheme="minorEastAsia"/>
        </w:rPr>
        <w:t>i</w:t>
      </w:r>
      <w:r w:rsidR="001D05CA">
        <w:rPr>
          <w:rFonts w:eastAsiaTheme="minorEastAsia"/>
        </w:rPr>
        <w:t>ent estimates suggest that m</w:t>
      </w:r>
      <w:r>
        <w:rPr>
          <w:rFonts w:eastAsiaTheme="minorEastAsia"/>
        </w:rPr>
        <w:t xml:space="preserve">ost of the age-leave gradient </w:t>
      </w:r>
      <w:r w:rsidR="001D05CA">
        <w:rPr>
          <w:rFonts w:eastAsiaTheme="minorEastAsia"/>
        </w:rPr>
        <w:t xml:space="preserve">observed in 2016 </w:t>
      </w:r>
      <w:r>
        <w:rPr>
          <w:rFonts w:eastAsiaTheme="minorEastAsia"/>
        </w:rPr>
        <w:t>is attributable to age rather than cohort effects.</w:t>
      </w:r>
    </w:p>
    <w:p w14:paraId="1417A785" w14:textId="77777777" w:rsidR="00115519" w:rsidRPr="00CD5C42" w:rsidRDefault="00115519" w:rsidP="00115519">
      <w:pPr>
        <w:keepNext/>
        <w:spacing w:line="360" w:lineRule="auto"/>
        <w:jc w:val="both"/>
        <w:rPr>
          <w:b/>
          <w:lang w:val="en-US"/>
        </w:rPr>
      </w:pPr>
      <w:r w:rsidRPr="00CD5C42">
        <w:rPr>
          <w:rFonts w:eastAsiaTheme="minorEastAsia"/>
          <w:b/>
        </w:rPr>
        <w:lastRenderedPageBreak/>
        <w:t xml:space="preserve">Figure </w:t>
      </w:r>
      <w:r w:rsidR="00BF767B">
        <w:rPr>
          <w:rFonts w:eastAsiaTheme="minorEastAsia"/>
          <w:b/>
        </w:rPr>
        <w:t xml:space="preserve">11 </w:t>
      </w:r>
      <w:r w:rsidRPr="00CD5C42">
        <w:rPr>
          <w:rFonts w:eastAsiaTheme="minorEastAsia"/>
          <w:b/>
        </w:rPr>
        <w:t>– estimated and actual age profile of leave sentiment in 2016</w:t>
      </w:r>
    </w:p>
    <w:p w14:paraId="6A82660A" w14:textId="77777777" w:rsidR="00115519" w:rsidRDefault="00115519" w:rsidP="00115519">
      <w:pPr>
        <w:spacing w:line="360" w:lineRule="auto"/>
        <w:jc w:val="both"/>
        <w:rPr>
          <w:lang w:val="en-US"/>
        </w:rPr>
      </w:pPr>
      <w:r>
        <w:rPr>
          <w:noProof/>
          <w:lang w:val="en-US"/>
        </w:rPr>
        <w:drawing>
          <wp:inline distT="0" distB="0" distL="0" distR="0" wp14:anchorId="409C19ED" wp14:editId="3F9B6154">
            <wp:extent cx="5328920" cy="398843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28920" cy="3988435"/>
                    </a:xfrm>
                    <a:prstGeom prst="rect">
                      <a:avLst/>
                    </a:prstGeom>
                    <a:noFill/>
                    <a:ln>
                      <a:noFill/>
                    </a:ln>
                  </pic:spPr>
                </pic:pic>
              </a:graphicData>
            </a:graphic>
          </wp:inline>
        </w:drawing>
      </w:r>
    </w:p>
    <w:p w14:paraId="27918DD6" w14:textId="77777777" w:rsidR="00115519" w:rsidRDefault="00115519" w:rsidP="00947587">
      <w:pPr>
        <w:spacing w:line="360" w:lineRule="auto"/>
        <w:jc w:val="both"/>
        <w:rPr>
          <w:lang w:val="en-US"/>
        </w:rPr>
      </w:pPr>
    </w:p>
    <w:p w14:paraId="15FB1C6B" w14:textId="76ED9A42" w:rsidR="00C6124D" w:rsidRDefault="00C6124D" w:rsidP="00947587">
      <w:pPr>
        <w:spacing w:line="360" w:lineRule="auto"/>
        <w:jc w:val="both"/>
        <w:rPr>
          <w:lang w:val="en-US"/>
        </w:rPr>
      </w:pPr>
      <w:r>
        <w:rPr>
          <w:lang w:val="en-US"/>
        </w:rPr>
        <w:t>As a neutral assumption we hold future cohort effects fixed at th</w:t>
      </w:r>
      <w:r w:rsidR="00F83945">
        <w:rPr>
          <w:lang w:val="en-US"/>
        </w:rPr>
        <w:t xml:space="preserve">e level of </w:t>
      </w:r>
      <w:r>
        <w:rPr>
          <w:lang w:val="en-US"/>
        </w:rPr>
        <w:t>current young</w:t>
      </w:r>
      <w:r w:rsidR="00F83945">
        <w:rPr>
          <w:lang w:val="en-US"/>
        </w:rPr>
        <w:t xml:space="preserve"> cohorts</w:t>
      </w:r>
      <w:r>
        <w:rPr>
          <w:lang w:val="en-US"/>
        </w:rPr>
        <w:t xml:space="preserve">. </w:t>
      </w:r>
      <w:r w:rsidR="00483661">
        <w:rPr>
          <w:lang w:val="en-US"/>
        </w:rPr>
        <w:t>That</w:t>
      </w:r>
      <w:r>
        <w:rPr>
          <w:lang w:val="en-US"/>
        </w:rPr>
        <w:t xml:space="preserve"> cohort effects </w:t>
      </w:r>
      <w:r w:rsidR="00577DD1">
        <w:rPr>
          <w:lang w:val="en-US"/>
        </w:rPr>
        <w:t>are largely</w:t>
      </w:r>
      <w:r>
        <w:rPr>
          <w:lang w:val="en-US"/>
        </w:rPr>
        <w:t xml:space="preserve"> accounted for by </w:t>
      </w:r>
      <w:r w:rsidR="00057800">
        <w:rPr>
          <w:lang w:val="en-US"/>
        </w:rPr>
        <w:t>differences in education levels</w:t>
      </w:r>
      <w:r w:rsidR="00C9023A">
        <w:rPr>
          <w:lang w:val="en-US"/>
        </w:rPr>
        <w:t>, which are unlikely to change radically,</w:t>
      </w:r>
      <w:r w:rsidR="00057800">
        <w:rPr>
          <w:lang w:val="en-US"/>
        </w:rPr>
        <w:t xml:space="preserve"> lends weight to this assumption.</w:t>
      </w:r>
    </w:p>
    <w:p w14:paraId="5D7DE7E5" w14:textId="33D38885" w:rsidR="00F83945" w:rsidRDefault="00F83945" w:rsidP="00947587">
      <w:pPr>
        <w:spacing w:line="360" w:lineRule="auto"/>
        <w:jc w:val="both"/>
        <w:rPr>
          <w:lang w:val="en-US"/>
        </w:rPr>
      </w:pPr>
      <w:r>
        <w:rPr>
          <w:lang w:val="en-US"/>
        </w:rPr>
        <w:t xml:space="preserve">Figure </w:t>
      </w:r>
      <w:r w:rsidR="00BF767B">
        <w:rPr>
          <w:lang w:val="en-US"/>
        </w:rPr>
        <w:t>12</w:t>
      </w:r>
      <w:r>
        <w:rPr>
          <w:lang w:val="en-US"/>
        </w:rPr>
        <w:t xml:space="preserve"> shows </w:t>
      </w:r>
      <w:r w:rsidR="00447100">
        <w:rPr>
          <w:lang w:val="en-US"/>
        </w:rPr>
        <w:t xml:space="preserve">the </w:t>
      </w:r>
      <w:r>
        <w:rPr>
          <w:lang w:val="en-US"/>
        </w:rPr>
        <w:t>contributions of age and cohort effects to average sentiment</w:t>
      </w:r>
      <w:r w:rsidR="005764F7">
        <w:rPr>
          <w:lang w:val="en-US"/>
        </w:rPr>
        <w:t xml:space="preserve"> relative to the population distribution in 1971</w:t>
      </w:r>
      <w:r w:rsidR="00483661">
        <w:rPr>
          <w:lang w:val="en-US"/>
        </w:rPr>
        <w:t>, when our population data begin</w:t>
      </w:r>
      <w:r w:rsidR="004A5D6A">
        <w:rPr>
          <w:lang w:val="en-US"/>
        </w:rPr>
        <w:t xml:space="preserve">. The solid lines show population-weighted averages, </w:t>
      </w:r>
      <w:r w:rsidR="007B3E55">
        <w:rPr>
          <w:lang w:val="en-US"/>
        </w:rPr>
        <w:t>while</w:t>
      </w:r>
      <w:r w:rsidR="004A5D6A">
        <w:rPr>
          <w:lang w:val="en-US"/>
        </w:rPr>
        <w:t xml:space="preserve"> the dotted lines show</w:t>
      </w:r>
      <w:r w:rsidR="007B3E55">
        <w:rPr>
          <w:lang w:val="en-US"/>
        </w:rPr>
        <w:t xml:space="preserve"> voting-population-weighted</w:t>
      </w:r>
      <w:r w:rsidR="004A5D6A">
        <w:rPr>
          <w:lang w:val="en-US"/>
        </w:rPr>
        <w:t xml:space="preserve"> averages, where we obtain the age-turnout gradient from the 2016 British Social Attitudes </w:t>
      </w:r>
      <w:r w:rsidR="00447100">
        <w:rPr>
          <w:lang w:val="en-US"/>
        </w:rPr>
        <w:t>S</w:t>
      </w:r>
      <w:r w:rsidR="004A5D6A">
        <w:rPr>
          <w:lang w:val="en-US"/>
        </w:rPr>
        <w:t>urvey.</w:t>
      </w:r>
      <w:r w:rsidR="007A1DBC">
        <w:rPr>
          <w:lang w:val="en-US"/>
        </w:rPr>
        <w:t xml:space="preserve"> </w:t>
      </w:r>
      <w:r w:rsidR="00577DD1">
        <w:rPr>
          <w:lang w:val="en-US"/>
        </w:rPr>
        <w:t xml:space="preserve">Evidently, </w:t>
      </w:r>
      <w:r w:rsidR="007A1DBC">
        <w:rPr>
          <w:lang w:val="en-US"/>
        </w:rPr>
        <w:t>cohort effects have affected sentiment toward the EU over the past half-century</w:t>
      </w:r>
      <w:r w:rsidR="00447100">
        <w:rPr>
          <w:lang w:val="en-US"/>
        </w:rPr>
        <w:t xml:space="preserve"> in increasingly negative ways</w:t>
      </w:r>
      <w:r w:rsidR="007A1DBC">
        <w:rPr>
          <w:lang w:val="en-US"/>
        </w:rPr>
        <w:t xml:space="preserve">, as the relatively pro-European pre-war generation was progressively replaced by more Eurosceptic baby boomers. The contribution </w:t>
      </w:r>
      <w:r w:rsidR="00447100">
        <w:rPr>
          <w:lang w:val="en-US"/>
        </w:rPr>
        <w:t xml:space="preserve">of </w:t>
      </w:r>
      <w:r w:rsidR="00C9023A">
        <w:rPr>
          <w:lang w:val="en-US"/>
        </w:rPr>
        <w:t xml:space="preserve">this </w:t>
      </w:r>
      <w:r w:rsidR="007A1DBC">
        <w:rPr>
          <w:lang w:val="en-US"/>
        </w:rPr>
        <w:t xml:space="preserve">cohort effect is </w:t>
      </w:r>
      <w:r w:rsidR="00C9023A">
        <w:rPr>
          <w:lang w:val="en-US"/>
        </w:rPr>
        <w:t xml:space="preserve">now </w:t>
      </w:r>
      <w:r w:rsidR="007A1DBC">
        <w:rPr>
          <w:lang w:val="en-US"/>
        </w:rPr>
        <w:t xml:space="preserve">about to </w:t>
      </w:r>
      <w:r w:rsidR="00447100">
        <w:rPr>
          <w:lang w:val="en-US"/>
        </w:rPr>
        <w:t>turn</w:t>
      </w:r>
      <w:r w:rsidR="007A1DBC">
        <w:rPr>
          <w:lang w:val="en-US"/>
        </w:rPr>
        <w:t xml:space="preserve"> positive</w:t>
      </w:r>
      <w:r w:rsidR="00C9023A">
        <w:rPr>
          <w:lang w:val="en-US"/>
        </w:rPr>
        <w:t>,</w:t>
      </w:r>
      <w:r w:rsidR="007A1DBC">
        <w:rPr>
          <w:lang w:val="en-US"/>
        </w:rPr>
        <w:t xml:space="preserve"> but </w:t>
      </w:r>
      <w:r w:rsidR="00C9023A">
        <w:rPr>
          <w:lang w:val="en-US"/>
        </w:rPr>
        <w:t xml:space="preserve">it </w:t>
      </w:r>
      <w:r w:rsidR="007A1DBC">
        <w:rPr>
          <w:lang w:val="en-US"/>
        </w:rPr>
        <w:t xml:space="preserve">will be partly offset by an increasingly negative contribution from ageing, which to date </w:t>
      </w:r>
      <w:r w:rsidR="007B3E55">
        <w:rPr>
          <w:lang w:val="en-US"/>
        </w:rPr>
        <w:t xml:space="preserve">has not </w:t>
      </w:r>
      <w:r w:rsidR="007A1DBC">
        <w:rPr>
          <w:lang w:val="en-US"/>
        </w:rPr>
        <w:t xml:space="preserve">had a large </w:t>
      </w:r>
      <w:r w:rsidR="00447100">
        <w:rPr>
          <w:lang w:val="en-US"/>
        </w:rPr>
        <w:t>impact</w:t>
      </w:r>
      <w:r w:rsidR="008950BF">
        <w:rPr>
          <w:lang w:val="en-US"/>
        </w:rPr>
        <w:t xml:space="preserve"> o</w:t>
      </w:r>
      <w:r w:rsidR="007A1DBC">
        <w:rPr>
          <w:lang w:val="en-US"/>
        </w:rPr>
        <w:t xml:space="preserve">n the aggregate. The net </w:t>
      </w:r>
      <w:r w:rsidR="00447100">
        <w:rPr>
          <w:lang w:val="en-US"/>
        </w:rPr>
        <w:t>impact</w:t>
      </w:r>
      <w:r w:rsidR="007A1DBC">
        <w:rPr>
          <w:lang w:val="en-US"/>
        </w:rPr>
        <w:t xml:space="preserve"> of these two effects has been to reduce pr</w:t>
      </w:r>
      <w:r w:rsidR="00447100">
        <w:rPr>
          <w:lang w:val="en-US"/>
        </w:rPr>
        <w:t>o-European sentiment by about 3 percentage points</w:t>
      </w:r>
      <w:r w:rsidR="007A1DBC">
        <w:rPr>
          <w:lang w:val="en-US"/>
        </w:rPr>
        <w:t xml:space="preserve"> over the past half-century</w:t>
      </w:r>
      <w:r w:rsidR="00C9023A">
        <w:rPr>
          <w:lang w:val="en-US"/>
        </w:rPr>
        <w:t>, an</w:t>
      </w:r>
      <w:r w:rsidR="00447100">
        <w:rPr>
          <w:lang w:val="en-US"/>
        </w:rPr>
        <w:t xml:space="preserve"> effect </w:t>
      </w:r>
      <w:r w:rsidR="00C9023A">
        <w:rPr>
          <w:lang w:val="en-US"/>
        </w:rPr>
        <w:t xml:space="preserve">that </w:t>
      </w:r>
      <w:r w:rsidR="007A1DBC">
        <w:rPr>
          <w:lang w:val="en-US"/>
        </w:rPr>
        <w:t xml:space="preserve">will have </w:t>
      </w:r>
      <w:r w:rsidR="001357E9">
        <w:rPr>
          <w:lang w:val="en-US"/>
        </w:rPr>
        <w:t xml:space="preserve">reversed by </w:t>
      </w:r>
      <w:r w:rsidR="00447100">
        <w:rPr>
          <w:lang w:val="en-US"/>
        </w:rPr>
        <w:t xml:space="preserve">the </w:t>
      </w:r>
      <w:r w:rsidR="001357E9">
        <w:rPr>
          <w:lang w:val="en-US"/>
        </w:rPr>
        <w:t>mid</w:t>
      </w:r>
      <w:r w:rsidR="00577DD1">
        <w:rPr>
          <w:lang w:val="en-US"/>
        </w:rPr>
        <w:t>dle of this</w:t>
      </w:r>
      <w:r w:rsidR="00447100">
        <w:rPr>
          <w:lang w:val="en-US"/>
        </w:rPr>
        <w:t xml:space="preserve"> </w:t>
      </w:r>
      <w:r w:rsidR="001357E9">
        <w:rPr>
          <w:lang w:val="en-US"/>
        </w:rPr>
        <w:t>century.</w:t>
      </w:r>
    </w:p>
    <w:p w14:paraId="423630C8" w14:textId="77777777" w:rsidR="005764F7" w:rsidRPr="00947587" w:rsidRDefault="005764F7" w:rsidP="00947587">
      <w:pPr>
        <w:keepNext/>
        <w:spacing w:line="360" w:lineRule="auto"/>
        <w:jc w:val="both"/>
        <w:rPr>
          <w:b/>
          <w:lang w:val="en-US"/>
        </w:rPr>
      </w:pPr>
      <w:r w:rsidRPr="00947587">
        <w:rPr>
          <w:b/>
          <w:lang w:val="en-US"/>
        </w:rPr>
        <w:lastRenderedPageBreak/>
        <w:t xml:space="preserve">Figure </w:t>
      </w:r>
      <w:r w:rsidR="00BF767B">
        <w:rPr>
          <w:b/>
          <w:lang w:val="en-US"/>
        </w:rPr>
        <w:t>12</w:t>
      </w:r>
      <w:r w:rsidRPr="00947587">
        <w:rPr>
          <w:b/>
          <w:lang w:val="en-US"/>
        </w:rPr>
        <w:t xml:space="preserve"> – time series of estimated age and cohort effect contributions</w:t>
      </w:r>
      <w:r w:rsidR="007A1DBC">
        <w:rPr>
          <w:rStyle w:val="FootnoteReference"/>
          <w:b/>
          <w:lang w:val="en-US"/>
        </w:rPr>
        <w:footnoteReference w:id="17"/>
      </w:r>
    </w:p>
    <w:p w14:paraId="33FA3469" w14:textId="77777777" w:rsidR="005764F7" w:rsidRDefault="007D7F76" w:rsidP="00947587">
      <w:pPr>
        <w:spacing w:line="360" w:lineRule="auto"/>
        <w:jc w:val="both"/>
        <w:rPr>
          <w:lang w:val="en-US"/>
        </w:rPr>
      </w:pPr>
      <w:r>
        <w:rPr>
          <w:noProof/>
          <w:lang w:val="en-US"/>
        </w:rPr>
        <w:drawing>
          <wp:inline distT="0" distB="0" distL="0" distR="0" wp14:anchorId="46F1B140" wp14:editId="4129C701">
            <wp:extent cx="5320030" cy="3990340"/>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20030" cy="3990340"/>
                    </a:xfrm>
                    <a:prstGeom prst="rect">
                      <a:avLst/>
                    </a:prstGeom>
                    <a:noFill/>
                    <a:ln>
                      <a:noFill/>
                    </a:ln>
                  </pic:spPr>
                </pic:pic>
              </a:graphicData>
            </a:graphic>
          </wp:inline>
        </w:drawing>
      </w:r>
    </w:p>
    <w:p w14:paraId="20C593F8" w14:textId="3ED20749" w:rsidR="00217D2C" w:rsidRDefault="004F7975" w:rsidP="00947587">
      <w:pPr>
        <w:spacing w:line="360" w:lineRule="auto"/>
        <w:jc w:val="both"/>
        <w:rPr>
          <w:lang w:val="en-US"/>
        </w:rPr>
      </w:pPr>
      <w:r>
        <w:rPr>
          <w:lang w:val="en-US"/>
        </w:rPr>
        <w:t xml:space="preserve">Figure </w:t>
      </w:r>
      <w:r w:rsidR="004B444A">
        <w:rPr>
          <w:lang w:val="en-US"/>
        </w:rPr>
        <w:t>1</w:t>
      </w:r>
      <w:r w:rsidR="00BF767B">
        <w:rPr>
          <w:lang w:val="en-US"/>
        </w:rPr>
        <w:t>3</w:t>
      </w:r>
      <w:r>
        <w:rPr>
          <w:lang w:val="en-US"/>
        </w:rPr>
        <w:t xml:space="preserve"> displays several alternative decompositions and forecasts of the change in pro-E</w:t>
      </w:r>
      <w:r w:rsidR="00483661">
        <w:rPr>
          <w:lang w:val="en-US"/>
        </w:rPr>
        <w:t>U</w:t>
      </w:r>
      <w:r>
        <w:rPr>
          <w:lang w:val="en-US"/>
        </w:rPr>
        <w:t xml:space="preserve"> sentiment since our </w:t>
      </w:r>
      <w:r w:rsidR="00C9023A">
        <w:rPr>
          <w:lang w:val="en-US"/>
        </w:rPr>
        <w:t xml:space="preserve">population </w:t>
      </w:r>
      <w:r w:rsidR="00217D2C">
        <w:rPr>
          <w:lang w:val="en-US"/>
        </w:rPr>
        <w:t xml:space="preserve">data </w:t>
      </w:r>
      <w:r w:rsidR="00C9023A">
        <w:rPr>
          <w:lang w:val="en-US"/>
        </w:rPr>
        <w:t>bega</w:t>
      </w:r>
      <w:r>
        <w:rPr>
          <w:lang w:val="en-US"/>
        </w:rPr>
        <w:t xml:space="preserve">n in 1971. </w:t>
      </w:r>
      <w:r w:rsidR="00815365">
        <w:rPr>
          <w:lang w:val="en-US"/>
        </w:rPr>
        <w:t xml:space="preserve">We </w:t>
      </w:r>
      <w:r w:rsidR="00577DD1">
        <w:rPr>
          <w:lang w:val="en-US"/>
        </w:rPr>
        <w:t xml:space="preserve">estimate </w:t>
      </w:r>
      <w:r w:rsidR="00815365">
        <w:rPr>
          <w:lang w:val="en-US"/>
        </w:rPr>
        <w:t xml:space="preserve">sampling error using our bootstrapped estimates of APC effects to calculate alternative contributions of </w:t>
      </w:r>
      <w:r w:rsidR="00C9023A">
        <w:rPr>
          <w:lang w:val="en-US"/>
        </w:rPr>
        <w:t xml:space="preserve">the </w:t>
      </w:r>
      <w:r w:rsidR="00815365">
        <w:rPr>
          <w:lang w:val="en-US"/>
        </w:rPr>
        <w:t>age and period effects</w:t>
      </w:r>
      <w:r w:rsidR="00217D2C">
        <w:rPr>
          <w:lang w:val="en-US"/>
        </w:rPr>
        <w:t>. Th</w:t>
      </w:r>
      <w:r w:rsidR="00815365">
        <w:rPr>
          <w:lang w:val="en-US"/>
        </w:rPr>
        <w:t>e 5</w:t>
      </w:r>
      <w:r w:rsidR="00815365" w:rsidRPr="00815365">
        <w:rPr>
          <w:vertAlign w:val="superscript"/>
          <w:lang w:val="en-US"/>
        </w:rPr>
        <w:t>th</w:t>
      </w:r>
      <w:r w:rsidR="00815365">
        <w:rPr>
          <w:lang w:val="en-US"/>
        </w:rPr>
        <w:t xml:space="preserve"> and 95</w:t>
      </w:r>
      <w:r w:rsidR="00815365" w:rsidRPr="00815365">
        <w:rPr>
          <w:vertAlign w:val="superscript"/>
          <w:lang w:val="en-US"/>
        </w:rPr>
        <w:t>th</w:t>
      </w:r>
      <w:r w:rsidR="00815365">
        <w:rPr>
          <w:lang w:val="en-US"/>
        </w:rPr>
        <w:t xml:space="preserve"> centile </w:t>
      </w:r>
      <w:r w:rsidR="00217D2C">
        <w:rPr>
          <w:lang w:val="en-US"/>
        </w:rPr>
        <w:t xml:space="preserve">are shown </w:t>
      </w:r>
      <w:r w:rsidR="00815365">
        <w:rPr>
          <w:lang w:val="en-US"/>
        </w:rPr>
        <w:t>as</w:t>
      </w:r>
      <w:r w:rsidR="00217D2C">
        <w:rPr>
          <w:lang w:val="en-US"/>
        </w:rPr>
        <w:t xml:space="preserve"> the</w:t>
      </w:r>
      <w:r w:rsidR="00815365">
        <w:rPr>
          <w:lang w:val="en-US"/>
        </w:rPr>
        <w:t xml:space="preserve"> </w:t>
      </w:r>
      <w:r w:rsidR="00577DD1">
        <w:rPr>
          <w:lang w:val="en-US"/>
        </w:rPr>
        <w:t>“low bootstrap” and “high bootstrap”</w:t>
      </w:r>
      <w:r w:rsidR="00A3736E">
        <w:rPr>
          <w:lang w:val="en-US"/>
        </w:rPr>
        <w:t xml:space="preserve"> in the figure. Consistent with the narrow confidence intervals displayed in the previous section, </w:t>
      </w:r>
      <w:r>
        <w:rPr>
          <w:lang w:val="en-US"/>
        </w:rPr>
        <w:t xml:space="preserve">sampling error </w:t>
      </w:r>
      <w:r w:rsidR="00A3736E">
        <w:rPr>
          <w:lang w:val="en-US"/>
        </w:rPr>
        <w:t xml:space="preserve">is relatively small. </w:t>
      </w:r>
    </w:p>
    <w:p w14:paraId="188ABD91" w14:textId="51E7503F" w:rsidR="00217D2C" w:rsidRDefault="00A3736E" w:rsidP="00947587">
      <w:pPr>
        <w:spacing w:line="360" w:lineRule="auto"/>
        <w:jc w:val="both"/>
        <w:rPr>
          <w:lang w:val="en-US"/>
        </w:rPr>
      </w:pPr>
      <w:r>
        <w:rPr>
          <w:lang w:val="en-US"/>
        </w:rPr>
        <w:t xml:space="preserve">We </w:t>
      </w:r>
      <w:r w:rsidR="00217D2C">
        <w:rPr>
          <w:lang w:val="en-US"/>
        </w:rPr>
        <w:t>can</w:t>
      </w:r>
      <w:r>
        <w:rPr>
          <w:lang w:val="en-US"/>
        </w:rPr>
        <w:t xml:space="preserve"> </w:t>
      </w:r>
      <w:r w:rsidR="00217D2C">
        <w:rPr>
          <w:lang w:val="en-US"/>
        </w:rPr>
        <w:t xml:space="preserve">further </w:t>
      </w:r>
      <w:r>
        <w:rPr>
          <w:lang w:val="en-US"/>
        </w:rPr>
        <w:t>explore the impact of model uncertainty by calculating the sum of age and cohort contributions using a larger value of the smoothing parameter and a bivariate age-cohort model that omits period effects</w:t>
      </w:r>
      <w:r w:rsidR="00C62F66">
        <w:rPr>
          <w:lang w:val="en-US"/>
        </w:rPr>
        <w:t>. The resulting range is somewhat wider – the high</w:t>
      </w:r>
      <w:r w:rsidR="009A04F6">
        <w:rPr>
          <w:lang w:val="en-US"/>
        </w:rPr>
        <w:t xml:space="preserve"> </w:t>
      </w:r>
      <m:oMath>
        <m:sSub>
          <m:sSubPr>
            <m:ctrlPr>
              <w:rPr>
                <w:rFonts w:ascii="Cambria Math" w:hAnsi="Cambria Math"/>
              </w:rPr>
            </m:ctrlPr>
          </m:sSubPr>
          <m:e>
            <m:r>
              <m:rPr>
                <m:sty m:val="p"/>
              </m:rPr>
              <w:rPr>
                <w:rFonts w:ascii="Cambria Math" w:hAnsi="Cambria Math"/>
              </w:rPr>
              <m:t>λ</m:t>
            </m:r>
          </m:e>
          <m:sub>
            <m:r>
              <w:rPr>
                <w:rFonts w:ascii="Cambria Math" w:hAnsi="Cambria Math"/>
              </w:rPr>
              <m:t>c</m:t>
            </m:r>
          </m:sub>
        </m:sSub>
        <m:sSub>
          <m:sSubPr>
            <m:ctrlPr>
              <w:rPr>
                <w:rFonts w:ascii="Cambria Math" w:hAnsi="Cambria Math"/>
              </w:rPr>
            </m:ctrlPr>
          </m:sSubPr>
          <m:e>
            <m:r>
              <m:rPr>
                <m:sty m:val="p"/>
              </m:rPr>
              <w:rPr>
                <w:rFonts w:ascii="Cambria Math" w:hAnsi="Cambria Math"/>
              </w:rPr>
              <m:t>,λ</m:t>
            </m:r>
          </m:e>
          <m:sub>
            <m:r>
              <w:rPr>
                <w:rFonts w:ascii="Cambria Math" w:hAnsi="Cambria Math"/>
              </w:rPr>
              <m:t>a</m:t>
            </m:r>
          </m:sub>
        </m:sSub>
      </m:oMath>
      <w:r w:rsidR="00C62F66">
        <w:rPr>
          <w:lang w:val="en-US"/>
        </w:rPr>
        <w:t xml:space="preserve"> model projects no rise in pro-European sentiment, while the bivariate model predicts a sharper rise than the baseline.</w:t>
      </w:r>
      <w:r w:rsidR="00A333B8">
        <w:rPr>
          <w:lang w:val="en-US"/>
        </w:rPr>
        <w:t xml:space="preserve"> </w:t>
      </w:r>
    </w:p>
    <w:p w14:paraId="20B96C20" w14:textId="22965D64" w:rsidR="009942B6" w:rsidRDefault="00577DD1" w:rsidP="00947587">
      <w:pPr>
        <w:spacing w:line="360" w:lineRule="auto"/>
        <w:jc w:val="both"/>
        <w:rPr>
          <w:lang w:val="en-US"/>
        </w:rPr>
      </w:pPr>
      <w:r>
        <w:rPr>
          <w:lang w:val="en-US"/>
        </w:rPr>
        <w:t xml:space="preserve">Especially important, our analysis reveals, is </w:t>
      </w:r>
      <w:r w:rsidR="00A333B8">
        <w:rPr>
          <w:lang w:val="en-US"/>
        </w:rPr>
        <w:t xml:space="preserve">the contribution </w:t>
      </w:r>
      <w:r w:rsidR="00217D2C">
        <w:rPr>
          <w:lang w:val="en-US"/>
        </w:rPr>
        <w:t xml:space="preserve">of </w:t>
      </w:r>
      <w:r>
        <w:rPr>
          <w:lang w:val="en-US"/>
        </w:rPr>
        <w:t>time effects. To show this, w</w:t>
      </w:r>
      <w:r w:rsidR="00A333B8">
        <w:rPr>
          <w:lang w:val="en-US"/>
        </w:rPr>
        <w:t>e linearly interpolate the estimates for survey years to obtain an annual dataset, fit a second-order autoregressive model to the interpolated data, simulate draws from this series</w:t>
      </w:r>
      <w:r w:rsidR="00217D2C">
        <w:rPr>
          <w:lang w:val="en-US"/>
        </w:rPr>
        <w:t>,</w:t>
      </w:r>
      <w:r w:rsidR="00A333B8">
        <w:rPr>
          <w:lang w:val="en-US"/>
        </w:rPr>
        <w:t xml:space="preserve"> and add the 5</w:t>
      </w:r>
      <w:r w:rsidR="00A333B8" w:rsidRPr="00A333B8">
        <w:rPr>
          <w:vertAlign w:val="superscript"/>
          <w:lang w:val="en-US"/>
        </w:rPr>
        <w:t>th</w:t>
      </w:r>
      <w:r w:rsidR="00A333B8">
        <w:rPr>
          <w:lang w:val="en-US"/>
        </w:rPr>
        <w:t xml:space="preserve"> and 95</w:t>
      </w:r>
      <w:r w:rsidR="00A333B8" w:rsidRPr="00A333B8">
        <w:rPr>
          <w:vertAlign w:val="superscript"/>
          <w:lang w:val="en-US"/>
        </w:rPr>
        <w:t>th</w:t>
      </w:r>
      <w:r w:rsidR="00A333B8">
        <w:rPr>
          <w:lang w:val="en-US"/>
        </w:rPr>
        <w:t xml:space="preserve"> percentiles to the baseline forecast (</w:t>
      </w:r>
      <w:r>
        <w:rPr>
          <w:lang w:val="en-US"/>
        </w:rPr>
        <w:t>denoted “low time effect” and “high time effect”</w:t>
      </w:r>
      <w:r w:rsidR="00A333B8">
        <w:rPr>
          <w:lang w:val="en-US"/>
        </w:rPr>
        <w:t xml:space="preserve"> in the </w:t>
      </w:r>
      <w:r w:rsidR="00A333B8">
        <w:rPr>
          <w:lang w:val="en-US"/>
        </w:rPr>
        <w:lastRenderedPageBreak/>
        <w:t xml:space="preserve">figure). </w:t>
      </w:r>
      <w:r w:rsidR="00ED2002">
        <w:rPr>
          <w:lang w:val="en-US"/>
        </w:rPr>
        <w:t xml:space="preserve">The difference between the “low time effect” and “high time effect” is very large.  </w:t>
      </w:r>
      <w:r w:rsidR="00C9023A">
        <w:rPr>
          <w:lang w:val="en-US"/>
        </w:rPr>
        <w:t>If</w:t>
      </w:r>
      <w:r w:rsidR="00F968D9">
        <w:rPr>
          <w:lang w:val="en-US"/>
        </w:rPr>
        <w:t xml:space="preserve"> past volatility is a guide, </w:t>
      </w:r>
      <w:r w:rsidR="00C9023A">
        <w:rPr>
          <w:lang w:val="en-US"/>
        </w:rPr>
        <w:t xml:space="preserve">then </w:t>
      </w:r>
      <w:r w:rsidR="00F968D9">
        <w:rPr>
          <w:lang w:val="en-US"/>
        </w:rPr>
        <w:t xml:space="preserve">these effects </w:t>
      </w:r>
      <w:r w:rsidR="00ED2002">
        <w:rPr>
          <w:lang w:val="en-US"/>
        </w:rPr>
        <w:t xml:space="preserve">and the uncertainty surrounding them swamp the impact of </w:t>
      </w:r>
      <w:r w:rsidR="00F968D9">
        <w:rPr>
          <w:lang w:val="en-US"/>
        </w:rPr>
        <w:t xml:space="preserve">changes in the age and cohort effects </w:t>
      </w:r>
      <w:r w:rsidR="00ED2002">
        <w:rPr>
          <w:lang w:val="en-US"/>
        </w:rPr>
        <w:t>over the entire plausible range for the latter</w:t>
      </w:r>
      <w:r w:rsidR="00F968D9">
        <w:rPr>
          <w:lang w:val="en-US"/>
        </w:rPr>
        <w:t>.</w:t>
      </w:r>
      <w:r>
        <w:rPr>
          <w:lang w:val="en-US"/>
        </w:rPr>
        <w:t xml:space="preserve">  This suggests focusing in future </w:t>
      </w:r>
      <w:r w:rsidR="00ED2002">
        <w:rPr>
          <w:lang w:val="en-US"/>
        </w:rPr>
        <w:t xml:space="preserve">work </w:t>
      </w:r>
      <w:r>
        <w:rPr>
          <w:lang w:val="en-US"/>
        </w:rPr>
        <w:t>on the underlying drivers of these time or period effects, since the</w:t>
      </w:r>
      <w:r w:rsidR="00ED2002">
        <w:rPr>
          <w:lang w:val="en-US"/>
        </w:rPr>
        <w:t xml:space="preserve"> latter are l</w:t>
      </w:r>
      <w:r>
        <w:rPr>
          <w:lang w:val="en-US"/>
        </w:rPr>
        <w:t xml:space="preserve">ikely to </w:t>
      </w:r>
      <w:r w:rsidR="00ED2002">
        <w:rPr>
          <w:lang w:val="en-US"/>
        </w:rPr>
        <w:t xml:space="preserve">be the </w:t>
      </w:r>
      <w:r>
        <w:rPr>
          <w:lang w:val="en-US"/>
        </w:rPr>
        <w:t>domina</w:t>
      </w:r>
      <w:r w:rsidR="00ED2002">
        <w:rPr>
          <w:lang w:val="en-US"/>
        </w:rPr>
        <w:t>n</w:t>
      </w:r>
      <w:r>
        <w:rPr>
          <w:lang w:val="en-US"/>
        </w:rPr>
        <w:t>t determinants of sentiment toward the UK going forward.</w:t>
      </w:r>
    </w:p>
    <w:p w14:paraId="1C5B0779" w14:textId="77777777" w:rsidR="00577DD1" w:rsidRDefault="00577DD1" w:rsidP="00947587">
      <w:pPr>
        <w:spacing w:line="360" w:lineRule="auto"/>
        <w:jc w:val="both"/>
        <w:rPr>
          <w:lang w:val="en-US"/>
        </w:rPr>
      </w:pPr>
    </w:p>
    <w:p w14:paraId="0475C226" w14:textId="77777777" w:rsidR="00DB45C5" w:rsidRPr="00DB45C5" w:rsidRDefault="00DB45C5" w:rsidP="00DB45C5">
      <w:pPr>
        <w:keepNext/>
        <w:spacing w:line="360" w:lineRule="auto"/>
        <w:jc w:val="both"/>
        <w:rPr>
          <w:b/>
          <w:lang w:val="en-US"/>
        </w:rPr>
      </w:pPr>
      <w:r w:rsidRPr="00DB45C5">
        <w:rPr>
          <w:b/>
          <w:lang w:val="en-US"/>
        </w:rPr>
        <w:t xml:space="preserve">Figure </w:t>
      </w:r>
      <w:r w:rsidR="004B444A">
        <w:rPr>
          <w:b/>
          <w:lang w:val="en-US"/>
        </w:rPr>
        <w:t>1</w:t>
      </w:r>
      <w:r w:rsidR="00BF767B">
        <w:rPr>
          <w:b/>
          <w:lang w:val="en-US"/>
        </w:rPr>
        <w:t>3</w:t>
      </w:r>
      <w:r w:rsidRPr="00DB45C5">
        <w:rPr>
          <w:b/>
          <w:lang w:val="en-US"/>
        </w:rPr>
        <w:t xml:space="preserve"> – past uncertainty and future volatility </w:t>
      </w:r>
      <w:r w:rsidR="004F7975">
        <w:rPr>
          <w:b/>
          <w:lang w:val="en-US"/>
        </w:rPr>
        <w:t xml:space="preserve">in change in weighted average </w:t>
      </w:r>
      <w:proofErr w:type="spellStart"/>
      <w:r w:rsidR="004F7975">
        <w:rPr>
          <w:b/>
          <w:lang w:val="en-US"/>
        </w:rPr>
        <w:t>y</w:t>
      </w:r>
      <w:r w:rsidR="004F7975">
        <w:rPr>
          <w:b/>
          <w:vertAlign w:val="subscript"/>
          <w:lang w:val="en-US"/>
        </w:rPr>
        <w:t>it</w:t>
      </w:r>
      <w:proofErr w:type="spellEnd"/>
      <w:r w:rsidR="004F7975">
        <w:rPr>
          <w:b/>
          <w:lang w:val="en-US"/>
        </w:rPr>
        <w:t xml:space="preserve"> </w:t>
      </w:r>
      <w:r w:rsidRPr="00DB45C5">
        <w:rPr>
          <w:b/>
          <w:lang w:val="en-US"/>
        </w:rPr>
        <w:t xml:space="preserve">due to sampling variability, </w:t>
      </w:r>
      <w:r w:rsidR="004F7975">
        <w:rPr>
          <w:b/>
          <w:lang w:val="en-US"/>
        </w:rPr>
        <w:t xml:space="preserve">model </w:t>
      </w:r>
      <w:r w:rsidRPr="00DB45C5">
        <w:rPr>
          <w:b/>
          <w:lang w:val="en-US"/>
        </w:rPr>
        <w:t>uncertainty and volatility of time effects</w:t>
      </w:r>
    </w:p>
    <w:p w14:paraId="34A5D9F6" w14:textId="77777777" w:rsidR="00DB45C5" w:rsidRDefault="004F7975" w:rsidP="00947587">
      <w:pPr>
        <w:spacing w:line="360" w:lineRule="auto"/>
        <w:jc w:val="both"/>
        <w:rPr>
          <w:lang w:val="en-US"/>
        </w:rPr>
      </w:pPr>
      <w:r>
        <w:rPr>
          <w:noProof/>
          <w:lang w:val="en-US"/>
        </w:rPr>
        <w:drawing>
          <wp:inline distT="0" distB="0" distL="0" distR="0" wp14:anchorId="7AC45AA2" wp14:editId="59D600EC">
            <wp:extent cx="5324475" cy="399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324475" cy="3990975"/>
                    </a:xfrm>
                    <a:prstGeom prst="rect">
                      <a:avLst/>
                    </a:prstGeom>
                    <a:noFill/>
                    <a:ln>
                      <a:noFill/>
                    </a:ln>
                  </pic:spPr>
                </pic:pic>
              </a:graphicData>
            </a:graphic>
          </wp:inline>
        </w:drawing>
      </w:r>
      <w:r w:rsidRPr="004F7975">
        <w:rPr>
          <w:noProof/>
          <w:lang w:eastAsia="en-GB"/>
        </w:rPr>
        <w:t xml:space="preserve"> </w:t>
      </w:r>
    </w:p>
    <w:p w14:paraId="59A78802" w14:textId="77777777" w:rsidR="00996035" w:rsidRPr="00CC24CA" w:rsidRDefault="00F74F53" w:rsidP="00996035">
      <w:pPr>
        <w:pStyle w:val="Title"/>
        <w:jc w:val="both"/>
        <w:rPr>
          <w:sz w:val="32"/>
          <w:szCs w:val="32"/>
          <w:lang w:val="en-US"/>
        </w:rPr>
      </w:pPr>
      <w:r>
        <w:rPr>
          <w:sz w:val="32"/>
          <w:szCs w:val="32"/>
          <w:lang w:val="en-US"/>
        </w:rPr>
        <w:t>6</w:t>
      </w:r>
      <w:r w:rsidR="00996035">
        <w:rPr>
          <w:sz w:val="32"/>
          <w:szCs w:val="32"/>
          <w:lang w:val="en-US"/>
        </w:rPr>
        <w:t xml:space="preserve"> Conclusion</w:t>
      </w:r>
    </w:p>
    <w:p w14:paraId="0C8EE9D6" w14:textId="51A6E9E6" w:rsidR="00DF43B3" w:rsidRPr="00DF43B3" w:rsidRDefault="00217D2C" w:rsidP="00DF43B3">
      <w:pPr>
        <w:spacing w:line="360" w:lineRule="auto"/>
        <w:jc w:val="both"/>
        <w:rPr>
          <w:lang w:val="en-US"/>
        </w:rPr>
      </w:pPr>
      <w:r>
        <w:t>In the UK’s 2016 Brexit referendum, young voters were more likely than their elders to support remaining in the E</w:t>
      </w:r>
      <w:r w:rsidR="004D2086">
        <w:t>uropean Union</w:t>
      </w:r>
      <w:r>
        <w:t xml:space="preserve">. Using </w:t>
      </w:r>
      <w:r w:rsidR="009C6260">
        <w:t xml:space="preserve">a </w:t>
      </w:r>
      <w:r>
        <w:t>half</w:t>
      </w:r>
      <w:r w:rsidR="009C6260">
        <w:t>-</w:t>
      </w:r>
      <w:r>
        <w:t>century of data and new technique</w:t>
      </w:r>
      <w:r w:rsidR="004D2086">
        <w:t>s</w:t>
      </w:r>
      <w:r>
        <w:t xml:space="preserve">, we </w:t>
      </w:r>
      <w:r w:rsidR="0049302E">
        <w:t>find</w:t>
      </w:r>
      <w:r>
        <w:t xml:space="preserve"> that </w:t>
      </w:r>
      <w:r w:rsidR="0049302E">
        <w:t>r</w:t>
      </w:r>
      <w:r>
        <w:t xml:space="preserve">ecent cohorts tend to be more pro-European than their predecessors, but </w:t>
      </w:r>
      <w:r w:rsidR="009C6260">
        <w:t xml:space="preserve">that </w:t>
      </w:r>
      <w:r>
        <w:t xml:space="preserve">voters also become more </w:t>
      </w:r>
      <w:r w:rsidR="004925B1">
        <w:t>Eurosceptic</w:t>
      </w:r>
      <w:r>
        <w:t xml:space="preserve"> as they age.  </w:t>
      </w:r>
      <w:r w:rsidR="0049302E">
        <w:t xml:space="preserve">Furthermore, we </w:t>
      </w:r>
      <w:r w:rsidR="009C6260">
        <w:t>show</w:t>
      </w:r>
      <w:r w:rsidR="0049302E">
        <w:t xml:space="preserve"> that m</w:t>
      </w:r>
      <w:r>
        <w:t xml:space="preserve">uch of the pro-Europeanism of recent cohorts is associated with greater years of education. </w:t>
      </w:r>
      <w:r w:rsidR="009C6260">
        <w:t>Finally</w:t>
      </w:r>
      <w:r w:rsidR="000237DF">
        <w:t xml:space="preserve">, we document large nationwide swings in sentiment that have little to do with seasoning or cohort effects. These time effects are plausibly </w:t>
      </w:r>
      <w:r w:rsidR="000237DF">
        <w:rPr>
          <w:lang w:val="en-US"/>
        </w:rPr>
        <w:t xml:space="preserve">associated with, inter alia, macroeconomic fluctuations, financial conditions and geopolitical </w:t>
      </w:r>
      <w:r w:rsidR="000237DF">
        <w:rPr>
          <w:lang w:val="en-US"/>
        </w:rPr>
        <w:lastRenderedPageBreak/>
        <w:t>circumstances, but they also could have other sources.</w:t>
      </w:r>
      <w:r w:rsidR="00AC5B08">
        <w:rPr>
          <w:lang w:val="en-US"/>
        </w:rPr>
        <w:t xml:space="preserve"> They </w:t>
      </w:r>
      <w:r w:rsidR="00ED2002">
        <w:rPr>
          <w:lang w:val="en-US"/>
        </w:rPr>
        <w:t xml:space="preserve">are volatile, and they </w:t>
      </w:r>
      <w:r w:rsidR="00AC5B08">
        <w:rPr>
          <w:lang w:val="en-US"/>
        </w:rPr>
        <w:t>dominate the impact of the estimated seasoning and cohort effects.</w:t>
      </w:r>
      <w:r w:rsidR="00AC5B08">
        <w:t xml:space="preserve"> </w:t>
      </w:r>
      <w:r w:rsidR="00DF43B3" w:rsidRPr="00DF43B3">
        <w:rPr>
          <w:lang w:val="en-US"/>
        </w:rPr>
        <w:t xml:space="preserve">These results are robust to the use of alternative data sets, methods and estimators. </w:t>
      </w:r>
    </w:p>
    <w:p w14:paraId="1AF5CBE0" w14:textId="77777777" w:rsidR="00F661EA" w:rsidRDefault="0049302E" w:rsidP="005A348F">
      <w:pPr>
        <w:spacing w:line="360" w:lineRule="auto"/>
        <w:jc w:val="both"/>
        <w:rPr>
          <w:lang w:val="en-US"/>
        </w:rPr>
      </w:pPr>
      <w:r>
        <w:t>We use the</w:t>
      </w:r>
      <w:r w:rsidR="00AC5B08">
        <w:t>se</w:t>
      </w:r>
      <w:r w:rsidR="000237DF">
        <w:t xml:space="preserve"> estimates to provide a new accounting of past trends and a forecast of future sentiment. </w:t>
      </w:r>
      <w:r w:rsidR="004A506C">
        <w:rPr>
          <w:lang w:val="en-US"/>
        </w:rPr>
        <w:t xml:space="preserve">Our baseline estimates of age and cohort effects suggest that </w:t>
      </w:r>
      <w:r w:rsidR="004D2086">
        <w:rPr>
          <w:lang w:val="en-US"/>
        </w:rPr>
        <w:t xml:space="preserve">together </w:t>
      </w:r>
      <w:r w:rsidR="004A506C">
        <w:rPr>
          <w:lang w:val="en-US"/>
        </w:rPr>
        <w:t xml:space="preserve">they have </w:t>
      </w:r>
      <w:r w:rsidR="004D2086">
        <w:rPr>
          <w:lang w:val="en-US"/>
        </w:rPr>
        <w:t>reduced p</w:t>
      </w:r>
      <w:r w:rsidR="004A506C">
        <w:rPr>
          <w:lang w:val="en-US"/>
        </w:rPr>
        <w:t>ro-EU sentiment by about 3 percentage points over the past 40 years</w:t>
      </w:r>
      <w:r w:rsidR="000237DF">
        <w:rPr>
          <w:lang w:val="en-US"/>
        </w:rPr>
        <w:t xml:space="preserve">, as the electorate has aged and Eurosceptic </w:t>
      </w:r>
      <w:r w:rsidR="00AC5B08">
        <w:rPr>
          <w:lang w:val="en-US"/>
        </w:rPr>
        <w:t>baby-boomers have replaced their more pro-European parents</w:t>
      </w:r>
      <w:r w:rsidR="004A506C">
        <w:rPr>
          <w:lang w:val="en-US"/>
        </w:rPr>
        <w:t xml:space="preserve">. </w:t>
      </w:r>
      <w:r>
        <w:rPr>
          <w:lang w:val="en-US"/>
        </w:rPr>
        <w:t xml:space="preserve">If the attitudes of future cohorts resemble those of the currently young, </w:t>
      </w:r>
      <w:r w:rsidR="000237DF">
        <w:rPr>
          <w:lang w:val="en-US"/>
        </w:rPr>
        <w:t>t</w:t>
      </w:r>
      <w:r w:rsidR="004A506C">
        <w:rPr>
          <w:lang w:val="en-US"/>
        </w:rPr>
        <w:t xml:space="preserve">his effect will </w:t>
      </w:r>
      <w:r w:rsidR="00C9023A">
        <w:rPr>
          <w:lang w:val="en-US"/>
        </w:rPr>
        <w:t xml:space="preserve">have been </w:t>
      </w:r>
      <w:r w:rsidR="004A506C">
        <w:rPr>
          <w:lang w:val="en-US"/>
        </w:rPr>
        <w:t>reverse</w:t>
      </w:r>
      <w:r w:rsidR="00C9023A">
        <w:rPr>
          <w:lang w:val="en-US"/>
        </w:rPr>
        <w:t>d</w:t>
      </w:r>
      <w:r w:rsidR="004A506C">
        <w:rPr>
          <w:lang w:val="en-US"/>
        </w:rPr>
        <w:t xml:space="preserve"> by the middle of the present century, </w:t>
      </w:r>
      <w:r w:rsidR="00C4493F">
        <w:rPr>
          <w:lang w:val="en-US"/>
        </w:rPr>
        <w:t xml:space="preserve">as </w:t>
      </w:r>
      <w:r w:rsidR="001072D7">
        <w:rPr>
          <w:lang w:val="en-US"/>
        </w:rPr>
        <w:t>further</w:t>
      </w:r>
      <w:r w:rsidR="00C4493F">
        <w:rPr>
          <w:lang w:val="en-US"/>
        </w:rPr>
        <w:t xml:space="preserve"> ageing of the electorate is more than offset by the passing of the relatively Eurosceptic baby-boomer generation</w:t>
      </w:r>
      <w:r w:rsidR="004A506C">
        <w:rPr>
          <w:lang w:val="en-US"/>
        </w:rPr>
        <w:t>.</w:t>
      </w:r>
      <w:r>
        <w:rPr>
          <w:lang w:val="en-US"/>
        </w:rPr>
        <w:t xml:space="preserve"> </w:t>
      </w:r>
    </w:p>
    <w:p w14:paraId="3CF969F6" w14:textId="65526ECF" w:rsidR="004A506C" w:rsidRDefault="00C4493F" w:rsidP="005A348F">
      <w:pPr>
        <w:spacing w:line="360" w:lineRule="auto"/>
        <w:jc w:val="both"/>
        <w:rPr>
          <w:lang w:val="en-US"/>
        </w:rPr>
      </w:pPr>
      <w:r>
        <w:rPr>
          <w:lang w:val="en-US"/>
        </w:rPr>
        <w:t xml:space="preserve">However, these effects are small </w:t>
      </w:r>
      <w:r w:rsidR="009C6260">
        <w:rPr>
          <w:lang w:val="en-US"/>
        </w:rPr>
        <w:t>compared</w:t>
      </w:r>
      <w:r>
        <w:rPr>
          <w:lang w:val="en-US"/>
        </w:rPr>
        <w:t xml:space="preserve"> to </w:t>
      </w:r>
      <w:r w:rsidR="001072D7">
        <w:rPr>
          <w:lang w:val="en-US"/>
        </w:rPr>
        <w:t xml:space="preserve">the volatility </w:t>
      </w:r>
      <w:r w:rsidR="001E5547">
        <w:rPr>
          <w:lang w:val="en-US"/>
        </w:rPr>
        <w:t xml:space="preserve">and uncertainty surrounding </w:t>
      </w:r>
      <w:r w:rsidR="001072D7">
        <w:rPr>
          <w:lang w:val="en-US"/>
        </w:rPr>
        <w:t xml:space="preserve">time effects. </w:t>
      </w:r>
      <w:r w:rsidR="009C6260">
        <w:rPr>
          <w:lang w:val="en-US"/>
        </w:rPr>
        <w:t>It follows that</w:t>
      </w:r>
      <w:r w:rsidR="001072D7">
        <w:rPr>
          <w:lang w:val="en-US"/>
        </w:rPr>
        <w:t xml:space="preserve"> </w:t>
      </w:r>
      <w:r w:rsidR="001072D7">
        <w:t>d</w:t>
      </w:r>
      <w:r w:rsidR="00AC5B08">
        <w:t xml:space="preserve">emographic trends are unlikely to be the decisive determinants of future changes in European sentiment.  Rather, nationwide changes in attitudes and in the age-turnout gradient will be </w:t>
      </w:r>
      <w:r w:rsidR="00F661EA">
        <w:t>critical</w:t>
      </w:r>
      <w:r w:rsidR="00AC5B08">
        <w:t>.</w:t>
      </w:r>
    </w:p>
    <w:p w14:paraId="4EF9D548" w14:textId="313F1701" w:rsidR="00410A81" w:rsidRPr="00F968D9" w:rsidRDefault="00C4493F" w:rsidP="005A348F">
      <w:pPr>
        <w:spacing w:line="360" w:lineRule="auto"/>
        <w:jc w:val="both"/>
        <w:rPr>
          <w:lang w:val="en-US"/>
        </w:rPr>
      </w:pPr>
      <w:r>
        <w:rPr>
          <w:lang w:val="en-US"/>
        </w:rPr>
        <w:t>As we</w:t>
      </w:r>
      <w:r w:rsidR="003D0531">
        <w:rPr>
          <w:lang w:val="en-US"/>
        </w:rPr>
        <w:t>ll</w:t>
      </w:r>
      <w:r>
        <w:rPr>
          <w:lang w:val="en-US"/>
        </w:rPr>
        <w:t xml:space="preserve"> as the future paths of time and cohort effects</w:t>
      </w:r>
      <w:r w:rsidR="003D0531">
        <w:rPr>
          <w:lang w:val="en-US"/>
        </w:rPr>
        <w:t xml:space="preserve">, </w:t>
      </w:r>
      <w:r w:rsidR="004A506C">
        <w:rPr>
          <w:lang w:val="en-US"/>
        </w:rPr>
        <w:t xml:space="preserve">there </w:t>
      </w:r>
      <w:r w:rsidR="00410A81">
        <w:rPr>
          <w:lang w:val="en-US"/>
        </w:rPr>
        <w:t xml:space="preserve">are further sources of uncertainty </w:t>
      </w:r>
      <w:r w:rsidR="004A506C">
        <w:rPr>
          <w:lang w:val="en-US"/>
        </w:rPr>
        <w:t xml:space="preserve">that </w:t>
      </w:r>
      <w:r w:rsidR="00410A81">
        <w:rPr>
          <w:lang w:val="en-US"/>
        </w:rPr>
        <w:t xml:space="preserve">we do not model here. </w:t>
      </w:r>
      <w:r w:rsidR="00637563">
        <w:rPr>
          <w:lang w:val="en-US"/>
        </w:rPr>
        <w:t xml:space="preserve">There is uncertainty about turnout, </w:t>
      </w:r>
      <w:r w:rsidR="003D0531">
        <w:rPr>
          <w:lang w:val="en-US"/>
        </w:rPr>
        <w:t xml:space="preserve">fertility, mortality and migration. </w:t>
      </w:r>
      <w:r w:rsidR="00637563">
        <w:rPr>
          <w:lang w:val="en-US"/>
        </w:rPr>
        <w:t xml:space="preserve">But, notwithstanding such uncertainty, our results point to the time effects as key. </w:t>
      </w:r>
      <w:r w:rsidR="00ED2002">
        <w:rPr>
          <w:lang w:val="en-US"/>
        </w:rPr>
        <w:t xml:space="preserve">These </w:t>
      </w:r>
      <w:r w:rsidR="001E5547">
        <w:rPr>
          <w:lang w:val="en-US"/>
        </w:rPr>
        <w:t xml:space="preserve">can and </w:t>
      </w:r>
      <w:r w:rsidR="00ED2002">
        <w:rPr>
          <w:lang w:val="en-US"/>
        </w:rPr>
        <w:t xml:space="preserve">have </w:t>
      </w:r>
      <w:r w:rsidR="001E5547">
        <w:rPr>
          <w:lang w:val="en-US"/>
        </w:rPr>
        <w:t>varied</w:t>
      </w:r>
      <w:r w:rsidR="00ED2002">
        <w:rPr>
          <w:lang w:val="en-US"/>
        </w:rPr>
        <w:t xml:space="preserve"> over a wide range</w:t>
      </w:r>
      <w:r w:rsidR="001E5547">
        <w:rPr>
          <w:lang w:val="en-US"/>
        </w:rPr>
        <w:t>.  T</w:t>
      </w:r>
      <w:r w:rsidR="00ED2002">
        <w:rPr>
          <w:lang w:val="en-US"/>
        </w:rPr>
        <w:t xml:space="preserve">hat variation is </w:t>
      </w:r>
      <w:r w:rsidR="001E5547">
        <w:rPr>
          <w:lang w:val="en-US"/>
        </w:rPr>
        <w:t xml:space="preserve">thus </w:t>
      </w:r>
      <w:r w:rsidR="00ED2002">
        <w:rPr>
          <w:lang w:val="en-US"/>
        </w:rPr>
        <w:t>likely to swamp the combined impact of age and cohort effects for a</w:t>
      </w:r>
      <w:r w:rsidR="001E5547">
        <w:rPr>
          <w:lang w:val="en-US"/>
        </w:rPr>
        <w:t>ll</w:t>
      </w:r>
      <w:r w:rsidR="00ED2002">
        <w:rPr>
          <w:lang w:val="en-US"/>
        </w:rPr>
        <w:t xml:space="preserve"> reasonable values of the latter.  </w:t>
      </w:r>
      <w:r w:rsidR="00637563">
        <w:rPr>
          <w:lang w:val="en-US"/>
        </w:rPr>
        <w:t>Understanding what lies behind the</w:t>
      </w:r>
      <w:r w:rsidR="00ED2002">
        <w:rPr>
          <w:lang w:val="en-US"/>
        </w:rPr>
        <w:t xml:space="preserve">se time or period effects in order to forecast them more accurately must be </w:t>
      </w:r>
      <w:r w:rsidR="00637563">
        <w:rPr>
          <w:lang w:val="en-US"/>
        </w:rPr>
        <w:t xml:space="preserve">at the top of the agenda for those concerned to understand the evolution of </w:t>
      </w:r>
      <w:r w:rsidR="004D2086">
        <w:rPr>
          <w:lang w:val="en-US"/>
        </w:rPr>
        <w:t xml:space="preserve">UK </w:t>
      </w:r>
      <w:r w:rsidR="00637563">
        <w:rPr>
          <w:lang w:val="en-US"/>
        </w:rPr>
        <w:t>public opinion toward</w:t>
      </w:r>
      <w:r w:rsidR="004D2086">
        <w:rPr>
          <w:lang w:val="en-US"/>
        </w:rPr>
        <w:t>s</w:t>
      </w:r>
      <w:r w:rsidR="00637563">
        <w:rPr>
          <w:lang w:val="en-US"/>
        </w:rPr>
        <w:t xml:space="preserve"> the European Union.  </w:t>
      </w:r>
    </w:p>
    <w:p w14:paraId="6177FC4D" w14:textId="37C9D15E" w:rsidR="001C6CBD" w:rsidRDefault="00BF767B" w:rsidP="003A18D9">
      <w:pPr>
        <w:jc w:val="both"/>
        <w:rPr>
          <w:lang w:val="en-US"/>
        </w:rPr>
      </w:pPr>
      <w:r>
        <w:rPr>
          <w:lang w:val="en-US"/>
        </w:rPr>
        <w:t xml:space="preserve"> </w:t>
      </w:r>
    </w:p>
    <w:p w14:paraId="53170B4F" w14:textId="77777777" w:rsidR="001C6CBD" w:rsidRDefault="001C6CBD" w:rsidP="00947587">
      <w:pPr>
        <w:jc w:val="both"/>
        <w:rPr>
          <w:lang w:val="en-US"/>
        </w:rPr>
      </w:pPr>
    </w:p>
    <w:p w14:paraId="3619C0C6" w14:textId="77777777" w:rsidR="001C6CBD" w:rsidRDefault="001C6CBD" w:rsidP="00947587">
      <w:pPr>
        <w:jc w:val="both"/>
        <w:rPr>
          <w:lang w:val="en-US"/>
        </w:rPr>
      </w:pPr>
    </w:p>
    <w:p w14:paraId="15053510" w14:textId="77777777" w:rsidR="001C6CBD" w:rsidRDefault="001C6CBD" w:rsidP="00947587">
      <w:pPr>
        <w:jc w:val="both"/>
        <w:rPr>
          <w:lang w:val="en-US"/>
        </w:rPr>
      </w:pPr>
    </w:p>
    <w:p w14:paraId="03D16515" w14:textId="77777777" w:rsidR="001C6CBD" w:rsidRDefault="001C6CBD" w:rsidP="00947587">
      <w:pPr>
        <w:jc w:val="both"/>
        <w:rPr>
          <w:lang w:val="en-US"/>
        </w:rPr>
      </w:pPr>
    </w:p>
    <w:p w14:paraId="131F87EF" w14:textId="77777777" w:rsidR="001C6CBD" w:rsidRDefault="001C6CBD" w:rsidP="00947587">
      <w:pPr>
        <w:jc w:val="both"/>
        <w:rPr>
          <w:lang w:val="en-US"/>
        </w:rPr>
      </w:pPr>
    </w:p>
    <w:p w14:paraId="3BAEA33B" w14:textId="77777777" w:rsidR="001C6CBD" w:rsidRDefault="001C6CBD" w:rsidP="00947587">
      <w:pPr>
        <w:jc w:val="both"/>
        <w:rPr>
          <w:lang w:val="en-US"/>
        </w:rPr>
      </w:pPr>
    </w:p>
    <w:p w14:paraId="35B8EC3F" w14:textId="77777777" w:rsidR="00171583" w:rsidRDefault="00171583" w:rsidP="00947587">
      <w:pPr>
        <w:jc w:val="both"/>
        <w:rPr>
          <w:lang w:val="en-US"/>
        </w:rPr>
      </w:pPr>
    </w:p>
    <w:p w14:paraId="124BF040" w14:textId="77777777" w:rsidR="00B06270" w:rsidRDefault="00B06270" w:rsidP="00947587">
      <w:pPr>
        <w:jc w:val="both"/>
        <w:rPr>
          <w:lang w:val="en-US"/>
        </w:rPr>
      </w:pPr>
    </w:p>
    <w:p w14:paraId="064C860B" w14:textId="77777777" w:rsidR="00C90AC9" w:rsidRDefault="00C90AC9" w:rsidP="00947587">
      <w:pPr>
        <w:spacing w:line="360" w:lineRule="auto"/>
        <w:jc w:val="both"/>
        <w:rPr>
          <w:lang w:val="en-US"/>
        </w:rPr>
      </w:pPr>
    </w:p>
    <w:p w14:paraId="40BF0FB7" w14:textId="77777777" w:rsidR="004D620D" w:rsidRDefault="004D620D" w:rsidP="00947587">
      <w:pPr>
        <w:ind w:left="113" w:right="113"/>
        <w:jc w:val="both"/>
        <w:rPr>
          <w:b/>
          <w:lang w:val="en-US"/>
        </w:rPr>
        <w:sectPr w:rsidR="004D620D" w:rsidSect="000B1825">
          <w:footerReference w:type="default" r:id="rId26"/>
          <w:footerReference w:type="first" r:id="rId27"/>
          <w:pgSz w:w="11906" w:h="16838" w:code="9"/>
          <w:pgMar w:top="1418" w:right="1418" w:bottom="1418" w:left="1418" w:header="709" w:footer="709" w:gutter="0"/>
          <w:pgNumType w:start="0"/>
          <w:cols w:space="708"/>
          <w:titlePg/>
          <w:docGrid w:linePitch="360"/>
        </w:sectPr>
      </w:pPr>
    </w:p>
    <w:p w14:paraId="7CCAB066" w14:textId="77777777" w:rsidR="00CC24CA" w:rsidRPr="00CC24CA" w:rsidRDefault="00CC24CA" w:rsidP="00947587">
      <w:pPr>
        <w:pStyle w:val="Title"/>
        <w:jc w:val="both"/>
        <w:rPr>
          <w:sz w:val="32"/>
          <w:szCs w:val="32"/>
          <w:lang w:val="en-US"/>
        </w:rPr>
      </w:pPr>
      <w:r w:rsidRPr="00CC24CA">
        <w:rPr>
          <w:sz w:val="32"/>
          <w:szCs w:val="32"/>
          <w:lang w:val="en-US"/>
        </w:rPr>
        <w:lastRenderedPageBreak/>
        <w:t>References</w:t>
      </w:r>
    </w:p>
    <w:p w14:paraId="06DE3FDB" w14:textId="7E5C391E" w:rsidR="00D457DA" w:rsidRPr="00297220" w:rsidRDefault="00F07F10" w:rsidP="00947587">
      <w:pPr>
        <w:spacing w:line="360" w:lineRule="auto"/>
        <w:jc w:val="both"/>
        <w:rPr>
          <w:i/>
          <w:color w:val="000000" w:themeColor="text1"/>
          <w:lang w:val="tr-TR"/>
        </w:rPr>
      </w:pPr>
      <w:r w:rsidRPr="00297220">
        <w:rPr>
          <w:color w:val="000000" w:themeColor="text1"/>
          <w:lang w:val="tr-TR"/>
        </w:rPr>
        <w:t xml:space="preserve">Alwin, D.F. and J.A. Krosnick (1991), “Ageing, Cohorts and the Stability of Socio-Political Orientations </w:t>
      </w:r>
      <w:r w:rsidR="00D40CA6">
        <w:rPr>
          <w:color w:val="000000" w:themeColor="text1"/>
          <w:lang w:val="tr-TR"/>
        </w:rPr>
        <w:t>O</w:t>
      </w:r>
      <w:r w:rsidRPr="00297220">
        <w:rPr>
          <w:color w:val="000000" w:themeColor="text1"/>
          <w:lang w:val="tr-TR"/>
        </w:rPr>
        <w:t xml:space="preserve">ver the Life Span,” </w:t>
      </w:r>
      <w:r w:rsidRPr="00297220">
        <w:rPr>
          <w:i/>
          <w:color w:val="000000" w:themeColor="text1"/>
          <w:lang w:val="tr-TR"/>
        </w:rPr>
        <w:t xml:space="preserve">American Journal </w:t>
      </w:r>
      <w:r w:rsidR="00D457DA" w:rsidRPr="00297220">
        <w:rPr>
          <w:i/>
          <w:color w:val="000000" w:themeColor="text1"/>
          <w:lang w:val="tr-TR"/>
        </w:rPr>
        <w:t>of Sociology</w:t>
      </w:r>
      <w:r w:rsidR="00D457DA" w:rsidRPr="00297220">
        <w:rPr>
          <w:color w:val="000000" w:themeColor="text1"/>
          <w:lang w:val="tr-TR"/>
        </w:rPr>
        <w:t xml:space="preserve"> 97, pp.169-195.</w:t>
      </w:r>
    </w:p>
    <w:p w14:paraId="17445F58" w14:textId="595B4C59" w:rsidR="0019354D" w:rsidRPr="00297220" w:rsidRDefault="0019354D" w:rsidP="00947587">
      <w:pPr>
        <w:spacing w:line="360" w:lineRule="auto"/>
        <w:jc w:val="both"/>
        <w:rPr>
          <w:color w:val="000000" w:themeColor="text1"/>
          <w:lang w:val="tr-TR"/>
        </w:rPr>
      </w:pPr>
      <w:r w:rsidRPr="00297220">
        <w:rPr>
          <w:color w:val="000000" w:themeColor="text1"/>
          <w:lang w:val="tr-TR"/>
        </w:rPr>
        <w:t>Antonucci, L., Horvath, L., Kutiyski, Y. and A. Krouwel (2017), “</w:t>
      </w:r>
      <w:r w:rsidR="000A134A">
        <w:fldChar w:fldCharType="begin"/>
      </w:r>
      <w:r w:rsidR="000A134A">
        <w:instrText xml:space="preserve"> HYPERLINK "http://journals.sagepub.com/doi/abs/10.1177/1024529417704135" </w:instrText>
      </w:r>
      <w:r w:rsidR="000A134A">
        <w:fldChar w:fldCharType="separate"/>
      </w:r>
      <w:r w:rsidRPr="00297220">
        <w:rPr>
          <w:rStyle w:val="Hyperlink"/>
          <w:color w:val="000000" w:themeColor="text1"/>
          <w:u w:val="none"/>
          <w:lang w:val="tr-TR"/>
        </w:rPr>
        <w:t>The malaise of the squeezed middle: Challenging the narrative of the ‘left behind’ Brexiter</w:t>
      </w:r>
      <w:r w:rsidR="000A134A">
        <w:rPr>
          <w:rStyle w:val="Hyperlink"/>
          <w:color w:val="000000" w:themeColor="text1"/>
          <w:u w:val="none"/>
          <w:lang w:val="tr-TR"/>
        </w:rPr>
        <w:fldChar w:fldCharType="end"/>
      </w:r>
      <w:r w:rsidR="0049400B" w:rsidRPr="00297220">
        <w:rPr>
          <w:rStyle w:val="Hyperlink"/>
          <w:color w:val="000000" w:themeColor="text1"/>
          <w:u w:val="none"/>
          <w:lang w:val="tr-TR"/>
        </w:rPr>
        <w:t>,</w:t>
      </w:r>
      <w:r w:rsidRPr="00297220">
        <w:rPr>
          <w:color w:val="000000" w:themeColor="text1"/>
          <w:lang w:val="tr-TR"/>
        </w:rPr>
        <w:t xml:space="preserve">” </w:t>
      </w:r>
      <w:r w:rsidRPr="00297220">
        <w:rPr>
          <w:i/>
          <w:color w:val="000000" w:themeColor="text1"/>
          <w:lang w:val="tr-TR"/>
        </w:rPr>
        <w:t>Competition and Change</w:t>
      </w:r>
      <w:r w:rsidRPr="00297220">
        <w:rPr>
          <w:color w:val="000000" w:themeColor="text1"/>
          <w:lang w:val="tr-TR"/>
        </w:rPr>
        <w:t xml:space="preserve"> 21, pp. 211-229</w:t>
      </w:r>
      <w:r w:rsidR="00565A4C">
        <w:rPr>
          <w:color w:val="000000" w:themeColor="text1"/>
          <w:lang w:val="tr-TR"/>
        </w:rPr>
        <w:t>.</w:t>
      </w:r>
    </w:p>
    <w:p w14:paraId="350A81F2" w14:textId="38D5F9AC" w:rsidR="00F07F10" w:rsidRPr="00297220" w:rsidRDefault="00D457DA" w:rsidP="00947587">
      <w:pPr>
        <w:spacing w:line="360" w:lineRule="auto"/>
        <w:jc w:val="both"/>
        <w:rPr>
          <w:color w:val="000000" w:themeColor="text1"/>
          <w:lang w:val="tr-TR"/>
        </w:rPr>
      </w:pPr>
      <w:r w:rsidRPr="00297220">
        <w:rPr>
          <w:color w:val="000000" w:themeColor="text1"/>
          <w:lang w:val="tr-TR"/>
        </w:rPr>
        <w:t>Becker, S., Fetzer, T. And D. Novy, (2017). "</w:t>
      </w:r>
      <w:r w:rsidR="000A134A">
        <w:fldChar w:fldCharType="begin"/>
      </w:r>
      <w:r w:rsidR="000A134A">
        <w:instrText xml:space="preserve"> HYPERLINK "https://ideas.repec.org/a/oup/ecpoli/v32y2017i92p601-650..html" </w:instrText>
      </w:r>
      <w:r w:rsidR="000A134A">
        <w:fldChar w:fldCharType="separate"/>
      </w:r>
      <w:r w:rsidRPr="00297220">
        <w:rPr>
          <w:rStyle w:val="Hyperlink"/>
          <w:color w:val="000000" w:themeColor="text1"/>
          <w:u w:val="none"/>
          <w:lang w:val="tr-TR"/>
        </w:rPr>
        <w:t xml:space="preserve">Who </w:t>
      </w:r>
      <w:r w:rsidR="00D40CA6">
        <w:rPr>
          <w:rStyle w:val="Hyperlink"/>
          <w:color w:val="000000" w:themeColor="text1"/>
          <w:u w:val="none"/>
          <w:lang w:val="tr-TR"/>
        </w:rPr>
        <w:t>V</w:t>
      </w:r>
      <w:r w:rsidRPr="00297220">
        <w:rPr>
          <w:rStyle w:val="Hyperlink"/>
          <w:color w:val="000000" w:themeColor="text1"/>
          <w:u w:val="none"/>
          <w:lang w:val="tr-TR"/>
        </w:rPr>
        <w:t xml:space="preserve">oted for Brexit? A </w:t>
      </w:r>
      <w:r w:rsidR="00D40CA6">
        <w:rPr>
          <w:rStyle w:val="Hyperlink"/>
          <w:color w:val="000000" w:themeColor="text1"/>
          <w:u w:val="none"/>
          <w:lang w:val="tr-TR"/>
        </w:rPr>
        <w:t>C</w:t>
      </w:r>
      <w:r w:rsidRPr="00297220">
        <w:rPr>
          <w:rStyle w:val="Hyperlink"/>
          <w:color w:val="000000" w:themeColor="text1"/>
          <w:u w:val="none"/>
          <w:lang w:val="tr-TR"/>
        </w:rPr>
        <w:t xml:space="preserve">omprehensive </w:t>
      </w:r>
      <w:r w:rsidR="00D40CA6">
        <w:rPr>
          <w:rStyle w:val="Hyperlink"/>
          <w:color w:val="000000" w:themeColor="text1"/>
          <w:u w:val="none"/>
          <w:lang w:val="tr-TR"/>
        </w:rPr>
        <w:t>D</w:t>
      </w:r>
      <w:r w:rsidRPr="00297220">
        <w:rPr>
          <w:rStyle w:val="Hyperlink"/>
          <w:color w:val="000000" w:themeColor="text1"/>
          <w:u w:val="none"/>
          <w:lang w:val="tr-TR"/>
        </w:rPr>
        <w:t>istrict-</w:t>
      </w:r>
      <w:r w:rsidR="00D40CA6">
        <w:rPr>
          <w:rStyle w:val="Hyperlink"/>
          <w:color w:val="000000" w:themeColor="text1"/>
          <w:u w:val="none"/>
          <w:lang w:val="tr-TR"/>
        </w:rPr>
        <w:t>L</w:t>
      </w:r>
      <w:r w:rsidRPr="00297220">
        <w:rPr>
          <w:rStyle w:val="Hyperlink"/>
          <w:color w:val="000000" w:themeColor="text1"/>
          <w:u w:val="none"/>
          <w:lang w:val="tr-TR"/>
        </w:rPr>
        <w:t xml:space="preserve">evel </w:t>
      </w:r>
      <w:r w:rsidR="00D40CA6">
        <w:rPr>
          <w:rStyle w:val="Hyperlink"/>
          <w:color w:val="000000" w:themeColor="text1"/>
          <w:u w:val="none"/>
          <w:lang w:val="tr-TR"/>
        </w:rPr>
        <w:t>A</w:t>
      </w:r>
      <w:r w:rsidRPr="00297220">
        <w:rPr>
          <w:rStyle w:val="Hyperlink"/>
          <w:color w:val="000000" w:themeColor="text1"/>
          <w:u w:val="none"/>
          <w:lang w:val="tr-TR"/>
        </w:rPr>
        <w:t>nalysis</w:t>
      </w:r>
      <w:r w:rsidR="000A134A">
        <w:rPr>
          <w:rStyle w:val="Hyperlink"/>
          <w:color w:val="000000" w:themeColor="text1"/>
          <w:u w:val="none"/>
          <w:lang w:val="tr-TR"/>
        </w:rPr>
        <w:fldChar w:fldCharType="end"/>
      </w:r>
      <w:r w:rsidRPr="00297220">
        <w:rPr>
          <w:color w:val="000000" w:themeColor="text1"/>
          <w:lang w:val="tr-TR"/>
        </w:rPr>
        <w:t>,"</w:t>
      </w:r>
      <w:r w:rsidRPr="00297220">
        <w:rPr>
          <w:i/>
          <w:color w:val="000000" w:themeColor="text1"/>
          <w:lang w:val="tr-TR"/>
        </w:rPr>
        <w:t xml:space="preserve"> Economic Policy </w:t>
      </w:r>
      <w:r w:rsidRPr="00297220">
        <w:rPr>
          <w:color w:val="000000" w:themeColor="text1"/>
          <w:lang w:val="tr-TR"/>
        </w:rPr>
        <w:t>32, p</w:t>
      </w:r>
      <w:r w:rsidR="00AE4756" w:rsidRPr="00297220">
        <w:rPr>
          <w:color w:val="000000" w:themeColor="text1"/>
          <w:lang w:val="tr-TR"/>
        </w:rPr>
        <w:t>p.</w:t>
      </w:r>
      <w:r w:rsidRPr="00297220">
        <w:rPr>
          <w:color w:val="000000" w:themeColor="text1"/>
          <w:lang w:val="tr-TR"/>
        </w:rPr>
        <w:t xml:space="preserve"> 601-650</w:t>
      </w:r>
      <w:r w:rsidRPr="00297220">
        <w:rPr>
          <w:i/>
          <w:color w:val="000000" w:themeColor="text1"/>
          <w:lang w:val="tr-TR"/>
        </w:rPr>
        <w:t>.</w:t>
      </w:r>
    </w:p>
    <w:p w14:paraId="6F27E59F" w14:textId="77777777" w:rsidR="00F07F10" w:rsidRPr="00297220" w:rsidRDefault="00F07F10" w:rsidP="00947587">
      <w:pPr>
        <w:spacing w:line="360" w:lineRule="auto"/>
        <w:jc w:val="both"/>
        <w:rPr>
          <w:color w:val="000000" w:themeColor="text1"/>
          <w:lang w:val="tr-TR"/>
        </w:rPr>
      </w:pPr>
      <w:r w:rsidRPr="00297220">
        <w:rPr>
          <w:color w:val="000000" w:themeColor="text1"/>
          <w:lang w:val="tr-TR"/>
        </w:rPr>
        <w:t xml:space="preserve">Binstock, R.H. and J. Quadagno (2001), “Aging and Politics,” in R.H. Binstock and L.K. George (eds), </w:t>
      </w:r>
      <w:r w:rsidRPr="00297220">
        <w:rPr>
          <w:i/>
          <w:color w:val="000000" w:themeColor="text1"/>
          <w:lang w:val="tr-TR"/>
        </w:rPr>
        <w:t>Handbook of Aging and the Social Sciences</w:t>
      </w:r>
      <w:r w:rsidRPr="00297220">
        <w:rPr>
          <w:color w:val="000000" w:themeColor="text1"/>
          <w:lang w:val="tr-TR"/>
        </w:rPr>
        <w:t>, San Diego: Academic Press, pp.333-351.</w:t>
      </w:r>
    </w:p>
    <w:p w14:paraId="68A0F441" w14:textId="6D0AFB65" w:rsidR="00A80F24" w:rsidRPr="00297220" w:rsidRDefault="00A80F24" w:rsidP="00947587">
      <w:pPr>
        <w:spacing w:line="360" w:lineRule="auto"/>
        <w:jc w:val="both"/>
        <w:rPr>
          <w:color w:val="000000" w:themeColor="text1"/>
          <w:lang w:val="tr-TR"/>
        </w:rPr>
      </w:pPr>
      <w:r w:rsidRPr="00297220">
        <w:rPr>
          <w:color w:val="000000" w:themeColor="text1"/>
          <w:lang w:val="tr-TR"/>
        </w:rPr>
        <w:t>Donellan, M. B. And R. E. Lucas, (2008), “</w:t>
      </w:r>
      <w:r w:rsidR="000A134A">
        <w:fldChar w:fldCharType="begin"/>
      </w:r>
      <w:r w:rsidR="000A134A">
        <w:instrText xml:space="preserve"> HYPERLINK "https://www.ncbi.nlm.nih.gov/pmc/articles/PMC2562318/" </w:instrText>
      </w:r>
      <w:r w:rsidR="000A134A">
        <w:fldChar w:fldCharType="separate"/>
      </w:r>
      <w:r w:rsidRPr="00297220">
        <w:rPr>
          <w:rStyle w:val="Hyperlink"/>
          <w:color w:val="000000" w:themeColor="text1"/>
          <w:u w:val="none"/>
          <w:lang w:val="tr-TR"/>
        </w:rPr>
        <w:t>Age Differences in the Big Five Across the Life Span: Evidence from Two National Samples</w:t>
      </w:r>
      <w:r w:rsidR="000A134A">
        <w:rPr>
          <w:rStyle w:val="Hyperlink"/>
          <w:color w:val="000000" w:themeColor="text1"/>
          <w:u w:val="none"/>
          <w:lang w:val="tr-TR"/>
        </w:rPr>
        <w:fldChar w:fldCharType="end"/>
      </w:r>
      <w:r w:rsidR="00AE4756" w:rsidRPr="00297220">
        <w:rPr>
          <w:rStyle w:val="Hyperlink"/>
          <w:color w:val="000000" w:themeColor="text1"/>
          <w:u w:val="none"/>
          <w:lang w:val="tr-TR"/>
        </w:rPr>
        <w:t>,</w:t>
      </w:r>
      <w:r w:rsidRPr="00297220">
        <w:rPr>
          <w:color w:val="000000" w:themeColor="text1"/>
          <w:lang w:val="tr-TR"/>
        </w:rPr>
        <w:t xml:space="preserve">, </w:t>
      </w:r>
      <w:r w:rsidRPr="00297220">
        <w:rPr>
          <w:i/>
          <w:color w:val="000000" w:themeColor="text1"/>
          <w:lang w:val="tr-TR"/>
        </w:rPr>
        <w:t>Psychological Aging</w:t>
      </w:r>
      <w:r w:rsidRPr="00297220">
        <w:rPr>
          <w:color w:val="000000" w:themeColor="text1"/>
          <w:lang w:val="tr-TR"/>
        </w:rPr>
        <w:t xml:space="preserve"> 23, pp. 558-566</w:t>
      </w:r>
      <w:r w:rsidR="00565A4C">
        <w:rPr>
          <w:color w:val="000000" w:themeColor="text1"/>
          <w:lang w:val="tr-TR"/>
        </w:rPr>
        <w:t>.</w:t>
      </w:r>
    </w:p>
    <w:p w14:paraId="01C7463F" w14:textId="03D811A8" w:rsidR="00F07F10" w:rsidRPr="00297220" w:rsidRDefault="00F07F10" w:rsidP="00947587">
      <w:pPr>
        <w:spacing w:line="360" w:lineRule="auto"/>
        <w:jc w:val="both"/>
        <w:rPr>
          <w:color w:val="000000" w:themeColor="text1"/>
          <w:lang w:val="tr-TR"/>
        </w:rPr>
      </w:pPr>
      <w:r w:rsidRPr="00297220">
        <w:rPr>
          <w:color w:val="000000" w:themeColor="text1"/>
          <w:lang w:val="tr-TR"/>
        </w:rPr>
        <w:t>Dohmen, Thomas, Armin Falk, Bart H. H. Golsteyn, David Huffman, and Uwe Sunde (2017), “Risk Attitudes Across the Life Course</w:t>
      </w:r>
      <w:r w:rsidR="00D40CA6">
        <w:rPr>
          <w:color w:val="000000" w:themeColor="text1"/>
          <w:lang w:val="tr-TR"/>
        </w:rPr>
        <w:t>,</w:t>
      </w:r>
      <w:r w:rsidRPr="00297220">
        <w:rPr>
          <w:color w:val="000000" w:themeColor="text1"/>
          <w:lang w:val="tr-TR"/>
        </w:rPr>
        <w:t xml:space="preserve">” </w:t>
      </w:r>
      <w:r w:rsidRPr="00297220">
        <w:rPr>
          <w:i/>
          <w:color w:val="000000" w:themeColor="text1"/>
          <w:lang w:val="tr-TR"/>
        </w:rPr>
        <w:t>Economic Journal</w:t>
      </w:r>
      <w:r w:rsidRPr="00297220">
        <w:rPr>
          <w:color w:val="000000" w:themeColor="text1"/>
          <w:lang w:val="tr-TR"/>
        </w:rPr>
        <w:t xml:space="preserve"> </w:t>
      </w:r>
      <w:r w:rsidR="00CC5FDB" w:rsidRPr="00297220">
        <w:rPr>
          <w:color w:val="000000" w:themeColor="text1"/>
          <w:lang w:val="tr-TR"/>
        </w:rPr>
        <w:t>127</w:t>
      </w:r>
      <w:r w:rsidR="00AE4756" w:rsidRPr="00297220">
        <w:rPr>
          <w:color w:val="000000" w:themeColor="text1"/>
          <w:lang w:val="tr-TR"/>
        </w:rPr>
        <w:t>, pp.</w:t>
      </w:r>
      <w:r w:rsidR="00CC5FDB" w:rsidRPr="00297220">
        <w:rPr>
          <w:color w:val="000000" w:themeColor="text1"/>
          <w:lang w:val="tr-TR"/>
        </w:rPr>
        <w:t>F95-F116</w:t>
      </w:r>
      <w:r w:rsidRPr="00297220">
        <w:rPr>
          <w:color w:val="000000" w:themeColor="text1"/>
          <w:lang w:val="tr-TR"/>
        </w:rPr>
        <w:t>.</w:t>
      </w:r>
    </w:p>
    <w:p w14:paraId="54DE9030" w14:textId="77777777" w:rsidR="00F07F10" w:rsidRPr="00297220" w:rsidRDefault="00F07F10" w:rsidP="00947587">
      <w:pPr>
        <w:spacing w:line="360" w:lineRule="auto"/>
        <w:jc w:val="both"/>
        <w:rPr>
          <w:color w:val="000000" w:themeColor="text1"/>
          <w:lang w:val="tr-TR"/>
        </w:rPr>
      </w:pPr>
      <w:r w:rsidRPr="00297220">
        <w:rPr>
          <w:color w:val="000000" w:themeColor="text1"/>
          <w:lang w:val="tr-TR"/>
        </w:rPr>
        <w:t>Feather, N.T. (1977), “Value Importance, Conservatism and Age,”</w:t>
      </w:r>
      <w:r w:rsidRPr="00297220">
        <w:rPr>
          <w:i/>
          <w:color w:val="000000" w:themeColor="text1"/>
          <w:lang w:val="tr-TR"/>
        </w:rPr>
        <w:t xml:space="preserve"> European Journal of Social Psychology</w:t>
      </w:r>
      <w:r w:rsidRPr="00297220">
        <w:rPr>
          <w:color w:val="000000" w:themeColor="text1"/>
          <w:lang w:val="tr-TR"/>
        </w:rPr>
        <w:t xml:space="preserve"> 7, pp.241-245.</w:t>
      </w:r>
    </w:p>
    <w:p w14:paraId="794E6F35" w14:textId="67F39153" w:rsidR="00A813E0" w:rsidRPr="00297220" w:rsidRDefault="00A813E0" w:rsidP="00947587">
      <w:pPr>
        <w:spacing w:line="360" w:lineRule="auto"/>
        <w:jc w:val="both"/>
        <w:rPr>
          <w:color w:val="000000" w:themeColor="text1"/>
          <w:lang w:val="tr-TR"/>
        </w:rPr>
      </w:pPr>
      <w:r w:rsidRPr="00297220">
        <w:rPr>
          <w:color w:val="000000" w:themeColor="text1"/>
          <w:lang w:val="tr-TR"/>
        </w:rPr>
        <w:t>Fetzer, T. (2018), “</w:t>
      </w:r>
      <w:r w:rsidR="000A134A">
        <w:fldChar w:fldCharType="begin"/>
      </w:r>
      <w:r w:rsidR="000A134A">
        <w:instrText xml:space="preserve"> HYPERLINK "https://warwick.ac.uk/fac/soc/economics/research/centres/cage/manage/publications/381-2018_fetzer.pdf" </w:instrText>
      </w:r>
      <w:r w:rsidR="000A134A">
        <w:fldChar w:fldCharType="separate"/>
      </w:r>
      <w:r w:rsidRPr="00297220">
        <w:rPr>
          <w:rStyle w:val="Hyperlink"/>
          <w:color w:val="000000" w:themeColor="text1"/>
          <w:u w:val="none"/>
          <w:lang w:val="tr-TR"/>
        </w:rPr>
        <w:t>Did Austerity Cause Brexit?</w:t>
      </w:r>
      <w:r w:rsidR="000A134A">
        <w:rPr>
          <w:rStyle w:val="Hyperlink"/>
          <w:color w:val="000000" w:themeColor="text1"/>
          <w:u w:val="none"/>
          <w:lang w:val="tr-TR"/>
        </w:rPr>
        <w:fldChar w:fldCharType="end"/>
      </w:r>
      <w:r w:rsidRPr="00297220">
        <w:rPr>
          <w:color w:val="000000" w:themeColor="text1"/>
          <w:lang w:val="tr-TR"/>
        </w:rPr>
        <w:t>” C</w:t>
      </w:r>
      <w:r w:rsidR="00D40CA6">
        <w:rPr>
          <w:color w:val="000000" w:themeColor="text1"/>
          <w:lang w:val="tr-TR"/>
        </w:rPr>
        <w:t>ESifo Working Paper no. 7159 (July)</w:t>
      </w:r>
      <w:r w:rsidRPr="00297220">
        <w:rPr>
          <w:color w:val="000000" w:themeColor="text1"/>
          <w:lang w:val="tr-TR"/>
        </w:rPr>
        <w:t>.</w:t>
      </w:r>
    </w:p>
    <w:p w14:paraId="510D3911" w14:textId="246FB6FD" w:rsidR="0029736B" w:rsidRPr="00297220" w:rsidRDefault="0029736B" w:rsidP="00947587">
      <w:pPr>
        <w:spacing w:line="360" w:lineRule="auto"/>
        <w:jc w:val="both"/>
        <w:rPr>
          <w:color w:val="000000" w:themeColor="text1"/>
          <w:lang w:val="tr-TR"/>
        </w:rPr>
      </w:pPr>
      <w:r w:rsidRPr="00297220">
        <w:rPr>
          <w:color w:val="000000" w:themeColor="text1"/>
          <w:lang w:val="tr-TR"/>
        </w:rPr>
        <w:t xml:space="preserve">Garretsen H, J I Stoker, D Soudis, R L Martin and P J Rentfrow (2018), “Brexit and the </w:t>
      </w:r>
      <w:r w:rsidR="00297220">
        <w:rPr>
          <w:color w:val="000000" w:themeColor="text1"/>
          <w:lang w:val="tr-TR"/>
        </w:rPr>
        <w:t>R</w:t>
      </w:r>
      <w:r w:rsidRPr="00297220">
        <w:rPr>
          <w:color w:val="000000" w:themeColor="text1"/>
          <w:lang w:val="tr-TR"/>
        </w:rPr>
        <w:t xml:space="preserve">elevance of </w:t>
      </w:r>
      <w:r w:rsidR="00297220">
        <w:rPr>
          <w:color w:val="000000" w:themeColor="text1"/>
          <w:lang w:val="tr-TR"/>
        </w:rPr>
        <w:t>R</w:t>
      </w:r>
      <w:r w:rsidRPr="00297220">
        <w:rPr>
          <w:color w:val="000000" w:themeColor="text1"/>
          <w:lang w:val="tr-TR"/>
        </w:rPr>
        <w:t>egion</w:t>
      </w:r>
      <w:r w:rsidR="00297220">
        <w:rPr>
          <w:color w:val="000000" w:themeColor="text1"/>
          <w:lang w:val="tr-TR"/>
        </w:rPr>
        <w:t>al Personality T</w:t>
      </w:r>
      <w:r w:rsidRPr="00297220">
        <w:rPr>
          <w:color w:val="000000" w:themeColor="text1"/>
          <w:lang w:val="tr-TR"/>
        </w:rPr>
        <w:t xml:space="preserve">raits: More </w:t>
      </w:r>
      <w:r w:rsidR="00AE4756" w:rsidRPr="00297220">
        <w:rPr>
          <w:color w:val="000000" w:themeColor="text1"/>
          <w:lang w:val="tr-TR"/>
        </w:rPr>
        <w:t>P</w:t>
      </w:r>
      <w:r w:rsidRPr="00297220">
        <w:rPr>
          <w:color w:val="000000" w:themeColor="text1"/>
          <w:lang w:val="tr-TR"/>
        </w:rPr>
        <w:t xml:space="preserve">sychological Openness could have </w:t>
      </w:r>
      <w:r w:rsidR="00AE4756" w:rsidRPr="00297220">
        <w:rPr>
          <w:color w:val="000000" w:themeColor="text1"/>
          <w:lang w:val="tr-TR"/>
        </w:rPr>
        <w:t>S</w:t>
      </w:r>
      <w:r w:rsidRPr="00297220">
        <w:rPr>
          <w:color w:val="000000" w:themeColor="text1"/>
          <w:lang w:val="tr-TR"/>
        </w:rPr>
        <w:t xml:space="preserve">wung the </w:t>
      </w:r>
      <w:r w:rsidR="00AE4756" w:rsidRPr="00297220">
        <w:rPr>
          <w:color w:val="000000" w:themeColor="text1"/>
          <w:lang w:val="tr-TR"/>
        </w:rPr>
        <w:t>R</w:t>
      </w:r>
      <w:r w:rsidRPr="00297220">
        <w:rPr>
          <w:color w:val="000000" w:themeColor="text1"/>
          <w:lang w:val="tr-TR"/>
        </w:rPr>
        <w:t xml:space="preserve">egional </w:t>
      </w:r>
      <w:r w:rsidR="00AE4756" w:rsidRPr="00297220">
        <w:rPr>
          <w:color w:val="000000" w:themeColor="text1"/>
          <w:lang w:val="tr-TR"/>
        </w:rPr>
        <w:t>V</w:t>
      </w:r>
      <w:r w:rsidRPr="00297220">
        <w:rPr>
          <w:color w:val="000000" w:themeColor="text1"/>
          <w:lang w:val="tr-TR"/>
        </w:rPr>
        <w:t>ote</w:t>
      </w:r>
      <w:r w:rsidR="00AE4756" w:rsidRPr="00297220">
        <w:rPr>
          <w:color w:val="000000" w:themeColor="text1"/>
          <w:lang w:val="tr-TR"/>
        </w:rPr>
        <w:t>,</w:t>
      </w:r>
      <w:r w:rsidRPr="00297220">
        <w:rPr>
          <w:color w:val="000000" w:themeColor="text1"/>
          <w:lang w:val="tr-TR"/>
        </w:rPr>
        <w:t xml:space="preserve">” </w:t>
      </w:r>
      <w:r w:rsidRPr="00297220">
        <w:rPr>
          <w:i/>
          <w:color w:val="000000" w:themeColor="text1"/>
          <w:lang w:val="tr-TR"/>
        </w:rPr>
        <w:t>Cambridge Journal of the Regions, Economy and Society</w:t>
      </w:r>
      <w:r w:rsidR="00297220">
        <w:rPr>
          <w:color w:val="000000" w:themeColor="text1"/>
          <w:lang w:val="tr-TR"/>
        </w:rPr>
        <w:t xml:space="preserve"> 11, pp.165-175</w:t>
      </w:r>
      <w:r w:rsidRPr="00297220">
        <w:rPr>
          <w:color w:val="000000" w:themeColor="text1"/>
          <w:lang w:val="tr-TR"/>
        </w:rPr>
        <w:t xml:space="preserve">. </w:t>
      </w:r>
    </w:p>
    <w:p w14:paraId="035321EA" w14:textId="1A6D7539" w:rsidR="007169D8" w:rsidRPr="00297220" w:rsidRDefault="007169D8" w:rsidP="00947587">
      <w:pPr>
        <w:spacing w:line="360" w:lineRule="auto"/>
        <w:jc w:val="both"/>
        <w:rPr>
          <w:color w:val="000000" w:themeColor="text1"/>
          <w:lang w:val="tr-TR"/>
        </w:rPr>
      </w:pPr>
      <w:r w:rsidRPr="00297220">
        <w:rPr>
          <w:color w:val="000000" w:themeColor="text1"/>
          <w:lang w:val="tr-TR"/>
        </w:rPr>
        <w:t>Grasso, M.T. (2014) “A</w:t>
      </w:r>
      <w:r w:rsidR="000A134A">
        <w:fldChar w:fldCharType="begin"/>
      </w:r>
      <w:r w:rsidR="000A134A">
        <w:instrText xml:space="preserve"> HYPERLINK "file:///C:\\Users\\barry\\AppData\\Local\\Temp\\10.1016\\j.electstud.2013.06.003" </w:instrText>
      </w:r>
      <w:r w:rsidR="000A134A">
        <w:fldChar w:fldCharType="separate"/>
      </w:r>
      <w:r w:rsidRPr="00297220">
        <w:rPr>
          <w:rStyle w:val="Hyperlink"/>
          <w:color w:val="000000" w:themeColor="text1"/>
          <w:u w:val="none"/>
          <w:lang w:val="tr-TR"/>
        </w:rPr>
        <w:t>ge, Period and Cohort Analysis in a Comparative Context: Political Generations and Political Participation Repertoires in Western Europe</w:t>
      </w:r>
      <w:r w:rsidR="000A134A">
        <w:rPr>
          <w:rStyle w:val="Hyperlink"/>
          <w:color w:val="000000" w:themeColor="text1"/>
          <w:u w:val="none"/>
          <w:lang w:val="tr-TR"/>
        </w:rPr>
        <w:fldChar w:fldCharType="end"/>
      </w:r>
      <w:r w:rsidR="00AE4756" w:rsidRPr="00297220">
        <w:rPr>
          <w:color w:val="000000" w:themeColor="text1"/>
          <w:lang w:val="tr-TR"/>
        </w:rPr>
        <w:t>,</w:t>
      </w:r>
      <w:r w:rsidRPr="00297220">
        <w:rPr>
          <w:color w:val="000000" w:themeColor="text1"/>
          <w:lang w:val="tr-TR"/>
        </w:rPr>
        <w:t xml:space="preserve">" </w:t>
      </w:r>
      <w:r w:rsidRPr="00297220">
        <w:rPr>
          <w:i/>
          <w:color w:val="000000" w:themeColor="text1"/>
          <w:lang w:val="tr-TR"/>
        </w:rPr>
        <w:t>Electoral Studies</w:t>
      </w:r>
      <w:r w:rsidRPr="00297220">
        <w:rPr>
          <w:color w:val="000000" w:themeColor="text1"/>
          <w:lang w:val="tr-TR"/>
        </w:rPr>
        <w:t xml:space="preserve"> 33</w:t>
      </w:r>
      <w:r w:rsidR="00AE4756" w:rsidRPr="00297220">
        <w:rPr>
          <w:color w:val="000000" w:themeColor="text1"/>
          <w:lang w:val="tr-TR"/>
        </w:rPr>
        <w:t>, pp.</w:t>
      </w:r>
      <w:r w:rsidRPr="00297220">
        <w:rPr>
          <w:color w:val="000000" w:themeColor="text1"/>
          <w:lang w:val="tr-TR"/>
        </w:rPr>
        <w:t xml:space="preserve">63-76. </w:t>
      </w:r>
    </w:p>
    <w:p w14:paraId="2748AE3B" w14:textId="77777777" w:rsidR="00F07F10" w:rsidRPr="00297220" w:rsidRDefault="00F07F10" w:rsidP="00947587">
      <w:pPr>
        <w:spacing w:line="360" w:lineRule="auto"/>
        <w:jc w:val="both"/>
        <w:rPr>
          <w:color w:val="000000" w:themeColor="text1"/>
          <w:lang w:val="tr-TR"/>
        </w:rPr>
      </w:pPr>
      <w:r w:rsidRPr="00297220">
        <w:rPr>
          <w:color w:val="000000" w:themeColor="text1"/>
          <w:lang w:val="tr-TR"/>
        </w:rPr>
        <w:t xml:space="preserve">Green, D., B. Palmquist and E. Schickler, </w:t>
      </w:r>
      <w:r w:rsidRPr="00297220">
        <w:rPr>
          <w:i/>
          <w:color w:val="000000" w:themeColor="text1"/>
          <w:lang w:val="tr-TR"/>
        </w:rPr>
        <w:t>Partisan Hearts and Minds</w:t>
      </w:r>
      <w:r w:rsidRPr="00297220">
        <w:rPr>
          <w:color w:val="000000" w:themeColor="text1"/>
          <w:lang w:val="tr-TR"/>
        </w:rPr>
        <w:t>, New Haven: Yale University Press.</w:t>
      </w:r>
    </w:p>
    <w:p w14:paraId="2A50C4F6" w14:textId="77777777" w:rsidR="00FD0F28" w:rsidRPr="00297220" w:rsidRDefault="00FD0F28" w:rsidP="00947587">
      <w:pPr>
        <w:spacing w:line="360" w:lineRule="auto"/>
        <w:jc w:val="both"/>
        <w:rPr>
          <w:color w:val="000000" w:themeColor="text1"/>
          <w:lang w:val="tr-TR"/>
        </w:rPr>
      </w:pPr>
      <w:r w:rsidRPr="00297220">
        <w:rPr>
          <w:color w:val="000000" w:themeColor="text1"/>
          <w:lang w:val="tr-TR"/>
        </w:rPr>
        <w:t xml:space="preserve">Hobolt, S (2016), “The Brexit Vote: A Divided Nation, a Divided Continent,” </w:t>
      </w:r>
      <w:r w:rsidRPr="00297220">
        <w:rPr>
          <w:i/>
          <w:color w:val="000000" w:themeColor="text1"/>
          <w:lang w:val="tr-TR"/>
        </w:rPr>
        <w:t>Journal of European Public Policy</w:t>
      </w:r>
      <w:r w:rsidRPr="00297220">
        <w:rPr>
          <w:color w:val="000000" w:themeColor="text1"/>
          <w:lang w:val="tr-TR"/>
        </w:rPr>
        <w:t xml:space="preserve"> 23, pp.1259-1277.</w:t>
      </w:r>
    </w:p>
    <w:p w14:paraId="77A0CC55" w14:textId="061B0BD3" w:rsidR="005A28B2" w:rsidRPr="00297220" w:rsidRDefault="005A28B2" w:rsidP="00947587">
      <w:pPr>
        <w:spacing w:line="360" w:lineRule="auto"/>
        <w:jc w:val="both"/>
        <w:rPr>
          <w:color w:val="000000" w:themeColor="text1"/>
          <w:lang w:val="tr-TR"/>
        </w:rPr>
      </w:pPr>
      <w:r w:rsidRPr="00297220">
        <w:rPr>
          <w:color w:val="000000" w:themeColor="text1"/>
          <w:lang w:val="tr-TR"/>
        </w:rPr>
        <w:t>Janmaat, J. G., Melis, G., Green, A. and N. Pensiero (2018), “</w:t>
      </w:r>
      <w:r w:rsidR="000A134A">
        <w:fldChar w:fldCharType="begin"/>
      </w:r>
      <w:r w:rsidR="000A134A">
        <w:instrText xml:space="preserve"> HYPERLINK "https://www.llakes.ac.uk/sites/default/files/LLAKES%20Research%20Paper%2065%20-%20Janmaat%20et%20al.pdf" </w:instrText>
      </w:r>
      <w:r w:rsidR="000A134A">
        <w:fldChar w:fldCharType="separate"/>
      </w:r>
      <w:r w:rsidRPr="00297220">
        <w:rPr>
          <w:rStyle w:val="Hyperlink"/>
          <w:color w:val="000000" w:themeColor="text1"/>
          <w:u w:val="none"/>
          <w:lang w:val="tr-TR"/>
        </w:rPr>
        <w:t>Changing Preferences for Brexit: Identifying the Groups with Volatile Support for ‘Leave’</w:t>
      </w:r>
      <w:r w:rsidR="000A134A">
        <w:rPr>
          <w:rStyle w:val="Hyperlink"/>
          <w:color w:val="000000" w:themeColor="text1"/>
          <w:u w:val="none"/>
          <w:lang w:val="tr-TR"/>
        </w:rPr>
        <w:fldChar w:fldCharType="end"/>
      </w:r>
      <w:r w:rsidRPr="00297220">
        <w:rPr>
          <w:color w:val="000000" w:themeColor="text1"/>
          <w:lang w:val="tr-TR"/>
        </w:rPr>
        <w:t>”, LLAKES Research Paper 65</w:t>
      </w:r>
      <w:r w:rsidR="00D40CA6">
        <w:rPr>
          <w:color w:val="000000" w:themeColor="text1"/>
          <w:lang w:val="tr-TR"/>
        </w:rPr>
        <w:t>, University College London: Centre for Learning and Life Chances in Knowledge Economies and Societies</w:t>
      </w:r>
      <w:r w:rsidR="00CA5FFF">
        <w:rPr>
          <w:color w:val="000000" w:themeColor="text1"/>
          <w:lang w:val="tr-TR"/>
        </w:rPr>
        <w:t>.</w:t>
      </w:r>
    </w:p>
    <w:p w14:paraId="6ECBD735" w14:textId="1E8CD983" w:rsidR="00BA7376" w:rsidRPr="00297220" w:rsidRDefault="00BA7376" w:rsidP="00947587">
      <w:pPr>
        <w:spacing w:line="360" w:lineRule="auto"/>
        <w:jc w:val="both"/>
        <w:rPr>
          <w:color w:val="000000" w:themeColor="text1"/>
          <w:lang w:val="tr-TR"/>
        </w:rPr>
      </w:pPr>
      <w:r w:rsidRPr="00297220">
        <w:rPr>
          <w:color w:val="000000" w:themeColor="text1"/>
          <w:lang w:val="tr-TR"/>
        </w:rPr>
        <w:lastRenderedPageBreak/>
        <w:t>Lee, N., Morris, K. and T. Kemeny (2018), “</w:t>
      </w:r>
      <w:r w:rsidR="000A134A">
        <w:fldChar w:fldCharType="begin"/>
      </w:r>
      <w:r w:rsidR="000A134A">
        <w:instrText xml:space="preserve"> HYPERLINK "https://academic.oup.com/cjres/article/11/1/143/4788094" </w:instrText>
      </w:r>
      <w:r w:rsidR="000A134A">
        <w:fldChar w:fldCharType="separate"/>
      </w:r>
      <w:r w:rsidR="00AE4756" w:rsidRPr="00297220">
        <w:rPr>
          <w:rStyle w:val="Hyperlink"/>
          <w:color w:val="000000" w:themeColor="text1"/>
          <w:u w:val="none"/>
          <w:lang w:val="tr-TR"/>
        </w:rPr>
        <w:t>Immobility and the Brexit V</w:t>
      </w:r>
      <w:r w:rsidRPr="00297220">
        <w:rPr>
          <w:rStyle w:val="Hyperlink"/>
          <w:color w:val="000000" w:themeColor="text1"/>
          <w:u w:val="none"/>
          <w:lang w:val="tr-TR"/>
        </w:rPr>
        <w:t>ote</w:t>
      </w:r>
      <w:r w:rsidR="000A134A">
        <w:rPr>
          <w:rStyle w:val="Hyperlink"/>
          <w:color w:val="000000" w:themeColor="text1"/>
          <w:u w:val="none"/>
          <w:lang w:val="tr-TR"/>
        </w:rPr>
        <w:fldChar w:fldCharType="end"/>
      </w:r>
      <w:r w:rsidRPr="00297220">
        <w:rPr>
          <w:color w:val="000000" w:themeColor="text1"/>
          <w:lang w:val="tr-TR"/>
        </w:rPr>
        <w:t xml:space="preserve">” </w:t>
      </w:r>
      <w:r w:rsidRPr="00297220">
        <w:rPr>
          <w:i/>
          <w:color w:val="000000" w:themeColor="text1"/>
          <w:lang w:val="tr-TR"/>
        </w:rPr>
        <w:t>Cambridge Journal of Regions, Economy and Society</w:t>
      </w:r>
      <w:r w:rsidR="00AE4756" w:rsidRPr="00297220">
        <w:rPr>
          <w:i/>
          <w:color w:val="000000" w:themeColor="text1"/>
          <w:lang w:val="tr-TR"/>
        </w:rPr>
        <w:t xml:space="preserve"> </w:t>
      </w:r>
      <w:r w:rsidRPr="00297220">
        <w:rPr>
          <w:color w:val="000000" w:themeColor="text1"/>
          <w:lang w:val="tr-TR"/>
        </w:rPr>
        <w:t xml:space="preserve">11, </w:t>
      </w:r>
      <w:r w:rsidR="00AE4756" w:rsidRPr="00297220">
        <w:rPr>
          <w:color w:val="000000" w:themeColor="text1"/>
          <w:lang w:val="tr-TR"/>
        </w:rPr>
        <w:t>pp.</w:t>
      </w:r>
      <w:r w:rsidRPr="00297220">
        <w:rPr>
          <w:color w:val="000000" w:themeColor="text1"/>
          <w:lang w:val="tr-TR"/>
        </w:rPr>
        <w:t>143–163</w:t>
      </w:r>
      <w:r w:rsidR="00565A4C">
        <w:rPr>
          <w:color w:val="000000" w:themeColor="text1"/>
          <w:lang w:val="tr-TR"/>
        </w:rPr>
        <w:t>.</w:t>
      </w:r>
    </w:p>
    <w:p w14:paraId="1D0BEFB0" w14:textId="77777777" w:rsidR="00723A88" w:rsidRPr="00297220" w:rsidRDefault="00723A88" w:rsidP="00947587">
      <w:pPr>
        <w:spacing w:line="360" w:lineRule="auto"/>
        <w:jc w:val="both"/>
        <w:rPr>
          <w:color w:val="000000" w:themeColor="text1"/>
          <w:lang w:val="tr-TR"/>
        </w:rPr>
      </w:pPr>
      <w:r w:rsidRPr="00297220">
        <w:rPr>
          <w:color w:val="000000" w:themeColor="text1"/>
          <w:lang w:val="tr-TR"/>
        </w:rPr>
        <w:t>Liberini, F., A. Oswald, E. Proto and M. Redoano (2017), “Was Brexit Caused by the Unhappy and the Old?” IZA Discussion Paper no.11059 (September).</w:t>
      </w:r>
    </w:p>
    <w:p w14:paraId="6DF6E7E9" w14:textId="77777777" w:rsidR="00F07F10" w:rsidRPr="00297220" w:rsidRDefault="00F07F10" w:rsidP="00947587">
      <w:pPr>
        <w:spacing w:line="360" w:lineRule="auto"/>
        <w:jc w:val="both"/>
        <w:rPr>
          <w:color w:val="000000" w:themeColor="text1"/>
          <w:lang w:val="tr-TR"/>
        </w:rPr>
      </w:pPr>
      <w:r w:rsidRPr="00297220">
        <w:rPr>
          <w:color w:val="000000" w:themeColor="text1"/>
          <w:lang w:val="tr-TR"/>
        </w:rPr>
        <w:t xml:space="preserve">Malmandier, Ulrike and Stefan Nagel (2009), “Depression Babies: Do Macroeconomics Experiences Affect Risk-Taking?” </w:t>
      </w:r>
      <w:r w:rsidRPr="00297220">
        <w:rPr>
          <w:i/>
          <w:color w:val="000000" w:themeColor="text1"/>
          <w:lang w:val="tr-TR"/>
        </w:rPr>
        <w:t xml:space="preserve">Quarterly Journal of Economics </w:t>
      </w:r>
      <w:r w:rsidRPr="00297220">
        <w:rPr>
          <w:color w:val="000000" w:themeColor="text1"/>
          <w:lang w:val="tr-TR"/>
        </w:rPr>
        <w:t>126, pp.373-416.</w:t>
      </w:r>
    </w:p>
    <w:p w14:paraId="342BBF98" w14:textId="56A15BFE" w:rsidR="00F07F10" w:rsidRPr="00297220" w:rsidRDefault="00F07F10" w:rsidP="00947587">
      <w:pPr>
        <w:spacing w:line="360" w:lineRule="auto"/>
        <w:jc w:val="both"/>
        <w:rPr>
          <w:color w:val="000000" w:themeColor="text1"/>
          <w:lang w:val="tr-TR"/>
        </w:rPr>
      </w:pPr>
      <w:r w:rsidRPr="00297220">
        <w:rPr>
          <w:color w:val="000000" w:themeColor="text1"/>
          <w:lang w:val="tr-TR"/>
        </w:rPr>
        <w:t>Malmandier, Ulrike, Stefan Nagel and Zhen Yan (2017), “The Making of Hawks and Doves: Inflation Experience on the FOMC,” NBER Working Paper no.23228</w:t>
      </w:r>
      <w:r w:rsidR="00D40CA6">
        <w:rPr>
          <w:color w:val="000000" w:themeColor="text1"/>
          <w:lang w:val="tr-TR"/>
        </w:rPr>
        <w:t xml:space="preserve"> (March)</w:t>
      </w:r>
      <w:r w:rsidRPr="00297220">
        <w:rPr>
          <w:color w:val="000000" w:themeColor="text1"/>
          <w:lang w:val="tr-TR"/>
        </w:rPr>
        <w:t>.</w:t>
      </w:r>
    </w:p>
    <w:p w14:paraId="0D61FE11" w14:textId="695BC58F" w:rsidR="00F07F10" w:rsidRPr="00297220" w:rsidRDefault="00F07F10" w:rsidP="00947587">
      <w:pPr>
        <w:spacing w:line="360" w:lineRule="auto"/>
        <w:jc w:val="both"/>
        <w:rPr>
          <w:color w:val="000000" w:themeColor="text1"/>
          <w:lang w:val="tr-TR"/>
        </w:rPr>
      </w:pPr>
      <w:r w:rsidRPr="00297220">
        <w:rPr>
          <w:color w:val="000000" w:themeColor="text1"/>
          <w:lang w:val="tr-TR"/>
        </w:rPr>
        <w:t xml:space="preserve">McGill, Andrew (2016), “Who Voted for Brexit?” </w:t>
      </w:r>
      <w:r w:rsidRPr="00297220">
        <w:rPr>
          <w:i/>
          <w:color w:val="000000" w:themeColor="text1"/>
          <w:lang w:val="tr-TR"/>
        </w:rPr>
        <w:t>The Atlantic</w:t>
      </w:r>
      <w:r w:rsidRPr="00297220">
        <w:rPr>
          <w:color w:val="000000" w:themeColor="text1"/>
          <w:lang w:val="tr-TR"/>
        </w:rPr>
        <w:t xml:space="preserve"> (25 June)</w:t>
      </w:r>
      <w:r w:rsidR="00D40CA6">
        <w:rPr>
          <w:color w:val="000000" w:themeColor="text1"/>
          <w:lang w:val="tr-TR"/>
        </w:rPr>
        <w:t xml:space="preserve">, </w:t>
      </w:r>
      <w:hyperlink r:id="rId28" w:history="1">
        <w:r w:rsidR="00D40CA6" w:rsidRPr="00F22C22">
          <w:rPr>
            <w:rStyle w:val="Hyperlink"/>
            <w:lang w:val="tr-TR"/>
          </w:rPr>
          <w:t>https://www.theatlantic.com/international/archive/2016/06/brexit-vote-statistics-united-kingdom-european-union/488780/</w:t>
        </w:r>
      </w:hyperlink>
      <w:r w:rsidR="00D40CA6">
        <w:rPr>
          <w:color w:val="000000" w:themeColor="text1"/>
          <w:lang w:val="tr-TR"/>
        </w:rPr>
        <w:t>.</w:t>
      </w:r>
    </w:p>
    <w:p w14:paraId="035C8F79" w14:textId="1C812EA4" w:rsidR="00630FE0" w:rsidRPr="00297220" w:rsidRDefault="00630FE0" w:rsidP="00947587">
      <w:pPr>
        <w:spacing w:line="360" w:lineRule="auto"/>
        <w:jc w:val="both"/>
        <w:rPr>
          <w:color w:val="000000" w:themeColor="text1"/>
          <w:lang w:val="tr-TR"/>
        </w:rPr>
      </w:pPr>
      <w:r w:rsidRPr="00297220">
        <w:rPr>
          <w:color w:val="000000" w:themeColor="text1"/>
          <w:lang w:val="tr-TR"/>
        </w:rPr>
        <w:t>Neundorf, A. and R. Niemi (2014), “</w:t>
      </w:r>
      <w:r w:rsidR="000A134A">
        <w:fldChar w:fldCharType="begin"/>
      </w:r>
      <w:r w:rsidR="000A134A">
        <w:instrText xml:space="preserve"> HYPERLINK "https://www.sciencedirect.com/science/article/pii/S0261379413000929" </w:instrText>
      </w:r>
      <w:r w:rsidR="000A134A">
        <w:fldChar w:fldCharType="separate"/>
      </w:r>
      <w:r w:rsidR="00AE4756" w:rsidRPr="00297220">
        <w:rPr>
          <w:rStyle w:val="Hyperlink"/>
          <w:color w:val="000000" w:themeColor="text1"/>
          <w:u w:val="none"/>
          <w:lang w:val="tr-TR"/>
        </w:rPr>
        <w:t>Beyond Political S</w:t>
      </w:r>
      <w:r w:rsidRPr="00297220">
        <w:rPr>
          <w:rStyle w:val="Hyperlink"/>
          <w:color w:val="000000" w:themeColor="text1"/>
          <w:u w:val="none"/>
          <w:lang w:val="tr-TR"/>
        </w:rPr>
        <w:t xml:space="preserve">ocialization: New </w:t>
      </w:r>
      <w:r w:rsidR="00AE4756" w:rsidRPr="00297220">
        <w:rPr>
          <w:rStyle w:val="Hyperlink"/>
          <w:color w:val="000000" w:themeColor="text1"/>
          <w:u w:val="none"/>
          <w:lang w:val="tr-TR"/>
        </w:rPr>
        <w:t>A</w:t>
      </w:r>
      <w:r w:rsidRPr="00297220">
        <w:rPr>
          <w:rStyle w:val="Hyperlink"/>
          <w:color w:val="000000" w:themeColor="text1"/>
          <w:u w:val="none"/>
          <w:lang w:val="tr-TR"/>
        </w:rPr>
        <w:t xml:space="preserve">pproaches to </w:t>
      </w:r>
      <w:r w:rsidR="00AE4756" w:rsidRPr="00297220">
        <w:rPr>
          <w:rStyle w:val="Hyperlink"/>
          <w:color w:val="000000" w:themeColor="text1"/>
          <w:u w:val="none"/>
          <w:lang w:val="tr-TR"/>
        </w:rPr>
        <w:t>Age, P</w:t>
      </w:r>
      <w:r w:rsidRPr="00297220">
        <w:rPr>
          <w:rStyle w:val="Hyperlink"/>
          <w:color w:val="000000" w:themeColor="text1"/>
          <w:u w:val="none"/>
          <w:lang w:val="tr-TR"/>
        </w:rPr>
        <w:t xml:space="preserve">eriod, </w:t>
      </w:r>
      <w:r w:rsidR="00AE4756" w:rsidRPr="00297220">
        <w:rPr>
          <w:rStyle w:val="Hyperlink"/>
          <w:color w:val="000000" w:themeColor="text1"/>
          <w:u w:val="none"/>
          <w:lang w:val="tr-TR"/>
        </w:rPr>
        <w:t>C</w:t>
      </w:r>
      <w:r w:rsidRPr="00297220">
        <w:rPr>
          <w:rStyle w:val="Hyperlink"/>
          <w:color w:val="000000" w:themeColor="text1"/>
          <w:u w:val="none"/>
          <w:lang w:val="tr-TR"/>
        </w:rPr>
        <w:t xml:space="preserve">ohort </w:t>
      </w:r>
      <w:r w:rsidR="00AE4756" w:rsidRPr="00297220">
        <w:rPr>
          <w:rStyle w:val="Hyperlink"/>
          <w:color w:val="000000" w:themeColor="text1"/>
          <w:u w:val="none"/>
          <w:lang w:val="tr-TR"/>
        </w:rPr>
        <w:t>A</w:t>
      </w:r>
      <w:r w:rsidRPr="00297220">
        <w:rPr>
          <w:rStyle w:val="Hyperlink"/>
          <w:color w:val="000000" w:themeColor="text1"/>
          <w:u w:val="none"/>
          <w:lang w:val="tr-TR"/>
        </w:rPr>
        <w:t>nalysis</w:t>
      </w:r>
      <w:r w:rsidR="000A134A">
        <w:rPr>
          <w:rStyle w:val="Hyperlink"/>
          <w:color w:val="000000" w:themeColor="text1"/>
          <w:u w:val="none"/>
          <w:lang w:val="tr-TR"/>
        </w:rPr>
        <w:fldChar w:fldCharType="end"/>
      </w:r>
      <w:r w:rsidR="00AE4756" w:rsidRPr="00297220">
        <w:rPr>
          <w:rStyle w:val="Hyperlink"/>
          <w:color w:val="000000" w:themeColor="text1"/>
          <w:u w:val="none"/>
          <w:lang w:val="tr-TR"/>
        </w:rPr>
        <w:t>,</w:t>
      </w:r>
      <w:r w:rsidRPr="00297220">
        <w:rPr>
          <w:color w:val="000000" w:themeColor="text1"/>
          <w:lang w:val="tr-TR"/>
        </w:rPr>
        <w:t xml:space="preserve">” </w:t>
      </w:r>
      <w:r w:rsidRPr="00297220">
        <w:rPr>
          <w:i/>
          <w:color w:val="000000" w:themeColor="text1"/>
          <w:lang w:val="tr-TR"/>
        </w:rPr>
        <w:t>Electoral Studies</w:t>
      </w:r>
      <w:r w:rsidRPr="00297220">
        <w:rPr>
          <w:color w:val="000000" w:themeColor="text1"/>
          <w:lang w:val="tr-TR"/>
        </w:rPr>
        <w:t xml:space="preserve"> 33</w:t>
      </w:r>
      <w:r w:rsidR="00AE4756" w:rsidRPr="00297220">
        <w:rPr>
          <w:color w:val="000000" w:themeColor="text1"/>
          <w:lang w:val="tr-TR"/>
        </w:rPr>
        <w:t>,</w:t>
      </w:r>
      <w:r w:rsidRPr="00297220">
        <w:rPr>
          <w:color w:val="000000" w:themeColor="text1"/>
          <w:lang w:val="tr-TR"/>
        </w:rPr>
        <w:t xml:space="preserve"> p</w:t>
      </w:r>
      <w:r w:rsidR="00565A4C">
        <w:rPr>
          <w:color w:val="000000" w:themeColor="text1"/>
          <w:lang w:val="tr-TR"/>
        </w:rPr>
        <w:t>p.</w:t>
      </w:r>
      <w:r w:rsidRPr="00297220">
        <w:rPr>
          <w:color w:val="000000" w:themeColor="text1"/>
          <w:lang w:val="tr-TR"/>
        </w:rPr>
        <w:t>1-6</w:t>
      </w:r>
      <w:r w:rsidR="00AE4756" w:rsidRPr="00297220">
        <w:rPr>
          <w:color w:val="000000" w:themeColor="text1"/>
          <w:lang w:val="tr-TR"/>
        </w:rPr>
        <w:t>.</w:t>
      </w:r>
    </w:p>
    <w:p w14:paraId="10F8B867" w14:textId="00B6FF15" w:rsidR="006D712C" w:rsidRPr="00297220" w:rsidRDefault="006D712C" w:rsidP="00947587">
      <w:pPr>
        <w:spacing w:line="360" w:lineRule="auto"/>
        <w:jc w:val="both"/>
        <w:rPr>
          <w:color w:val="000000" w:themeColor="text1"/>
          <w:lang w:val="tr-TR"/>
        </w:rPr>
      </w:pPr>
      <w:r w:rsidRPr="00297220">
        <w:rPr>
          <w:color w:val="000000" w:themeColor="text1"/>
          <w:lang w:val="tr-TR"/>
        </w:rPr>
        <w:t>Swales, K. (2017), “</w:t>
      </w:r>
      <w:r w:rsidR="000A134A">
        <w:fldChar w:fldCharType="begin"/>
      </w:r>
      <w:r w:rsidR="000A134A">
        <w:instrText xml:space="preserve"> HYPERLINK "http://natcen.ac.uk/media/1319222/natcen_brexplanations-report-final-web2.pdf" </w:instrText>
      </w:r>
      <w:r w:rsidR="000A134A">
        <w:fldChar w:fldCharType="separate"/>
      </w:r>
      <w:r w:rsidRPr="00297220">
        <w:rPr>
          <w:rStyle w:val="Hyperlink"/>
          <w:color w:val="000000" w:themeColor="text1"/>
          <w:u w:val="none"/>
          <w:lang w:val="tr-TR"/>
        </w:rPr>
        <w:t xml:space="preserve">Understanding the Leave </w:t>
      </w:r>
      <w:r w:rsidR="00AE4756" w:rsidRPr="00297220">
        <w:rPr>
          <w:rStyle w:val="Hyperlink"/>
          <w:color w:val="000000" w:themeColor="text1"/>
          <w:u w:val="none"/>
          <w:lang w:val="tr-TR"/>
        </w:rPr>
        <w:t>V</w:t>
      </w:r>
      <w:r w:rsidRPr="00297220">
        <w:rPr>
          <w:rStyle w:val="Hyperlink"/>
          <w:color w:val="000000" w:themeColor="text1"/>
          <w:u w:val="none"/>
          <w:lang w:val="tr-TR"/>
        </w:rPr>
        <w:t>ote</w:t>
      </w:r>
      <w:r w:rsidR="000A134A">
        <w:rPr>
          <w:rStyle w:val="Hyperlink"/>
          <w:color w:val="000000" w:themeColor="text1"/>
          <w:u w:val="none"/>
          <w:lang w:val="tr-TR"/>
        </w:rPr>
        <w:fldChar w:fldCharType="end"/>
      </w:r>
      <w:r w:rsidR="00AE4756" w:rsidRPr="00297220">
        <w:rPr>
          <w:rStyle w:val="Hyperlink"/>
          <w:color w:val="000000" w:themeColor="text1"/>
          <w:u w:val="none"/>
          <w:lang w:val="tr-TR"/>
        </w:rPr>
        <w:t>,”</w:t>
      </w:r>
      <w:r w:rsidRPr="00297220">
        <w:rPr>
          <w:color w:val="000000" w:themeColor="text1"/>
          <w:lang w:val="tr-TR"/>
        </w:rPr>
        <w:t xml:space="preserve"> </w:t>
      </w:r>
      <w:r w:rsidR="00D40CA6">
        <w:rPr>
          <w:color w:val="000000" w:themeColor="text1"/>
          <w:lang w:val="tr-TR"/>
        </w:rPr>
        <w:t xml:space="preserve">London: </w:t>
      </w:r>
      <w:r w:rsidRPr="00297220">
        <w:rPr>
          <w:color w:val="000000" w:themeColor="text1"/>
          <w:lang w:val="tr-TR"/>
        </w:rPr>
        <w:t>National Centre for Social Research</w:t>
      </w:r>
    </w:p>
    <w:p w14:paraId="30C6F7AC" w14:textId="06B7D11A" w:rsidR="00F07F10" w:rsidRPr="00297220" w:rsidRDefault="00F07F10" w:rsidP="00947587">
      <w:pPr>
        <w:spacing w:line="360" w:lineRule="auto"/>
        <w:jc w:val="both"/>
        <w:rPr>
          <w:color w:val="000000" w:themeColor="text1"/>
          <w:lang w:val="tr-TR"/>
        </w:rPr>
      </w:pPr>
      <w:r w:rsidRPr="00297220">
        <w:rPr>
          <w:color w:val="000000" w:themeColor="text1"/>
          <w:lang w:val="tr-TR"/>
        </w:rPr>
        <w:t>Tılley, James, and Geoffrey Evans (2014), “</w:t>
      </w:r>
      <w:r w:rsidR="000A134A">
        <w:fldChar w:fldCharType="begin"/>
      </w:r>
      <w:r w:rsidR="000A134A">
        <w:instrText xml:space="preserve"> HYPERLINK "https://www.sciencedirect.com/science/article/pii/S0261379413000875" </w:instrText>
      </w:r>
      <w:r w:rsidR="000A134A">
        <w:fldChar w:fldCharType="separate"/>
      </w:r>
      <w:r w:rsidRPr="00297220">
        <w:rPr>
          <w:rStyle w:val="Hyperlink"/>
          <w:color w:val="000000" w:themeColor="text1"/>
          <w:u w:val="none"/>
          <w:lang w:val="tr-TR"/>
        </w:rPr>
        <w:t xml:space="preserve">Ageing and </w:t>
      </w:r>
      <w:r w:rsidR="007F5D8D">
        <w:rPr>
          <w:rStyle w:val="Hyperlink"/>
          <w:color w:val="000000" w:themeColor="text1"/>
          <w:u w:val="none"/>
          <w:lang w:val="tr-TR"/>
        </w:rPr>
        <w:t>G</w:t>
      </w:r>
      <w:r w:rsidRPr="00297220">
        <w:rPr>
          <w:rStyle w:val="Hyperlink"/>
          <w:color w:val="000000" w:themeColor="text1"/>
          <w:u w:val="none"/>
          <w:lang w:val="tr-TR"/>
        </w:rPr>
        <w:t xml:space="preserve">enerational </w:t>
      </w:r>
      <w:r w:rsidR="007F5D8D">
        <w:rPr>
          <w:rStyle w:val="Hyperlink"/>
          <w:color w:val="000000" w:themeColor="text1"/>
          <w:u w:val="none"/>
          <w:lang w:val="tr-TR"/>
        </w:rPr>
        <w:t>E</w:t>
      </w:r>
      <w:r w:rsidRPr="00297220">
        <w:rPr>
          <w:rStyle w:val="Hyperlink"/>
          <w:color w:val="000000" w:themeColor="text1"/>
          <w:u w:val="none"/>
          <w:lang w:val="tr-TR"/>
        </w:rPr>
        <w:t xml:space="preserve">ffects on </w:t>
      </w:r>
      <w:r w:rsidR="007F5D8D">
        <w:rPr>
          <w:rStyle w:val="Hyperlink"/>
          <w:color w:val="000000" w:themeColor="text1"/>
          <w:u w:val="none"/>
          <w:lang w:val="tr-TR"/>
        </w:rPr>
        <w:t>V</w:t>
      </w:r>
      <w:r w:rsidRPr="00297220">
        <w:rPr>
          <w:rStyle w:val="Hyperlink"/>
          <w:color w:val="000000" w:themeColor="text1"/>
          <w:u w:val="none"/>
          <w:lang w:val="tr-TR"/>
        </w:rPr>
        <w:t xml:space="preserve">ote </w:t>
      </w:r>
      <w:r w:rsidR="007F5D8D">
        <w:rPr>
          <w:rStyle w:val="Hyperlink"/>
          <w:color w:val="000000" w:themeColor="text1"/>
          <w:u w:val="none"/>
          <w:lang w:val="tr-TR"/>
        </w:rPr>
        <w:t>C</w:t>
      </w:r>
      <w:r w:rsidRPr="00297220">
        <w:rPr>
          <w:rStyle w:val="Hyperlink"/>
          <w:color w:val="000000" w:themeColor="text1"/>
          <w:u w:val="none"/>
          <w:lang w:val="tr-TR"/>
        </w:rPr>
        <w:t xml:space="preserve">hoice: Combining </w:t>
      </w:r>
      <w:r w:rsidR="007F5D8D">
        <w:rPr>
          <w:rStyle w:val="Hyperlink"/>
          <w:color w:val="000000" w:themeColor="text1"/>
          <w:u w:val="none"/>
          <w:lang w:val="tr-TR"/>
        </w:rPr>
        <w:t>C</w:t>
      </w:r>
      <w:r w:rsidRPr="00297220">
        <w:rPr>
          <w:rStyle w:val="Hyperlink"/>
          <w:color w:val="000000" w:themeColor="text1"/>
          <w:u w:val="none"/>
          <w:lang w:val="tr-TR"/>
        </w:rPr>
        <w:t>ross-</w:t>
      </w:r>
      <w:r w:rsidR="007F5D8D">
        <w:rPr>
          <w:rStyle w:val="Hyperlink"/>
          <w:color w:val="000000" w:themeColor="text1"/>
          <w:u w:val="none"/>
          <w:lang w:val="tr-TR"/>
        </w:rPr>
        <w:t>S</w:t>
      </w:r>
      <w:r w:rsidRPr="00297220">
        <w:rPr>
          <w:rStyle w:val="Hyperlink"/>
          <w:color w:val="000000" w:themeColor="text1"/>
          <w:u w:val="none"/>
          <w:lang w:val="tr-TR"/>
        </w:rPr>
        <w:t xml:space="preserve">ectional and </w:t>
      </w:r>
      <w:r w:rsidR="007F5D8D">
        <w:rPr>
          <w:rStyle w:val="Hyperlink"/>
          <w:color w:val="000000" w:themeColor="text1"/>
          <w:u w:val="none"/>
          <w:lang w:val="tr-TR"/>
        </w:rPr>
        <w:t>Panel D</w:t>
      </w:r>
      <w:r w:rsidRPr="00297220">
        <w:rPr>
          <w:rStyle w:val="Hyperlink"/>
          <w:color w:val="000000" w:themeColor="text1"/>
          <w:u w:val="none"/>
          <w:lang w:val="tr-TR"/>
        </w:rPr>
        <w:t xml:space="preserve">ata to </w:t>
      </w:r>
      <w:r w:rsidR="007F5D8D">
        <w:rPr>
          <w:rStyle w:val="Hyperlink"/>
          <w:color w:val="000000" w:themeColor="text1"/>
          <w:u w:val="none"/>
          <w:lang w:val="tr-TR"/>
        </w:rPr>
        <w:t>E</w:t>
      </w:r>
      <w:r w:rsidRPr="00297220">
        <w:rPr>
          <w:rStyle w:val="Hyperlink"/>
          <w:color w:val="000000" w:themeColor="text1"/>
          <w:u w:val="none"/>
          <w:lang w:val="tr-TR"/>
        </w:rPr>
        <w:t>stimate APC effects</w:t>
      </w:r>
      <w:r w:rsidR="000A134A">
        <w:rPr>
          <w:rStyle w:val="Hyperlink"/>
          <w:color w:val="000000" w:themeColor="text1"/>
          <w:u w:val="none"/>
          <w:lang w:val="tr-TR"/>
        </w:rPr>
        <w:fldChar w:fldCharType="end"/>
      </w:r>
      <w:r w:rsidRPr="00297220">
        <w:rPr>
          <w:color w:val="000000" w:themeColor="text1"/>
          <w:lang w:val="tr-TR"/>
        </w:rPr>
        <w:t>” E</w:t>
      </w:r>
      <w:r w:rsidRPr="00297220">
        <w:rPr>
          <w:i/>
          <w:color w:val="000000" w:themeColor="text1"/>
          <w:lang w:val="tr-TR"/>
        </w:rPr>
        <w:t>lectoral Studies</w:t>
      </w:r>
      <w:r w:rsidRPr="00297220">
        <w:rPr>
          <w:color w:val="000000" w:themeColor="text1"/>
          <w:lang w:val="tr-TR"/>
        </w:rPr>
        <w:t xml:space="preserve"> 33</w:t>
      </w:r>
      <w:r w:rsidR="00AE4756" w:rsidRPr="00297220">
        <w:rPr>
          <w:color w:val="000000" w:themeColor="text1"/>
          <w:lang w:val="tr-TR"/>
        </w:rPr>
        <w:t>, pp.</w:t>
      </w:r>
      <w:r w:rsidRPr="00297220">
        <w:rPr>
          <w:color w:val="000000" w:themeColor="text1"/>
          <w:lang w:val="tr-TR"/>
        </w:rPr>
        <w:t>19-27.</w:t>
      </w:r>
    </w:p>
    <w:p w14:paraId="5C185A6C" w14:textId="074E84C4" w:rsidR="00F07F10" w:rsidRPr="00297220" w:rsidRDefault="00F07F10" w:rsidP="00947587">
      <w:pPr>
        <w:spacing w:line="360" w:lineRule="auto"/>
        <w:jc w:val="both"/>
        <w:rPr>
          <w:color w:val="000000" w:themeColor="text1"/>
          <w:lang w:val="tr-TR"/>
        </w:rPr>
      </w:pPr>
      <w:r w:rsidRPr="00297220">
        <w:rPr>
          <w:color w:val="000000" w:themeColor="text1"/>
          <w:lang w:val="tr-TR"/>
        </w:rPr>
        <w:t>Van der Brug, Wouter, and Sylvia Kritzinger (2012), “Special Symposium: Generational Differences in Electoral Behaviour,”</w:t>
      </w:r>
      <w:r w:rsidRPr="00297220">
        <w:rPr>
          <w:i/>
          <w:color w:val="000000" w:themeColor="text1"/>
          <w:lang w:val="tr-TR"/>
        </w:rPr>
        <w:t xml:space="preserve"> Electoral Studies</w:t>
      </w:r>
      <w:r w:rsidRPr="00297220">
        <w:rPr>
          <w:color w:val="000000" w:themeColor="text1"/>
          <w:lang w:val="tr-TR"/>
        </w:rPr>
        <w:t xml:space="preserve"> 31</w:t>
      </w:r>
      <w:r w:rsidR="00AE4756" w:rsidRPr="00297220">
        <w:rPr>
          <w:color w:val="000000" w:themeColor="text1"/>
          <w:lang w:val="tr-TR"/>
        </w:rPr>
        <w:t>, pp.</w:t>
      </w:r>
      <w:r w:rsidRPr="00297220">
        <w:rPr>
          <w:color w:val="000000" w:themeColor="text1"/>
          <w:lang w:val="tr-TR"/>
        </w:rPr>
        <w:t>245-468.</w:t>
      </w:r>
    </w:p>
    <w:p w14:paraId="7D1DE930" w14:textId="22E6F7F6" w:rsidR="00CA5FFF" w:rsidRDefault="00F07F10" w:rsidP="00947587">
      <w:pPr>
        <w:spacing w:line="360" w:lineRule="auto"/>
        <w:jc w:val="both"/>
        <w:rPr>
          <w:color w:val="000000" w:themeColor="text1"/>
          <w:lang w:val="tr-TR"/>
        </w:rPr>
      </w:pPr>
      <w:r w:rsidRPr="00297220">
        <w:rPr>
          <w:color w:val="000000" w:themeColor="text1"/>
          <w:lang w:val="tr-TR"/>
        </w:rPr>
        <w:t xml:space="preserve">Zhang, Aihua (2018), “New Findings on Key Factors Influencing the UK’s Referendum on Leaving the EU,” </w:t>
      </w:r>
      <w:r w:rsidRPr="00297220">
        <w:rPr>
          <w:i/>
          <w:color w:val="000000" w:themeColor="text1"/>
          <w:lang w:val="tr-TR"/>
        </w:rPr>
        <w:t>World Development</w:t>
      </w:r>
      <w:r w:rsidRPr="00297220">
        <w:rPr>
          <w:color w:val="000000" w:themeColor="text1"/>
          <w:lang w:val="tr-TR"/>
        </w:rPr>
        <w:t xml:space="preserve"> 102, pp.304-31</w:t>
      </w:r>
      <w:r w:rsidR="00565A4C">
        <w:rPr>
          <w:color w:val="000000" w:themeColor="text1"/>
          <w:lang w:val="tr-TR"/>
        </w:rPr>
        <w:t>.</w:t>
      </w:r>
    </w:p>
    <w:p w14:paraId="3700915B" w14:textId="77777777" w:rsidR="003E7925" w:rsidRPr="00297220" w:rsidRDefault="003E7925" w:rsidP="00947587">
      <w:pPr>
        <w:jc w:val="both"/>
        <w:rPr>
          <w:color w:val="000000" w:themeColor="text1"/>
          <w:lang w:val="tr-TR"/>
        </w:rPr>
      </w:pPr>
    </w:p>
    <w:p w14:paraId="2BD519CA" w14:textId="77777777" w:rsidR="004B444A" w:rsidRDefault="004B444A">
      <w:pPr>
        <w:rPr>
          <w:rFonts w:asciiTheme="majorHAnsi" w:eastAsiaTheme="majorEastAsia" w:hAnsiTheme="majorHAnsi" w:cstheme="majorBidi"/>
          <w:color w:val="17365D" w:themeColor="text2" w:themeShade="BF"/>
          <w:spacing w:val="5"/>
          <w:kern w:val="28"/>
          <w:sz w:val="32"/>
          <w:szCs w:val="32"/>
          <w:lang w:val="en-US"/>
        </w:rPr>
      </w:pPr>
      <w:r>
        <w:rPr>
          <w:sz w:val="32"/>
          <w:szCs w:val="32"/>
          <w:lang w:val="en-US"/>
        </w:rPr>
        <w:br w:type="page"/>
      </w:r>
    </w:p>
    <w:p w14:paraId="294B2A09" w14:textId="77777777" w:rsidR="00B7461B" w:rsidRPr="00CC24CA" w:rsidRDefault="00B7461B" w:rsidP="00947587">
      <w:pPr>
        <w:pStyle w:val="Title"/>
        <w:jc w:val="both"/>
        <w:rPr>
          <w:sz w:val="32"/>
          <w:szCs w:val="32"/>
          <w:lang w:val="en-US"/>
        </w:rPr>
      </w:pPr>
      <w:r>
        <w:rPr>
          <w:sz w:val="32"/>
          <w:szCs w:val="32"/>
          <w:lang w:val="en-US"/>
        </w:rPr>
        <w:lastRenderedPageBreak/>
        <w:t>Appendix</w:t>
      </w:r>
      <w:r w:rsidR="00306276">
        <w:rPr>
          <w:sz w:val="32"/>
          <w:szCs w:val="32"/>
          <w:lang w:val="en-US"/>
        </w:rPr>
        <w:t xml:space="preserve"> 1 – Derivation of multivariate panel </w:t>
      </w:r>
      <w:proofErr w:type="spellStart"/>
      <w:r w:rsidR="00306276">
        <w:rPr>
          <w:sz w:val="32"/>
          <w:szCs w:val="32"/>
          <w:lang w:val="en-US"/>
        </w:rPr>
        <w:t>Kalman</w:t>
      </w:r>
      <w:proofErr w:type="spellEnd"/>
      <w:r w:rsidR="00306276">
        <w:rPr>
          <w:sz w:val="32"/>
          <w:szCs w:val="32"/>
          <w:lang w:val="en-US"/>
        </w:rPr>
        <w:t xml:space="preserve"> filter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EA71B2" w14:paraId="3FA45FD1" w14:textId="77777777" w:rsidTr="00947587">
        <w:trPr>
          <w:trHeight w:val="892"/>
        </w:trPr>
        <w:tc>
          <w:tcPr>
            <w:tcW w:w="9286" w:type="dxa"/>
          </w:tcPr>
          <w:p w14:paraId="439851F8" w14:textId="77777777" w:rsidR="008A063A" w:rsidRPr="008C4D5F" w:rsidRDefault="008A063A" w:rsidP="008A063A">
            <w:pPr>
              <w:spacing w:line="360" w:lineRule="auto"/>
              <w:jc w:val="both"/>
            </w:pPr>
            <w:r w:rsidRPr="008C4D5F">
              <w:t>Formally, if we write a time series</w:t>
            </w:r>
            <w:r>
              <w:t xml:space="preserve"> </w:t>
            </w:r>
            <w:r w:rsidRPr="008C4D5F">
              <w:t>as a vector</w:t>
            </w:r>
            <w:r>
              <w:t xml:space="preserve"> </w:t>
            </w:r>
            <w:r>
              <w:rPr>
                <w:rFonts w:eastAsiaTheme="minorEastAsia"/>
              </w:rPr>
              <w:t xml:space="preserve"> </w:t>
            </w:r>
            <m:oMath>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y</m:t>
                      </m:r>
                    </m:e>
                    <m:sub>
                      <m:r>
                        <w:rPr>
                          <w:rFonts w:ascii="Cambria Math" w:hAnsi="Cambria Math"/>
                        </w:rPr>
                        <m:t>T</m:t>
                      </m:r>
                    </m:sub>
                  </m:sSub>
                </m:e>
              </m:d>
              <m:r>
                <w:rPr>
                  <w:rFonts w:ascii="Cambria Math" w:hAnsi="Cambria Math"/>
                </w:rPr>
                <m:t>'</m:t>
              </m:r>
            </m:oMath>
            <w:r>
              <w:rPr>
                <w:rFonts w:eastAsiaTheme="minorEastAsia"/>
              </w:rPr>
              <w:t xml:space="preserve"> </w:t>
            </w:r>
            <w:r>
              <w:t xml:space="preserve"> the HP fi</w:t>
            </w:r>
            <w:r w:rsidRPr="008C4D5F">
              <w:t>lter is the solution to the following</w:t>
            </w:r>
            <w:r>
              <w:t xml:space="preserve"> </w:t>
            </w:r>
            <w:r w:rsidRPr="008C4D5F">
              <w:t>problem</w:t>
            </w:r>
          </w:p>
          <w:p w14:paraId="458D617F" w14:textId="77777777" w:rsidR="008A063A" w:rsidRDefault="00E621E0" w:rsidP="008A063A">
            <w:pPr>
              <w:spacing w:line="360" w:lineRule="auto"/>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x</m:t>
                      </m:r>
                    </m:lim>
                  </m:limLow>
                </m:fName>
                <m:e>
                  <m:r>
                    <w:rPr>
                      <w:rFonts w:ascii="Cambria Math" w:hAnsi="Cambria Math"/>
                    </w:rPr>
                    <m:t>V</m:t>
                  </m:r>
                </m:e>
              </m:func>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m:t>
                      </m:r>
                      <m:acc>
                        <m:accPr>
                          <m:chr m:val="̃"/>
                          <m:ctrlPr>
                            <w:rPr>
                              <w:rFonts w:ascii="Cambria Math" w:hAnsi="Cambria Math"/>
                              <w:i/>
                            </w:rPr>
                          </m:ctrlPr>
                        </m:accPr>
                        <m:e>
                          <m:r>
                            <w:rPr>
                              <w:rFonts w:ascii="Cambria Math" w:hAnsi="Cambria Math"/>
                            </w:rPr>
                            <m:t>y</m:t>
                          </m:r>
                        </m:e>
                      </m:acc>
                    </m:e>
                  </m:d>
                </m:e>
                <m:sup>
                  <m:r>
                    <w:rPr>
                      <w:rFonts w:ascii="Cambria Math" w:hAnsi="Cambria Math"/>
                    </w:rPr>
                    <m:t>'</m:t>
                  </m:r>
                </m:sup>
              </m:sSup>
              <m:d>
                <m:dPr>
                  <m:ctrlPr>
                    <w:rPr>
                      <w:rFonts w:ascii="Cambria Math" w:hAnsi="Cambria Math"/>
                      <w:i/>
                    </w:rPr>
                  </m:ctrlPr>
                </m:dPr>
                <m:e>
                  <m:r>
                    <w:rPr>
                      <w:rFonts w:ascii="Cambria Math" w:hAnsi="Cambria Math"/>
                    </w:rPr>
                    <m:t>y-</m:t>
                  </m:r>
                  <m:acc>
                    <m:accPr>
                      <m:chr m:val="̃"/>
                      <m:ctrlPr>
                        <w:rPr>
                          <w:rFonts w:ascii="Cambria Math" w:hAnsi="Cambria Math"/>
                          <w:i/>
                        </w:rPr>
                      </m:ctrlPr>
                    </m:accPr>
                    <m:e>
                      <m:r>
                        <w:rPr>
                          <w:rFonts w:ascii="Cambria Math" w:hAnsi="Cambria Math"/>
                        </w:rPr>
                        <m:t>y</m:t>
                      </m:r>
                    </m:e>
                  </m:acc>
                </m:e>
              </m:d>
              <m:r>
                <w:rPr>
                  <w:rFonts w:ascii="Cambria Math" w:hAnsi="Cambria Math"/>
                </w:rPr>
                <m:t>+α</m:t>
              </m:r>
              <m:acc>
                <m:accPr>
                  <m:chr m:val="̃"/>
                  <m:ctrlPr>
                    <w:rPr>
                      <w:rFonts w:ascii="Cambria Math" w:hAnsi="Cambria Math"/>
                      <w:i/>
                    </w:rPr>
                  </m:ctrlPr>
                </m:accPr>
                <m:e>
                  <m:r>
                    <w:rPr>
                      <w:rFonts w:ascii="Cambria Math" w:hAnsi="Cambria Math"/>
                    </w:rPr>
                    <m:t>y</m:t>
                  </m:r>
                </m:e>
              </m:acc>
              <m:r>
                <w:rPr>
                  <w:rFonts w:ascii="Cambria Math" w:hAnsi="Cambria Math"/>
                </w:rPr>
                <m:t>'P'P</m:t>
              </m:r>
              <m:acc>
                <m:accPr>
                  <m:chr m:val="̃"/>
                  <m:ctrlPr>
                    <w:rPr>
                      <w:rFonts w:ascii="Cambria Math" w:hAnsi="Cambria Math"/>
                      <w:i/>
                    </w:rPr>
                  </m:ctrlPr>
                </m:accPr>
                <m:e>
                  <m:r>
                    <w:rPr>
                      <w:rFonts w:ascii="Cambria Math" w:hAnsi="Cambria Math"/>
                    </w:rPr>
                    <m:t>y</m:t>
                  </m:r>
                </m:e>
              </m:acc>
            </m:oMath>
            <w:r w:rsidR="008A063A">
              <w:rPr>
                <w:rFonts w:eastAsiaTheme="minorEastAsia"/>
              </w:rPr>
              <w:t xml:space="preserve">      (1.3)</w:t>
            </w:r>
          </w:p>
          <w:p w14:paraId="5BE22D23" w14:textId="77777777" w:rsidR="008A063A" w:rsidRDefault="008A063A" w:rsidP="008A063A">
            <w:pPr>
              <w:spacing w:line="360" w:lineRule="auto"/>
              <w:jc w:val="both"/>
            </w:pPr>
            <w:r w:rsidRPr="008C4D5F">
              <w:t>with the smoothing p</w:t>
            </w:r>
            <w:r>
              <w:t>arameter governing the trade-off</w:t>
            </w:r>
            <w:r w:rsidRPr="008C4D5F">
              <w:t xml:space="preserve"> between the variance</w:t>
            </w:r>
            <w:r>
              <w:t xml:space="preserve"> </w:t>
            </w:r>
            <w:r w:rsidRPr="008C4D5F">
              <w:t xml:space="preserve">of the cyclical component </w:t>
            </w:r>
            <w:r>
              <w:t xml:space="preserve"> </w:t>
            </w:r>
            <m:oMath>
              <m:sSub>
                <m:sSubPr>
                  <m:ctrlPr>
                    <w:rPr>
                      <w:rFonts w:ascii="Cambria Math" w:hAnsi="Cambria Math"/>
                      <w:i/>
                    </w:rPr>
                  </m:ctrlPr>
                </m:sSubPr>
                <m:e>
                  <m:acc>
                    <m:accPr>
                      <m:ctrlPr>
                        <w:rPr>
                          <w:rFonts w:ascii="Cambria Math" w:hAnsi="Cambria Math"/>
                          <w:i/>
                        </w:rPr>
                      </m:ctrlPr>
                    </m:accPr>
                    <m:e>
                      <m:r>
                        <w:rPr>
                          <w:rFonts w:ascii="Cambria Math" w:hAnsi="Cambria Math"/>
                        </w:rPr>
                        <m:t>y</m:t>
                      </m:r>
                    </m:e>
                  </m:acc>
                </m:e>
                <m:sub>
                  <m:r>
                    <w:rPr>
                      <w:rFonts w:ascii="Cambria Math" w:hAnsi="Cambria Math"/>
                    </w:rPr>
                    <m:t>t</m:t>
                  </m:r>
                </m:sub>
              </m:sSub>
              <m:r>
                <w:rPr>
                  <w:rFonts w:ascii="Cambria Math" w:hAnsi="Cambria Math"/>
                </w:rPr>
                <m:t>=y-</m:t>
              </m:r>
              <m:sSub>
                <m:sSubPr>
                  <m:ctrlPr>
                    <w:rPr>
                      <w:rFonts w:ascii="Cambria Math" w:hAnsi="Cambria Math"/>
                      <w:i/>
                    </w:rPr>
                  </m:ctrlPr>
                </m:sSubPr>
                <m:e>
                  <m:acc>
                    <m:accPr>
                      <m:chr m:val="̃"/>
                      <m:ctrlPr>
                        <w:rPr>
                          <w:rFonts w:ascii="Cambria Math" w:hAnsi="Cambria Math"/>
                          <w:i/>
                        </w:rPr>
                      </m:ctrlPr>
                    </m:accPr>
                    <m:e>
                      <m:r>
                        <w:rPr>
                          <w:rFonts w:ascii="Cambria Math" w:hAnsi="Cambria Math"/>
                        </w:rPr>
                        <m:t>y</m:t>
                      </m:r>
                    </m:e>
                  </m:acc>
                </m:e>
                <m:sub>
                  <m:r>
                    <w:rPr>
                      <w:rFonts w:ascii="Cambria Math" w:hAnsi="Cambria Math"/>
                    </w:rPr>
                    <m:t>t</m:t>
                  </m:r>
                </m:sub>
              </m:sSub>
            </m:oMath>
            <w:r>
              <w:rPr>
                <w:rFonts w:eastAsiaTheme="minorEastAsia"/>
              </w:rPr>
              <w:t xml:space="preserve"> </w:t>
            </w:r>
            <w:r w:rsidRPr="008C4D5F">
              <w:t>and the smoothness of the cyclical</w:t>
            </w:r>
            <w:r>
              <w:t xml:space="preserve"> component </w:t>
            </w:r>
            <w:r w:rsidRPr="008C4D5F">
              <w:t>, calc</w:t>
            </w:r>
            <w:r>
              <w:t>ulated in turn by the second diff</w:t>
            </w:r>
            <w:r w:rsidRPr="008C4D5F">
              <w:t>erence operator</w:t>
            </w:r>
          </w:p>
          <w:p w14:paraId="0EEA760E" w14:textId="77777777" w:rsidR="008A063A" w:rsidRDefault="008A063A" w:rsidP="008A063A">
            <w:pPr>
              <w:spacing w:line="360" w:lineRule="auto"/>
              <w:jc w:val="both"/>
            </w:pPr>
            <m:oMath>
              <m:r>
                <w:rPr>
                  <w:rFonts w:ascii="Cambria Math" w:hAnsi="Cambria Math"/>
                </w:rPr>
                <m:t>P=</m:t>
              </m:r>
              <m:d>
                <m:dPr>
                  <m:begChr m:val="["/>
                  <m:endChr m:val="]"/>
                  <m:ctrlPr>
                    <w:rPr>
                      <w:rFonts w:ascii="Cambria Math" w:hAnsi="Cambria Math"/>
                      <w:i/>
                    </w:rPr>
                  </m:ctrlPr>
                </m:dPr>
                <m:e>
                  <m:eqArr>
                    <m:eqArrPr>
                      <m:ctrlPr>
                        <w:rPr>
                          <w:rFonts w:ascii="Cambria Math" w:hAnsi="Cambria Math"/>
                          <w:i/>
                        </w:rPr>
                      </m:ctrlPr>
                    </m:eqArrPr>
                    <m:e>
                      <m:m>
                        <m:mPr>
                          <m:mcs>
                            <m:mc>
                              <m:mcPr>
                                <m:count m:val="3"/>
                                <m:mcJc m:val="center"/>
                              </m:mcPr>
                            </m:mc>
                          </m:mcs>
                          <m:ctrlPr>
                            <w:rPr>
                              <w:rFonts w:ascii="Cambria Math" w:hAnsi="Cambria Math"/>
                              <w:i/>
                            </w:rPr>
                          </m:ctrlPr>
                        </m:mPr>
                        <m:mr>
                          <m:e>
                            <m:r>
                              <w:rPr>
                                <w:rFonts w:ascii="Cambria Math" w:hAnsi="Cambria Math"/>
                              </w:rPr>
                              <m:t>1</m:t>
                            </m:r>
                          </m:e>
                          <m:e>
                            <m:r>
                              <w:rPr>
                                <w:rFonts w:ascii="Cambria Math" w:hAnsi="Cambria Math"/>
                              </w:rPr>
                              <m:t>-2</m:t>
                            </m:r>
                          </m:e>
                          <m:e>
                            <m:r>
                              <w:rPr>
                                <w:rFonts w:ascii="Cambria Math" w:hAnsi="Cambria Math"/>
                              </w:rPr>
                              <m:t>1</m:t>
                            </m:r>
                          </m:e>
                        </m:mr>
                        <m:mr>
                          <m:e>
                            <m:r>
                              <w:rPr>
                                <w:rFonts w:ascii="Cambria Math" w:hAnsi="Cambria Math"/>
                              </w:rPr>
                              <m:t>0</m:t>
                            </m:r>
                          </m:e>
                          <m:e>
                            <m:r>
                              <w:rPr>
                                <w:rFonts w:ascii="Cambria Math" w:hAnsi="Cambria Math"/>
                              </w:rPr>
                              <m:t>1</m:t>
                            </m:r>
                          </m:e>
                          <m:e>
                            <m:r>
                              <w:rPr>
                                <w:rFonts w:ascii="Cambria Math" w:hAnsi="Cambria Math"/>
                              </w:rPr>
                              <m:t>-2</m:t>
                            </m:r>
                          </m:e>
                        </m:mr>
                        <m:mr>
                          <m:e>
                            <m:r>
                              <w:rPr>
                                <w:rFonts w:ascii="Cambria Math" w:hAnsi="Cambria Math"/>
                              </w:rPr>
                              <m:t>0</m:t>
                            </m:r>
                          </m:e>
                          <m:e>
                            <m:r>
                              <w:rPr>
                                <w:rFonts w:ascii="Cambria Math" w:hAnsi="Cambria Math"/>
                              </w:rPr>
                              <m:t>0</m:t>
                            </m:r>
                          </m:e>
                          <m:e>
                            <m:r>
                              <w:rPr>
                                <w:rFonts w:ascii="Cambria Math" w:hAnsi="Cambria Math"/>
                              </w:rPr>
                              <m:t>1</m:t>
                            </m:r>
                          </m:e>
                        </m:mr>
                      </m:m>
                      <m:r>
                        <w:rPr>
                          <w:rFonts w:ascii="Cambria Math" w:hAnsi="Cambria Math"/>
                        </w:rPr>
                        <m:t xml:space="preserve">   </m:t>
                      </m:r>
                      <m:m>
                        <m:mPr>
                          <m:mcs>
                            <m:mc>
                              <m:mcPr>
                                <m:count m:val="3"/>
                                <m:mcJc m:val="center"/>
                              </m:mcPr>
                            </m:mc>
                          </m:mcs>
                          <m:ctrlPr>
                            <w:rPr>
                              <w:rFonts w:ascii="Cambria Math" w:hAnsi="Cambria Math"/>
                              <w:i/>
                            </w:rPr>
                          </m:ctrlPr>
                        </m:mPr>
                        <m:mr>
                          <m:e>
                            <m:r>
                              <w:rPr>
                                <w:rFonts w:ascii="Cambria Math" w:hAnsi="Cambria Math"/>
                              </w:rPr>
                              <m:t>0</m:t>
                            </m:r>
                          </m:e>
                          <m:e>
                            <m:r>
                              <w:rPr>
                                <w:rFonts w:ascii="Cambria Math" w:hAnsi="Cambria Math"/>
                              </w:rPr>
                              <m:t>…</m:t>
                            </m:r>
                          </m:e>
                          <m:e>
                            <m:r>
                              <w:rPr>
                                <w:rFonts w:ascii="Cambria Math" w:hAnsi="Cambria Math"/>
                              </w:rPr>
                              <m:t>0</m:t>
                            </m:r>
                          </m:e>
                        </m:mr>
                        <m:mr>
                          <m:e>
                            <m:r>
                              <w:rPr>
                                <w:rFonts w:ascii="Cambria Math" w:hAnsi="Cambria Math"/>
                              </w:rPr>
                              <m:t>1</m:t>
                            </m:r>
                          </m:e>
                          <m:e>
                            <m:r>
                              <w:rPr>
                                <w:rFonts w:ascii="Cambria Math" w:hAnsi="Cambria Math"/>
                              </w:rPr>
                              <m:t>…</m:t>
                            </m:r>
                          </m:e>
                          <m:e>
                            <m:r>
                              <w:rPr>
                                <w:rFonts w:ascii="Cambria Math" w:hAnsi="Cambria Math"/>
                              </w:rPr>
                              <m:t>0</m:t>
                            </m:r>
                          </m:e>
                        </m:mr>
                        <m:mr>
                          <m:e>
                            <m:r>
                              <w:rPr>
                                <w:rFonts w:ascii="Cambria Math" w:hAnsi="Cambria Math"/>
                              </w:rPr>
                              <m:t>-2</m:t>
                            </m:r>
                          </m:e>
                          <m:e>
                            <m:r>
                              <w:rPr>
                                <w:rFonts w:ascii="Cambria Math" w:hAnsi="Cambria Math"/>
                              </w:rPr>
                              <m:t>…</m:t>
                            </m:r>
                          </m:e>
                          <m:e>
                            <m:r>
                              <w:rPr>
                                <w:rFonts w:ascii="Cambria Math" w:hAnsi="Cambria Math"/>
                              </w:rPr>
                              <m:t>0</m:t>
                            </m:r>
                          </m:e>
                        </m:mr>
                      </m:m>
                    </m:e>
                    <m:e>
                      <m:r>
                        <w:rPr>
                          <w:rFonts w:ascii="Cambria Math" w:hAnsi="Cambria Math"/>
                        </w:rPr>
                        <m:t>…</m:t>
                      </m:r>
                      <m:ctrlPr>
                        <w:rPr>
                          <w:rFonts w:ascii="Cambria Math" w:eastAsia="Cambria Math" w:hAnsi="Cambria Math" w:cs="Cambria Math"/>
                          <w:i/>
                        </w:rPr>
                      </m:ctrlPr>
                    </m:e>
                    <m:e>
                      <m:m>
                        <m:mPr>
                          <m:mcs>
                            <m:mc>
                              <m:mcPr>
                                <m:count m:val="2"/>
                                <m:mcJc m:val="center"/>
                              </m:mcPr>
                            </m:mc>
                          </m:mcs>
                          <m:ctrlPr>
                            <w:rPr>
                              <w:rFonts w:ascii="Cambria Math" w:eastAsia="Cambria Math" w:hAnsi="Cambria Math" w:cs="Cambria Math"/>
                              <w:i/>
                            </w:rPr>
                          </m:ctrlPr>
                        </m:mPr>
                        <m:mr>
                          <m:e>
                            <m:r>
                              <w:rPr>
                                <w:rFonts w:ascii="Cambria Math" w:eastAsia="Cambria Math" w:hAnsi="Cambria Math" w:cs="Cambria Math"/>
                              </w:rPr>
                              <m:t>0</m:t>
                            </m:r>
                          </m:e>
                          <m:e>
                            <m:r>
                              <w:rPr>
                                <w:rFonts w:ascii="Cambria Math" w:eastAsia="Cambria Math" w:hAnsi="Cambria Math" w:cs="Cambria Math"/>
                              </w:rPr>
                              <m:t>0</m:t>
                            </m:r>
                          </m:e>
                        </m:mr>
                      </m:m>
                      <m:r>
                        <w:rPr>
                          <w:rFonts w:ascii="Cambria Math" w:eastAsia="Cambria Math" w:hAnsi="Cambria Math" w:cs="Cambria Math"/>
                        </w:rPr>
                        <m:t xml:space="preserve">          </m:t>
                      </m:r>
                      <m:m>
                        <m:mPr>
                          <m:mcs>
                            <m:mc>
                              <m:mcPr>
                                <m:count m:val="2"/>
                                <m:mcJc m:val="center"/>
                              </m:mcPr>
                            </m:mc>
                          </m:mcs>
                          <m:ctrlPr>
                            <w:rPr>
                              <w:rFonts w:ascii="Cambria Math" w:eastAsia="Cambria Math" w:hAnsi="Cambria Math" w:cs="Cambria Math"/>
                              <w:i/>
                            </w:rPr>
                          </m:ctrlPr>
                        </m:mPr>
                        <m:mr>
                          <m:e>
                            <m:r>
                              <w:rPr>
                                <w:rFonts w:ascii="Cambria Math" w:eastAsia="Cambria Math" w:hAnsi="Cambria Math" w:cs="Cambria Math"/>
                              </w:rPr>
                              <m:t>0</m:t>
                            </m:r>
                          </m:e>
                          <m:e>
                            <m:r>
                              <w:rPr>
                                <w:rFonts w:ascii="Cambria Math" w:eastAsia="Cambria Math" w:hAnsi="Cambria Math" w:cs="Cambria Math"/>
                              </w:rPr>
                              <m:t>0</m:t>
                            </m:r>
                          </m:e>
                        </m:mr>
                      </m:m>
                      <m:r>
                        <w:rPr>
                          <w:rFonts w:ascii="Cambria Math" w:eastAsia="Cambria Math" w:hAnsi="Cambria Math" w:cs="Cambria Math"/>
                        </w:rPr>
                        <m:t xml:space="preserve">       </m:t>
                      </m:r>
                      <m:m>
                        <m:mPr>
                          <m:mcs>
                            <m:mc>
                              <m:mcPr>
                                <m:count m:val="2"/>
                                <m:mcJc m:val="center"/>
                              </m:mcPr>
                            </m:mc>
                          </m:mcs>
                          <m:ctrlPr>
                            <w:rPr>
                              <w:rFonts w:ascii="Cambria Math" w:eastAsia="Cambria Math" w:hAnsi="Cambria Math" w:cs="Cambria Math"/>
                              <w:i/>
                            </w:rPr>
                          </m:ctrlPr>
                        </m:mPr>
                        <m:mr>
                          <m:e>
                            <m:r>
                              <w:rPr>
                                <w:rFonts w:ascii="Cambria Math" w:eastAsia="Cambria Math" w:hAnsi="Cambria Math" w:cs="Cambria Math"/>
                              </w:rPr>
                              <m:t>…</m:t>
                            </m:r>
                          </m:e>
                          <m:e>
                            <m:r>
                              <w:rPr>
                                <w:rFonts w:ascii="Cambria Math" w:eastAsia="Cambria Math" w:hAnsi="Cambria Math" w:cs="Cambria Math"/>
                              </w:rPr>
                              <m:t>1</m:t>
                            </m:r>
                          </m:e>
                        </m:mr>
                      </m:m>
                    </m:e>
                  </m:eqArr>
                </m:e>
              </m:d>
            </m:oMath>
            <w:r>
              <w:t xml:space="preserve">             </w:t>
            </w:r>
            <w:r w:rsidRPr="008C4D5F">
              <w:t>(1.4)</w:t>
            </w:r>
          </w:p>
          <w:p w14:paraId="53BF9E7F" w14:textId="77777777" w:rsidR="008A063A" w:rsidRPr="008C4D5F" w:rsidRDefault="008A063A" w:rsidP="008A063A">
            <w:pPr>
              <w:spacing w:line="360" w:lineRule="auto"/>
              <w:jc w:val="both"/>
            </w:pPr>
            <w:r w:rsidRPr="008C4D5F">
              <w:t xml:space="preserve">a matrix of order </w:t>
            </w:r>
            <m:oMath>
              <m:d>
                <m:dPr>
                  <m:ctrlPr>
                    <w:rPr>
                      <w:rFonts w:ascii="Cambria Math" w:hAnsi="Cambria Math"/>
                      <w:i/>
                    </w:rPr>
                  </m:ctrlPr>
                </m:dPr>
                <m:e>
                  <m:r>
                    <w:rPr>
                      <w:rFonts w:ascii="Cambria Math" w:hAnsi="Cambria Math"/>
                    </w:rPr>
                    <m:t>T-2</m:t>
                  </m:r>
                </m:e>
              </m:d>
              <m:r>
                <w:rPr>
                  <w:rFonts w:ascii="Cambria Math" w:hAnsi="Cambria Math"/>
                </w:rPr>
                <m:t xml:space="preserve"> × T</m:t>
              </m:r>
            </m:oMath>
          </w:p>
          <w:p w14:paraId="79305CCD" w14:textId="77777777" w:rsidR="008A063A" w:rsidRPr="008C4D5F" w:rsidRDefault="008A063A" w:rsidP="008A063A">
            <w:pPr>
              <w:spacing w:line="360" w:lineRule="auto"/>
              <w:jc w:val="both"/>
            </w:pPr>
            <w:r w:rsidRPr="008C4D5F">
              <w:t>With this is mind, we can vectorise our unbalanced panel response variable</w:t>
            </w:r>
            <w:r>
              <w:t xml:space="preserve"> </w:t>
            </w:r>
            <m:oMath>
              <m:r>
                <w:rPr>
                  <w:rFonts w:ascii="Cambria Math" w:hAnsi="Cambria Math"/>
                </w:rPr>
                <m:t>y=</m:t>
              </m:r>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11</m:t>
                      </m:r>
                    </m:sub>
                  </m:sSub>
                  <m:r>
                    <w:rPr>
                      <w:rFonts w:ascii="Cambria Math" w:hAnsi="Cambria Math"/>
                    </w:rPr>
                    <m:t xml:space="preserve">, …, </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1T</m:t>
                          </m:r>
                        </m:e>
                        <m:sub>
                          <m:r>
                            <w:rPr>
                              <w:rFonts w:ascii="Cambria Math" w:hAnsi="Cambria Math"/>
                            </w:rPr>
                            <m:t>1</m:t>
                          </m:r>
                        </m:sub>
                      </m:sSub>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21</m:t>
                      </m:r>
                    </m:sub>
                  </m:sSub>
                  <m:r>
                    <w:rPr>
                      <w:rFonts w:ascii="Cambria Math" w:hAnsi="Cambria Math"/>
                    </w:rPr>
                    <m:t xml:space="preserve">, …, </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2T</m:t>
                          </m:r>
                        </m:e>
                        <m:sub>
                          <m:r>
                            <w:rPr>
                              <w:rFonts w:ascii="Cambria Math" w:hAnsi="Cambria Math"/>
                            </w:rPr>
                            <m:t>2</m:t>
                          </m:r>
                        </m:sub>
                      </m:sSub>
                    </m:sub>
                  </m:sSub>
                  <m:r>
                    <w:rPr>
                      <w:rFonts w:ascii="Cambria Math" w:hAnsi="Cambria Math"/>
                    </w:rPr>
                    <m:t xml:space="preserve">,…, </m:t>
                  </m:r>
                  <m:sSub>
                    <m:sSubPr>
                      <m:ctrlPr>
                        <w:rPr>
                          <w:rFonts w:ascii="Cambria Math" w:hAnsi="Cambria Math"/>
                          <w:i/>
                        </w:rPr>
                      </m:ctrlPr>
                    </m:sSubPr>
                    <m:e>
                      <m:r>
                        <w:rPr>
                          <w:rFonts w:ascii="Cambria Math" w:hAnsi="Cambria Math"/>
                        </w:rPr>
                        <m:t>y</m:t>
                      </m:r>
                    </m:e>
                    <m:sub>
                      <m:sSub>
                        <m:sSubPr>
                          <m:ctrlPr>
                            <w:rPr>
                              <w:rFonts w:ascii="Cambria Math" w:hAnsi="Cambria Math"/>
                              <w:i/>
                            </w:rPr>
                          </m:ctrlPr>
                        </m:sSubPr>
                        <m:e>
                          <m:r>
                            <w:rPr>
                              <w:rFonts w:ascii="Cambria Math" w:hAnsi="Cambria Math"/>
                            </w:rPr>
                            <m:t>NT</m:t>
                          </m:r>
                        </m:e>
                        <m:sub>
                          <m:r>
                            <w:rPr>
                              <w:rFonts w:ascii="Cambria Math" w:hAnsi="Cambria Math"/>
                            </w:rPr>
                            <m:t>N</m:t>
                          </m:r>
                        </m:sub>
                      </m:sSub>
                    </m:sub>
                  </m:sSub>
                  <m:r>
                    <w:rPr>
                      <w:rFonts w:ascii="Cambria Math" w:hAnsi="Cambria Math"/>
                    </w:rPr>
                    <m:t xml:space="preserve"> </m:t>
                  </m:r>
                </m:e>
              </m:d>
              <m:r>
                <w:rPr>
                  <w:rFonts w:ascii="Cambria Math" w:hAnsi="Cambria Math"/>
                </w:rPr>
                <m:t>'</m:t>
              </m:r>
            </m:oMath>
            <w:r>
              <w:t xml:space="preserve">   and the cohort and age eff</w:t>
            </w:r>
            <w:r w:rsidRPr="008C4D5F">
              <w:t>ects</w:t>
            </w:r>
            <w:r>
              <w:t xml:space="preserve">    </w:t>
            </w:r>
            <m:oMath>
              <m:r>
                <w:rPr>
                  <w:rFonts w:ascii="Cambria Math" w:hAnsi="Cambria Math"/>
                </w:rPr>
                <m:t>c=</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 xml:space="preserve">, … , </m:t>
                  </m:r>
                  <m:sSub>
                    <m:sSubPr>
                      <m:ctrlPr>
                        <w:rPr>
                          <w:rFonts w:ascii="Cambria Math" w:hAnsi="Cambria Math"/>
                          <w:i/>
                        </w:rPr>
                      </m:ctrlPr>
                    </m:sSubPr>
                    <m:e>
                      <m:r>
                        <w:rPr>
                          <w:rFonts w:ascii="Cambria Math" w:hAnsi="Cambria Math"/>
                        </w:rPr>
                        <m:t>c</m:t>
                      </m:r>
                    </m:e>
                    <m:sub>
                      <m:r>
                        <w:rPr>
                          <w:rFonts w:ascii="Cambria Math" w:hAnsi="Cambria Math"/>
                        </w:rPr>
                        <m:t>C</m:t>
                      </m:r>
                    </m:sub>
                  </m:sSub>
                  <m:r>
                    <w:rPr>
                      <w:rFonts w:ascii="Cambria Math" w:hAnsi="Cambria Math"/>
                    </w:rPr>
                    <m:t xml:space="preserve"> </m:t>
                  </m:r>
                </m:e>
              </m:d>
              <m:r>
                <w:rPr>
                  <w:rFonts w:ascii="Cambria Math" w:hAnsi="Cambria Math"/>
                </w:rPr>
                <m:t>'</m:t>
              </m:r>
            </m:oMath>
            <w:r>
              <w:rPr>
                <w:rFonts w:eastAsiaTheme="minorEastAsia"/>
              </w:rPr>
              <w:t xml:space="preserve"> , </w:t>
            </w:r>
            <w:r>
              <w:t xml:space="preserve"> </w:t>
            </w:r>
            <m:oMath>
              <m:r>
                <w:rPr>
                  <w:rFonts w:ascii="Cambria Math" w:hAnsi="Cambria Math"/>
                </w:rPr>
                <m:t>a=</m:t>
              </m:r>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 , </m:t>
                  </m:r>
                  <m:sSub>
                    <m:sSubPr>
                      <m:ctrlPr>
                        <w:rPr>
                          <w:rFonts w:ascii="Cambria Math" w:hAnsi="Cambria Math"/>
                          <w:i/>
                        </w:rPr>
                      </m:ctrlPr>
                    </m:sSubPr>
                    <m:e>
                      <m:r>
                        <w:rPr>
                          <w:rFonts w:ascii="Cambria Math" w:hAnsi="Cambria Math"/>
                        </w:rPr>
                        <m:t>a</m:t>
                      </m:r>
                    </m:e>
                    <m:sub>
                      <m:r>
                        <w:rPr>
                          <w:rFonts w:ascii="Cambria Math" w:hAnsi="Cambria Math"/>
                        </w:rPr>
                        <m:t>A</m:t>
                      </m:r>
                    </m:sub>
                  </m:sSub>
                  <m:r>
                    <w:rPr>
                      <w:rFonts w:ascii="Cambria Math" w:hAnsi="Cambria Math"/>
                    </w:rPr>
                    <m:t xml:space="preserve"> </m:t>
                  </m:r>
                </m:e>
              </m:d>
              <m:r>
                <w:rPr>
                  <w:rFonts w:ascii="Cambria Math" w:hAnsi="Cambria Math"/>
                </w:rPr>
                <m:t>'</m:t>
              </m:r>
            </m:oMath>
            <w:r>
              <w:rPr>
                <w:rFonts w:eastAsiaTheme="minorEastAsia"/>
              </w:rPr>
              <w:t xml:space="preserve"> </w:t>
            </w:r>
            <w:r>
              <w:t xml:space="preserve"> </w:t>
            </w:r>
            <w:r w:rsidRPr="008C4D5F">
              <w:t>and write down our problem as follows</w:t>
            </w:r>
          </w:p>
          <w:p w14:paraId="4F652F8A" w14:textId="77777777" w:rsidR="008A063A" w:rsidRPr="008C4D5F" w:rsidRDefault="00E621E0" w:rsidP="008A063A">
            <w:pPr>
              <w:spacing w:line="360" w:lineRule="auto"/>
              <w:jc w:val="both"/>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min</m:t>
                      </m:r>
                    </m:e>
                    <m:lim>
                      <m:r>
                        <w:rPr>
                          <w:rFonts w:ascii="Cambria Math" w:hAnsi="Cambria Math"/>
                        </w:rPr>
                        <m:t>a,c,β</m:t>
                      </m:r>
                    </m:lim>
                  </m:limLow>
                </m:fName>
                <m:e>
                  <m:r>
                    <w:rPr>
                      <w:rFonts w:ascii="Cambria Math" w:hAnsi="Cambria Math"/>
                    </w:rPr>
                    <m:t>V</m:t>
                  </m:r>
                </m:e>
              </m:func>
              <m:r>
                <w:rPr>
                  <w:rFonts w:ascii="Cambria Math" w:hAnsi="Cambria Math"/>
                </w:rPr>
                <m:t>=</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c-zβ</m:t>
                  </m:r>
                </m:e>
              </m:d>
              <m:r>
                <w:rPr>
                  <w:rFonts w:ascii="Cambria Math" w:hAnsi="Cambria Math"/>
                </w:rPr>
                <m:t>'</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a-</m:t>
                  </m:r>
                  <m:sSub>
                    <m:sSubPr>
                      <m:ctrlPr>
                        <w:rPr>
                          <w:rFonts w:ascii="Cambria Math" w:hAnsi="Cambria Math"/>
                          <w:i/>
                        </w:rPr>
                      </m:ctrlPr>
                    </m:sSubPr>
                    <m:e>
                      <m:r>
                        <w:rPr>
                          <w:rFonts w:ascii="Cambria Math" w:hAnsi="Cambria Math"/>
                        </w:rPr>
                        <m:t>S</m:t>
                      </m:r>
                    </m:e>
                    <m:sub>
                      <m:r>
                        <w:rPr>
                          <w:rFonts w:ascii="Cambria Math" w:hAnsi="Cambria Math"/>
                        </w:rPr>
                        <m:t>c</m:t>
                      </m:r>
                    </m:sub>
                  </m:sSub>
                  <m:r>
                    <w:rPr>
                      <w:rFonts w:ascii="Cambria Math" w:hAnsi="Cambria Math"/>
                    </w:rPr>
                    <m:t>c-zβ</m:t>
                  </m:r>
                </m:e>
              </m:d>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a</m:t>
                  </m:r>
                </m:sub>
              </m:sSub>
              <m:r>
                <w:rPr>
                  <w:rFonts w:ascii="Cambria Math" w:hAnsi="Cambria Math"/>
                </w:rPr>
                <m:t>a'</m:t>
              </m:r>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a+</m:t>
              </m:r>
              <m:sSub>
                <m:sSubPr>
                  <m:ctrlPr>
                    <w:rPr>
                      <w:rFonts w:ascii="Cambria Math" w:hAnsi="Cambria Math"/>
                      <w:i/>
                    </w:rPr>
                  </m:ctrlPr>
                </m:sSubPr>
                <m:e>
                  <m:r>
                    <w:rPr>
                      <w:rFonts w:ascii="Cambria Math" w:hAnsi="Cambria Math"/>
                    </w:rPr>
                    <m:t>α</m:t>
                  </m:r>
                </m:e>
                <m:sub>
                  <m:r>
                    <w:rPr>
                      <w:rFonts w:ascii="Cambria Math" w:hAnsi="Cambria Math"/>
                    </w:rPr>
                    <m:t>c</m:t>
                  </m:r>
                </m:sub>
              </m:sSub>
              <m:r>
                <w:rPr>
                  <w:rFonts w:ascii="Cambria Math" w:hAnsi="Cambria Math"/>
                </w:rPr>
                <m:t>a'</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a</m:t>
              </m:r>
            </m:oMath>
            <w:r w:rsidR="008A063A">
              <w:t xml:space="preserve">          </w:t>
            </w:r>
            <w:r w:rsidR="008A063A" w:rsidRPr="008C4D5F">
              <w:t>(1.5)</w:t>
            </w:r>
          </w:p>
          <w:p w14:paraId="77DD9FC4" w14:textId="77777777" w:rsidR="008A063A" w:rsidRPr="008C4D5F" w:rsidRDefault="008A063A" w:rsidP="008A063A">
            <w:pPr>
              <w:spacing w:line="360" w:lineRule="auto"/>
              <w:jc w:val="both"/>
            </w:pPr>
            <w:proofErr w:type="gramStart"/>
            <w:r>
              <w:t>where</w:t>
            </w:r>
            <w:proofErr w:type="gramEnd"/>
            <w:r>
              <w:t xml:space="preserve"> the second-difference matrices  </w:t>
            </w:r>
            <m:oMath>
              <m:sSub>
                <m:sSubPr>
                  <m:ctrlPr>
                    <w:rPr>
                      <w:rFonts w:ascii="Cambria Math" w:hAnsi="Cambria Math"/>
                      <w:i/>
                    </w:rPr>
                  </m:ctrlPr>
                </m:sSubPr>
                <m:e>
                  <m:r>
                    <w:rPr>
                      <w:rFonts w:ascii="Cambria Math" w:hAnsi="Cambria Math"/>
                    </w:rPr>
                    <m:t>P</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oMath>
            <w:r>
              <w:t xml:space="preserve"> are defi</w:t>
            </w:r>
            <w:r w:rsidRPr="008C4D5F">
              <w:t>ned as above and selection</w:t>
            </w:r>
            <w:r>
              <w:t xml:space="preserve"> </w:t>
            </w:r>
            <w:r w:rsidRPr="008C4D5F">
              <w:t>matrices</w:t>
            </w:r>
            <w:r>
              <w:t xml:space="preserve">  </w:t>
            </w:r>
            <m:oMath>
              <m:sSub>
                <m:sSubPr>
                  <m:ctrlPr>
                    <w:rPr>
                      <w:rFonts w:ascii="Cambria Math" w:hAnsi="Cambria Math"/>
                      <w:i/>
                    </w:rPr>
                  </m:ctrlPr>
                </m:sSubPr>
                <m:e>
                  <m:r>
                    <w:rPr>
                      <w:rFonts w:ascii="Cambria Math" w:hAnsi="Cambria Math"/>
                    </w:rPr>
                    <m:t>S</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c</m:t>
                  </m:r>
                </m:sub>
              </m:sSub>
            </m:oMath>
            <w:r>
              <w:t xml:space="preserve"> </w:t>
            </w:r>
            <w:r w:rsidRPr="008C4D5F">
              <w:t xml:space="preserve">map </w:t>
            </w:r>
            <w:r>
              <w:t>the vectors of age and cohort eff</w:t>
            </w:r>
            <w:r w:rsidRPr="008C4D5F">
              <w:t>ects into corresponding</w:t>
            </w:r>
            <w:r>
              <w:t xml:space="preserve"> </w:t>
            </w:r>
            <w:r w:rsidRPr="008C4D5F">
              <w:t>panel response variable observations. We add the option of including observable</w:t>
            </w:r>
            <w:r>
              <w:t xml:space="preserve"> explanatory variables </w:t>
            </w:r>
            <m:oMath>
              <m:r>
                <w:rPr>
                  <w:rFonts w:ascii="Cambria Math" w:hAnsi="Cambria Math"/>
                </w:rPr>
                <m:t>z</m:t>
              </m:r>
            </m:oMath>
            <w:r>
              <w:t xml:space="preserve"> with a fixed linear association </w:t>
            </w:r>
            <w:r w:rsidRPr="008C4D5F">
              <w:t xml:space="preserve"> </w:t>
            </w:r>
            <m:oMath>
              <m:r>
                <w:rPr>
                  <w:rFonts w:ascii="Cambria Math" w:hAnsi="Cambria Math"/>
                </w:rPr>
                <m:t>β</m:t>
              </m:r>
            </m:oMath>
            <w:r w:rsidRPr="008C4D5F">
              <w:t xml:space="preserve"> to the response</w:t>
            </w:r>
            <w:r>
              <w:t xml:space="preserve"> </w:t>
            </w:r>
            <w:r w:rsidRPr="008C4D5F">
              <w:t>variables.</w:t>
            </w:r>
          </w:p>
          <w:p w14:paraId="0C470BDB" w14:textId="77777777" w:rsidR="008A063A" w:rsidRDefault="008A063A" w:rsidP="008A063A">
            <w:pPr>
              <w:spacing w:line="360" w:lineRule="auto"/>
              <w:jc w:val="both"/>
            </w:pPr>
            <w:r w:rsidRPr="008C4D5F">
              <w:t>The solution to this problem is as follows</w:t>
            </w:r>
            <w:r>
              <w:t xml:space="preserve"> </w:t>
            </w:r>
          </w:p>
          <w:p w14:paraId="1C9E8888" w14:textId="77777777" w:rsidR="008A063A" w:rsidRPr="00D55E3A" w:rsidRDefault="00E621E0" w:rsidP="008A063A">
            <w:pPr>
              <w:spacing w:line="360" w:lineRule="auto"/>
              <w:jc w:val="both"/>
              <w:rPr>
                <w:rFonts w:eastAsiaTheme="minorEastAsia"/>
              </w:rPr>
            </w:pPr>
            <m:oMath>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c</m:t>
                        </m:r>
                      </m:e>
                    </m:mr>
                    <m:mr>
                      <m:e>
                        <m:r>
                          <w:rPr>
                            <w:rFonts w:ascii="Cambria Math" w:hAnsi="Cambria Math"/>
                          </w:rPr>
                          <m:t>a</m:t>
                        </m:r>
                      </m:e>
                    </m:mr>
                  </m:m>
                </m:e>
              </m:d>
              <m:r>
                <w:rPr>
                  <w:rFonts w:ascii="Cambria Math" w:hAnsi="Cambria Math"/>
                </w:rPr>
                <m:t>=x=</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I-</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S+</m:t>
                              </m:r>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P</m:t>
                              </m:r>
                            </m:e>
                          </m:d>
                        </m:e>
                        <m:sup>
                          <m:r>
                            <w:rPr>
                              <w:rFonts w:ascii="Cambria Math" w:hAnsi="Cambria Math"/>
                            </w:rPr>
                            <m:t>-1</m:t>
                          </m:r>
                        </m:sup>
                      </m:sSup>
                      <m:r>
                        <w:rPr>
                          <w:rFonts w:ascii="Cambria Math" w:hAnsi="Cambria Math"/>
                        </w:rPr>
                        <m:t xml:space="preserve"> </m:t>
                      </m:r>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Z</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Z</m:t>
                              </m:r>
                            </m:e>
                          </m:d>
                        </m:e>
                        <m:sup>
                          <m:r>
                            <w:rPr>
                              <w:rFonts w:ascii="Cambria Math" w:hAnsi="Cambria Math"/>
                            </w:rPr>
                            <m:t>-1</m:t>
                          </m:r>
                        </m:sup>
                      </m:sSup>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S</m:t>
                      </m:r>
                    </m:e>
                  </m:d>
                </m:e>
                <m:sup>
                  <m:r>
                    <w:rPr>
                      <w:rFonts w:ascii="Cambria Math" w:hAnsi="Cambria Math"/>
                    </w:rPr>
                    <m:t>-1</m:t>
                  </m:r>
                </m:sup>
              </m:sSup>
              <m:r>
                <w:rPr>
                  <w:rFonts w:ascii="Cambria Math" w:hAnsi="Cambria Math"/>
                </w:rPr>
                <m:t>×</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S</m:t>
                          </m:r>
                        </m:e>
                        <m:sup>
                          <m:r>
                            <w:rPr>
                              <w:rFonts w:ascii="Cambria Math" w:hAnsi="Cambria Math"/>
                            </w:rPr>
                            <m:t>'</m:t>
                          </m:r>
                        </m:sup>
                      </m:sSup>
                      <m:r>
                        <w:rPr>
                          <w:rFonts w:ascii="Cambria Math" w:hAnsi="Cambria Math"/>
                        </w:rPr>
                        <m:t>S+</m:t>
                      </m:r>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P</m:t>
                      </m:r>
                    </m:e>
                  </m:d>
                </m:e>
                <m:sup>
                  <m:r>
                    <w:rPr>
                      <w:rFonts w:ascii="Cambria Math" w:hAnsi="Cambria Math"/>
                    </w:rPr>
                    <m:t>-1</m:t>
                  </m:r>
                </m:sup>
              </m:sSup>
              <m:r>
                <w:rPr>
                  <w:rFonts w:ascii="Cambria Math" w:hAnsi="Cambria Math"/>
                </w:rPr>
                <m:t xml:space="preserve">  S'</m:t>
              </m:r>
              <m:d>
                <m:dPr>
                  <m:begChr m:val="["/>
                  <m:endChr m:val="]"/>
                  <m:ctrlPr>
                    <w:rPr>
                      <w:rFonts w:ascii="Cambria Math" w:hAnsi="Cambria Math"/>
                      <w:i/>
                    </w:rPr>
                  </m:ctrlPr>
                </m:dPr>
                <m:e>
                  <m:r>
                    <w:rPr>
                      <w:rFonts w:ascii="Cambria Math" w:hAnsi="Cambria Math"/>
                    </w:rPr>
                    <m:t>I-Z</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Z</m:t>
                              </m:r>
                            </m:e>
                            <m:sup>
                              <m:r>
                                <w:rPr>
                                  <w:rFonts w:ascii="Cambria Math" w:hAnsi="Cambria Math"/>
                                </w:rPr>
                                <m:t>'</m:t>
                              </m:r>
                            </m:sup>
                          </m:sSup>
                          <m:r>
                            <w:rPr>
                              <w:rFonts w:ascii="Cambria Math" w:hAnsi="Cambria Math"/>
                            </w:rPr>
                            <m:t>Z</m:t>
                          </m:r>
                        </m:e>
                      </m:d>
                    </m:e>
                    <m:sup>
                      <m:r>
                        <w:rPr>
                          <w:rFonts w:ascii="Cambria Math" w:hAnsi="Cambria Math"/>
                        </w:rPr>
                        <m:t>-1</m:t>
                      </m:r>
                    </m:sup>
                  </m:sSup>
                  <m:sSup>
                    <m:sSupPr>
                      <m:ctrlPr>
                        <w:rPr>
                          <w:rFonts w:ascii="Cambria Math" w:hAnsi="Cambria Math"/>
                          <w:i/>
                        </w:rPr>
                      </m:ctrlPr>
                    </m:sSupPr>
                    <m:e>
                      <m:r>
                        <w:rPr>
                          <w:rFonts w:ascii="Cambria Math" w:hAnsi="Cambria Math"/>
                        </w:rPr>
                        <m:t>Z</m:t>
                      </m:r>
                    </m:e>
                    <m:sup>
                      <m:r>
                        <w:rPr>
                          <w:rFonts w:ascii="Cambria Math" w:hAnsi="Cambria Math"/>
                        </w:rPr>
                        <m:t>'</m:t>
                      </m:r>
                    </m:sup>
                  </m:sSup>
                </m:e>
              </m:d>
              <m:r>
                <w:rPr>
                  <w:rFonts w:ascii="Cambria Math" w:hAnsi="Cambria Math"/>
                </w:rPr>
                <m:t xml:space="preserve"> y</m:t>
              </m:r>
            </m:oMath>
            <w:r w:rsidR="008A063A">
              <w:rPr>
                <w:rFonts w:eastAsiaTheme="minorEastAsia"/>
              </w:rPr>
              <w:t xml:space="preserve">   </w:t>
            </w:r>
            <w:r w:rsidR="008A063A" w:rsidRPr="008C4D5F">
              <w:t>(1.6)</w:t>
            </w:r>
          </w:p>
          <w:p w14:paraId="08E8972F" w14:textId="77777777" w:rsidR="008A063A" w:rsidRPr="00D55E3A" w:rsidRDefault="008A063A" w:rsidP="008A063A">
            <w:pPr>
              <w:spacing w:line="360" w:lineRule="auto"/>
              <w:jc w:val="both"/>
              <w:rPr>
                <w:rFonts w:eastAsiaTheme="minorEastAsia"/>
              </w:rPr>
            </w:pPr>
            <m:oMath>
              <m:r>
                <w:rPr>
                  <w:rFonts w:ascii="Cambria Math" w:eastAsiaTheme="minorEastAsia" w:hAnsi="Cambria Math"/>
                </w:rPr>
                <m:t>β=</m:t>
              </m:r>
              <m:sSup>
                <m:sSupPr>
                  <m:ctrlPr>
                    <w:rPr>
                      <w:rFonts w:ascii="Cambria Math" w:eastAsiaTheme="minorEastAsia" w:hAnsi="Cambria Math"/>
                      <w:i/>
                    </w:rPr>
                  </m:ctrlPr>
                </m:sSupPr>
                <m:e>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m:t>
                          </m:r>
                        </m:sup>
                      </m:sSup>
                      <m:r>
                        <w:rPr>
                          <w:rFonts w:ascii="Cambria Math" w:eastAsiaTheme="minorEastAsia" w:hAnsi="Cambria Math"/>
                        </w:rPr>
                        <m:t>Z</m:t>
                      </m:r>
                    </m:e>
                  </m:d>
                </m:e>
                <m:sup>
                  <m:r>
                    <w:rPr>
                      <w:rFonts w:ascii="Cambria Math" w:eastAsiaTheme="minorEastAsia" w:hAnsi="Cambria Math"/>
                    </w:rPr>
                    <m:t>-1</m:t>
                  </m:r>
                </m:sup>
              </m:sSup>
              <m:sSup>
                <m:sSupPr>
                  <m:ctrlPr>
                    <w:rPr>
                      <w:rFonts w:ascii="Cambria Math" w:eastAsiaTheme="minorEastAsia" w:hAnsi="Cambria Math"/>
                      <w:i/>
                    </w:rPr>
                  </m:ctrlPr>
                </m:sSupPr>
                <m:e>
                  <m:r>
                    <w:rPr>
                      <w:rFonts w:ascii="Cambria Math" w:eastAsiaTheme="minorEastAsia" w:hAnsi="Cambria Math"/>
                    </w:rPr>
                    <m:t>Z</m:t>
                  </m:r>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y-Sx</m:t>
                  </m:r>
                </m:e>
              </m:d>
            </m:oMath>
            <w:r>
              <w:rPr>
                <w:rFonts w:eastAsiaTheme="minorEastAsia"/>
              </w:rPr>
              <w:t xml:space="preserve">         </w:t>
            </w:r>
            <w:r>
              <w:t>(1.7)</w:t>
            </w:r>
          </w:p>
          <w:p w14:paraId="5DFCAE61" w14:textId="77777777" w:rsidR="008A063A" w:rsidRPr="00D55E3A" w:rsidRDefault="008A063A" w:rsidP="008A063A">
            <w:pPr>
              <w:spacing w:line="360" w:lineRule="auto"/>
              <w:jc w:val="both"/>
              <w:rPr>
                <w:rFonts w:eastAsiaTheme="minorEastAsia"/>
              </w:rPr>
            </w:pPr>
            <m:oMath>
              <m:r>
                <w:rPr>
                  <w:rFonts w:ascii="Cambria Math" w:eastAsiaTheme="minorEastAsia" w:hAnsi="Cambria Math"/>
                </w:rPr>
                <m:t>S=</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c</m:t>
                            </m:r>
                          </m:sub>
                        </m:sSub>
                      </m:e>
                      <m:e>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a</m:t>
                            </m:r>
                          </m:sub>
                        </m:sSub>
                      </m:e>
                    </m:mr>
                  </m:m>
                </m:e>
              </m:d>
            </m:oMath>
            <w:r>
              <w:rPr>
                <w:rFonts w:eastAsiaTheme="minorEastAsia"/>
              </w:rPr>
              <w:t xml:space="preserve">      </w:t>
            </w:r>
            <w:r w:rsidRPr="008C4D5F">
              <w:t>(1.8)</w:t>
            </w:r>
          </w:p>
          <w:p w14:paraId="41BAA3F1" w14:textId="77777777" w:rsidR="008A063A" w:rsidRPr="00D55E3A" w:rsidRDefault="008A063A" w:rsidP="008A063A">
            <w:pPr>
              <w:spacing w:line="360" w:lineRule="auto"/>
              <w:jc w:val="both"/>
              <w:rPr>
                <w:rFonts w:eastAsiaTheme="minorEastAsia"/>
              </w:rPr>
            </w:pPr>
            <m:oMath>
              <m:r>
                <w:rPr>
                  <w:rFonts w:ascii="Cambria Math" w:eastAsiaTheme="minorEastAsia" w:hAnsi="Cambria Math"/>
                </w:rPr>
                <m:t>P=</m:t>
              </m:r>
              <m:d>
                <m:dPr>
                  <m:begChr m:val="["/>
                  <m:endChr m:val="]"/>
                  <m:ctrlPr>
                    <w:rPr>
                      <w:rFonts w:ascii="Cambria Math" w:eastAsiaTheme="minorEastAsia" w:hAnsi="Cambria Math"/>
                      <w:i/>
                    </w:rPr>
                  </m:ctrlPr>
                </m:dPr>
                <m:e>
                  <m:m>
                    <m:mPr>
                      <m:mcs>
                        <m:mc>
                          <m:mcPr>
                            <m:count m:val="2"/>
                            <m:mcJc m:val="center"/>
                          </m:mcPr>
                        </m:mc>
                      </m:mcs>
                      <m:ctrlPr>
                        <w:rPr>
                          <w:rFonts w:ascii="Cambria Math" w:eastAsiaTheme="minorEastAsia" w:hAnsi="Cambria Math"/>
                          <w:i/>
                        </w:rPr>
                      </m:ctrlPr>
                    </m:mPr>
                    <m:mr>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c</m:t>
                            </m:r>
                          </m:sub>
                        </m:sSub>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c</m:t>
                            </m:r>
                          </m:sub>
                        </m:sSub>
                      </m:e>
                      <m:e>
                        <m:r>
                          <w:rPr>
                            <w:rFonts w:ascii="Cambria Math" w:eastAsiaTheme="minorEastAsia" w:hAnsi="Cambria Math"/>
                          </w:rPr>
                          <m:t>0</m:t>
                        </m:r>
                      </m:e>
                    </m:mr>
                    <m:mr>
                      <m:e>
                        <m:r>
                          <w:rPr>
                            <w:rFonts w:ascii="Cambria Math" w:eastAsiaTheme="minorEastAsia" w:hAnsi="Cambria Math"/>
                          </w:rPr>
                          <m:t>0</m:t>
                        </m:r>
                      </m:e>
                      <m:e>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a</m:t>
                            </m:r>
                          </m:sub>
                        </m:sSub>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a</m:t>
                            </m:r>
                          </m:sub>
                        </m:sSub>
                      </m:e>
                    </m:mr>
                  </m:m>
                </m:e>
              </m:d>
            </m:oMath>
            <w:r>
              <w:rPr>
                <w:rFonts w:eastAsiaTheme="minorEastAsia"/>
              </w:rPr>
              <w:t xml:space="preserve">      </w:t>
            </w:r>
            <w:r w:rsidRPr="008C4D5F">
              <w:t>(1.9)</w:t>
            </w:r>
          </w:p>
          <w:p w14:paraId="0EBDB32E" w14:textId="77777777" w:rsidR="009629F9" w:rsidRPr="009629F9" w:rsidRDefault="009629F9" w:rsidP="009629F9">
            <w:pPr>
              <w:spacing w:line="360" w:lineRule="auto"/>
              <w:jc w:val="both"/>
              <w:rPr>
                <w:lang w:val="en-US"/>
              </w:rPr>
            </w:pPr>
          </w:p>
          <w:p w14:paraId="155CD9E6" w14:textId="589E054C" w:rsidR="0017737E" w:rsidRPr="00CC24CA" w:rsidRDefault="00296F3D" w:rsidP="0017737E">
            <w:pPr>
              <w:pStyle w:val="Title"/>
              <w:jc w:val="both"/>
              <w:rPr>
                <w:sz w:val="32"/>
                <w:szCs w:val="32"/>
                <w:lang w:val="en-US"/>
              </w:rPr>
            </w:pPr>
            <w:r>
              <w:rPr>
                <w:sz w:val="32"/>
                <w:szCs w:val="32"/>
                <w:lang w:val="en-US"/>
              </w:rPr>
              <w:t>Appendix 2</w:t>
            </w:r>
            <w:r w:rsidR="0017737E">
              <w:rPr>
                <w:sz w:val="32"/>
                <w:szCs w:val="32"/>
                <w:lang w:val="en-US"/>
              </w:rPr>
              <w:t xml:space="preserve"> – </w:t>
            </w:r>
            <w:r w:rsidR="009E7315">
              <w:rPr>
                <w:sz w:val="32"/>
                <w:szCs w:val="32"/>
                <w:lang w:val="en-US"/>
              </w:rPr>
              <w:t>Potential bias in bivariate age-cohort model</w:t>
            </w:r>
          </w:p>
          <w:p w14:paraId="262012B1" w14:textId="77777777" w:rsidR="009E7315" w:rsidRPr="009E7315" w:rsidRDefault="009E7315" w:rsidP="0017737E">
            <w:pPr>
              <w:spacing w:line="360" w:lineRule="auto"/>
              <w:jc w:val="both"/>
              <w:rPr>
                <w:rFonts w:eastAsiaTheme="minorEastAsia"/>
              </w:rPr>
            </w:pPr>
            <w:r w:rsidRPr="009E7315">
              <w:rPr>
                <w:rFonts w:eastAsiaTheme="minorEastAsia"/>
              </w:rPr>
              <w:t xml:space="preserve">Suppose the true APC model is  </w:t>
            </w:r>
            <m:oMath>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c+ε</m:t>
              </m:r>
            </m:oMath>
            <w:r w:rsidRPr="009E7315">
              <w:rPr>
                <w:rFonts w:eastAsiaTheme="minorEastAsia"/>
              </w:rPr>
              <w:t xml:space="preserve"> where </w:t>
            </w:r>
            <m:oMath>
              <m:d>
                <m:dPr>
                  <m:begChr m:val="{"/>
                  <m:endChr m:val="}"/>
                  <m:ctrlPr>
                    <w:rPr>
                      <w:rFonts w:ascii="Cambria Math" w:eastAsiaTheme="minorEastAsia" w:hAnsi="Cambria Math"/>
                      <w:i/>
                    </w:rPr>
                  </m:ctrlPr>
                </m:dPr>
                <m:e>
                  <m:r>
                    <w:rPr>
                      <w:rFonts w:ascii="Cambria Math" w:eastAsiaTheme="minorEastAsia" w:hAnsi="Cambria Math"/>
                    </w:rPr>
                    <m:t>a,p,c</m:t>
                  </m:r>
                </m:e>
              </m:d>
            </m:oMath>
            <w:proofErr w:type="gramStart"/>
            <w:r w:rsidRPr="009E7315">
              <w:rPr>
                <w:rFonts w:eastAsiaTheme="minorEastAsia"/>
              </w:rPr>
              <w:t xml:space="preserve"> are vectors of APC effects and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oMath>
            <w:r w:rsidRPr="009E7315">
              <w:rPr>
                <w:rFonts w:eastAsiaTheme="minorEastAsia"/>
              </w:rPr>
              <w:t xml:space="preserve"> matrices of dummy variables</w:t>
            </w:r>
            <w:proofErr w:type="gramEnd"/>
            <w:r w:rsidRPr="009E7315">
              <w:rPr>
                <w:rFonts w:eastAsiaTheme="minorEastAsia"/>
              </w:rPr>
              <w:t xml:space="preserve">. The bias in a bivariate model containing only age and cohort effects is given by </w:t>
            </w:r>
          </w:p>
          <w:p w14:paraId="3779C460" w14:textId="77777777" w:rsidR="009E7315" w:rsidRDefault="009E7315" w:rsidP="0017737E">
            <w:pPr>
              <w:spacing w:line="360" w:lineRule="auto"/>
              <w:jc w:val="both"/>
              <w:rPr>
                <w:rFonts w:eastAsiaTheme="minorEastAsia"/>
              </w:rPr>
            </w:pPr>
            <m:oMathPara>
              <m:oMath>
                <m:r>
                  <w:rPr>
                    <w:rFonts w:ascii="Cambria Math" w:eastAsiaTheme="minorEastAsia" w:hAnsi="Cambria Math"/>
                  </w:rPr>
                  <m:t>E</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a</m:t>
                          </m:r>
                        </m:e>
                      </m:mr>
                      <m:mr>
                        <m:e>
                          <m:r>
                            <w:rPr>
                              <w:rFonts w:ascii="Cambria Math" w:eastAsiaTheme="minorEastAsia" w:hAnsi="Cambria Math"/>
                            </w:rPr>
                            <m:t>c</m:t>
                          </m:r>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a</m:t>
                          </m:r>
                        </m:e>
                      </m:mr>
                      <m:mr>
                        <m:e>
                          <m:r>
                            <w:rPr>
                              <w:rFonts w:ascii="Cambria Math" w:eastAsiaTheme="minorEastAsia" w:hAnsi="Cambria Math"/>
                            </w:rPr>
                            <m:t>c</m:t>
                          </m:r>
                        </m:e>
                      </m:mr>
                    </m:m>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e>
                    </m:d>
                  </m:e>
                  <m:sup>
                    <m:r>
                      <w:rPr>
                        <w:rFonts w:ascii="Cambria Math" w:eastAsiaTheme="minorEastAsia" w:hAnsi="Cambria Math"/>
                      </w:rPr>
                      <m:t>-1</m:t>
                    </m:r>
                  </m:sup>
                </m:sSup>
                <m:d>
                  <m:dPr>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m:t>
                        </m:r>
                      </m:sub>
                    </m:sSub>
                  </m:e>
                </m:d>
                <m:r>
                  <w:rPr>
                    <w:rFonts w:ascii="Cambria Math" w:eastAsiaTheme="minorEastAsia" w:hAnsi="Cambria Math"/>
                  </w:rPr>
                  <m:t xml:space="preserve"> p</m:t>
                </m:r>
              </m:oMath>
            </m:oMathPara>
          </w:p>
          <w:p w14:paraId="556F79EE" w14:textId="77777777" w:rsidR="009E7315" w:rsidRDefault="009E7315" w:rsidP="0017737E">
            <w:pPr>
              <w:spacing w:line="360" w:lineRule="auto"/>
              <w:jc w:val="both"/>
              <w:rPr>
                <w:rFonts w:eastAsiaTheme="minorEastAsia"/>
              </w:rPr>
            </w:pPr>
            <w:proofErr w:type="gramStart"/>
            <w:r>
              <w:rPr>
                <w:rFonts w:eastAsiaTheme="minorEastAsia"/>
              </w:rPr>
              <w:t>a</w:t>
            </w:r>
            <w:r w:rsidRPr="009E7315">
              <w:rPr>
                <w:rFonts w:eastAsiaTheme="minorEastAsia"/>
              </w:rPr>
              <w:t>nd</w:t>
            </w:r>
            <w:proofErr w:type="gramEnd"/>
            <w:r w:rsidRPr="009E7315">
              <w:rPr>
                <w:rFonts w:eastAsiaTheme="minorEastAsia"/>
              </w:rPr>
              <w:t xml:space="preserve"> accordingly depends on the covariance of the period effects with age and cohort effects, and the </w:t>
            </w:r>
            <w:r w:rsidRPr="009E7315">
              <w:rPr>
                <w:rFonts w:eastAsiaTheme="minorEastAsia"/>
              </w:rPr>
              <w:lastRenderedPageBreak/>
              <w:t>size of the period effects</w:t>
            </w:r>
            <w:r>
              <w:rPr>
                <w:rFonts w:eastAsiaTheme="minorEastAsia"/>
              </w:rPr>
              <w:t>.</w:t>
            </w:r>
          </w:p>
          <w:p w14:paraId="30A57E3F" w14:textId="77777777" w:rsidR="009E7315" w:rsidRDefault="009E7315" w:rsidP="0017737E">
            <w:pPr>
              <w:spacing w:line="360" w:lineRule="auto"/>
              <w:jc w:val="both"/>
              <w:rPr>
                <w:rFonts w:eastAsiaTheme="minorEastAsia"/>
              </w:rPr>
            </w:pPr>
          </w:p>
          <w:p w14:paraId="57E9081C" w14:textId="476A5B6D" w:rsidR="0017737E" w:rsidRDefault="0017737E" w:rsidP="0017737E">
            <w:pPr>
              <w:spacing w:line="360" w:lineRule="auto"/>
              <w:jc w:val="both"/>
              <w:rPr>
                <w:rFonts w:eastAsiaTheme="minorEastAsia"/>
              </w:rPr>
            </w:pPr>
            <w:r>
              <w:rPr>
                <w:rFonts w:eastAsiaTheme="minorEastAsia"/>
              </w:rPr>
              <w:t>F</w:t>
            </w:r>
            <w:r w:rsidRPr="00115519">
              <w:rPr>
                <w:rFonts w:eastAsiaTheme="minorEastAsia"/>
              </w:rPr>
              <w:t xml:space="preserve">igure </w:t>
            </w:r>
            <w:r w:rsidR="00BF767B">
              <w:rPr>
                <w:rFonts w:eastAsiaTheme="minorEastAsia"/>
              </w:rPr>
              <w:t>A3</w:t>
            </w:r>
            <w:r>
              <w:rPr>
                <w:rFonts w:eastAsiaTheme="minorEastAsia"/>
              </w:rPr>
              <w:t xml:space="preserve"> </w:t>
            </w:r>
            <w:r w:rsidRPr="00115519">
              <w:rPr>
                <w:rFonts w:eastAsiaTheme="minorEastAsia"/>
              </w:rPr>
              <w:t xml:space="preserve">below calculates the bias in </w:t>
            </w:r>
            <w:r>
              <w:rPr>
                <w:rFonts w:eastAsiaTheme="minorEastAsia"/>
              </w:rPr>
              <w:t xml:space="preserve">the </w:t>
            </w:r>
            <w:r w:rsidRPr="00115519">
              <w:rPr>
                <w:rFonts w:eastAsiaTheme="minorEastAsia"/>
              </w:rPr>
              <w:t xml:space="preserve">age and cohort effects if there </w:t>
            </w:r>
            <w:r w:rsidR="009C6260">
              <w:rPr>
                <w:rFonts w:eastAsiaTheme="minorEastAsia"/>
              </w:rPr>
              <w:t>is</w:t>
            </w:r>
            <w:r>
              <w:rPr>
                <w:rFonts w:eastAsiaTheme="minorEastAsia"/>
              </w:rPr>
              <w:t xml:space="preserve"> a 1 unit time effect in the first and last years of our sample.</w:t>
            </w:r>
            <w:r>
              <w:rPr>
                <w:rStyle w:val="FootnoteReference"/>
                <w:rFonts w:eastAsiaTheme="minorEastAsia"/>
              </w:rPr>
              <w:footnoteReference w:id="18"/>
            </w:r>
            <w:r w:rsidR="009E7315">
              <w:rPr>
                <w:rFonts w:eastAsiaTheme="minorEastAsia"/>
              </w:rPr>
              <w:t xml:space="preserve"> </w:t>
            </w:r>
            <w:r>
              <w:rPr>
                <w:rFonts w:eastAsiaTheme="minorEastAsia"/>
              </w:rPr>
              <w:t>The figure shows that</w:t>
            </w:r>
            <w:r w:rsidR="006E25B6">
              <w:rPr>
                <w:rFonts w:eastAsiaTheme="minorEastAsia"/>
              </w:rPr>
              <w:t xml:space="preserve"> a negative bias to the age gradient would require a negative time trend, with large negative time effects at the end of the sample. </w:t>
            </w:r>
            <w:r w:rsidRPr="00115519">
              <w:rPr>
                <w:rFonts w:eastAsiaTheme="minorEastAsia"/>
              </w:rPr>
              <w:t xml:space="preserve"> </w:t>
            </w:r>
            <w:r w:rsidR="009C6260">
              <w:rPr>
                <w:rFonts w:eastAsiaTheme="minorEastAsia"/>
              </w:rPr>
              <w:t xml:space="preserve">Intuitively, </w:t>
            </w:r>
            <w:r>
              <w:rPr>
                <w:rFonts w:eastAsiaTheme="minorEastAsia"/>
              </w:rPr>
              <w:t>a</w:t>
            </w:r>
            <w:r w:rsidRPr="00115519">
              <w:rPr>
                <w:rFonts w:eastAsiaTheme="minorEastAsia"/>
              </w:rPr>
              <w:t xml:space="preserve"> positive time effect late in the sample (e.g. a generalised rise in pro-Europeanism in 2016) would be picked up as rise in the pro-Europeanism of the recent cohorts, because only they appear only in the recent data. But given that the 2016 age-pro gradient hasn’t changed (i.e. the time effect hit</w:t>
            </w:r>
            <w:r w:rsidR="009C6260">
              <w:rPr>
                <w:rFonts w:eastAsiaTheme="minorEastAsia"/>
              </w:rPr>
              <w:t>s</w:t>
            </w:r>
            <w:r w:rsidRPr="00115519">
              <w:rPr>
                <w:rFonts w:eastAsiaTheme="minorEastAsia"/>
              </w:rPr>
              <w:t xml:space="preserve"> everyone by definition), this must push down on the estimated age effect for the young, which has knock-on effects for the rest of the age and cohort effects in order to minimise deviations from the other observations. </w:t>
            </w:r>
            <w:r>
              <w:rPr>
                <w:rFonts w:eastAsiaTheme="minorEastAsia"/>
              </w:rPr>
              <w:t xml:space="preserve">Conversely, one </w:t>
            </w:r>
            <w:r w:rsidRPr="00115519">
              <w:rPr>
                <w:rFonts w:eastAsiaTheme="minorEastAsia"/>
              </w:rPr>
              <w:t>observe</w:t>
            </w:r>
            <w:r>
              <w:rPr>
                <w:rFonts w:eastAsiaTheme="minorEastAsia"/>
              </w:rPr>
              <w:t>s</w:t>
            </w:r>
            <w:r w:rsidRPr="00115519">
              <w:rPr>
                <w:rFonts w:eastAsiaTheme="minorEastAsia"/>
              </w:rPr>
              <w:t xml:space="preserve"> the opposite pattern for a time effect at the beginning of the sample (it’s smaller because the sample was smaller that year)</w:t>
            </w:r>
            <w:proofErr w:type="gramStart"/>
            <w:r w:rsidRPr="00115519">
              <w:rPr>
                <w:rFonts w:eastAsiaTheme="minorEastAsia"/>
              </w:rPr>
              <w:t>,</w:t>
            </w:r>
            <w:proofErr w:type="gramEnd"/>
            <w:r w:rsidRPr="00115519">
              <w:rPr>
                <w:rFonts w:eastAsiaTheme="minorEastAsia"/>
              </w:rPr>
              <w:t xml:space="preserve"> the</w:t>
            </w:r>
            <w:r w:rsidR="009C6260">
              <w:rPr>
                <w:rFonts w:eastAsiaTheme="minorEastAsia"/>
              </w:rPr>
              <w:t>n the</w:t>
            </w:r>
            <w:r w:rsidRPr="00115519">
              <w:rPr>
                <w:rFonts w:eastAsiaTheme="minorEastAsia"/>
              </w:rPr>
              <w:t xml:space="preserve"> bias from time effects in the middle of the sample is small.</w:t>
            </w:r>
          </w:p>
          <w:p w14:paraId="21E8F01E" w14:textId="77777777" w:rsidR="009E7315" w:rsidRPr="00115519" w:rsidRDefault="009E7315" w:rsidP="0017737E">
            <w:pPr>
              <w:spacing w:line="360" w:lineRule="auto"/>
              <w:jc w:val="both"/>
              <w:rPr>
                <w:rFonts w:eastAsiaTheme="minorEastAsia"/>
              </w:rPr>
            </w:pPr>
          </w:p>
          <w:p w14:paraId="5C87CFE7" w14:textId="5107F568" w:rsidR="00296F3D" w:rsidRDefault="0017737E" w:rsidP="0017737E">
            <w:pPr>
              <w:spacing w:line="360" w:lineRule="auto"/>
              <w:jc w:val="both"/>
              <w:rPr>
                <w:rFonts w:eastAsiaTheme="minorEastAsia"/>
              </w:rPr>
            </w:pPr>
            <w:r w:rsidRPr="00115519">
              <w:rPr>
                <w:rFonts w:eastAsiaTheme="minorEastAsia"/>
              </w:rPr>
              <w:t>What does this mean in practice? First, all</w:t>
            </w:r>
            <w:r w:rsidR="009C6260">
              <w:rPr>
                <w:rFonts w:eastAsiaTheme="minorEastAsia"/>
              </w:rPr>
              <w:t xml:space="preserve"> of our</w:t>
            </w:r>
            <w:r w:rsidRPr="00115519">
              <w:rPr>
                <w:rFonts w:eastAsiaTheme="minorEastAsia"/>
              </w:rPr>
              <w:t xml:space="preserve"> measures of time effects suggest the</w:t>
            </w:r>
            <w:r w:rsidR="009C6260">
              <w:rPr>
                <w:rFonts w:eastAsiaTheme="minorEastAsia"/>
              </w:rPr>
              <w:t>se</w:t>
            </w:r>
            <w:r w:rsidRPr="00115519">
              <w:rPr>
                <w:rFonts w:eastAsiaTheme="minorEastAsia"/>
              </w:rPr>
              <w:t xml:space="preserve"> are small in 2016 and fairly stationary, </w:t>
            </w:r>
            <w:r>
              <w:rPr>
                <w:rFonts w:eastAsiaTheme="minorEastAsia"/>
              </w:rPr>
              <w:t xml:space="preserve">in contrast to the trend needed </w:t>
            </w:r>
            <w:r w:rsidRPr="00115519">
              <w:rPr>
                <w:rFonts w:eastAsiaTheme="minorEastAsia"/>
              </w:rPr>
              <w:t xml:space="preserve">to generate our results. Second, </w:t>
            </w:r>
            <w:r w:rsidR="009C6260">
              <w:rPr>
                <w:rFonts w:eastAsiaTheme="minorEastAsia"/>
              </w:rPr>
              <w:t xml:space="preserve">this exercise shows </w:t>
            </w:r>
            <w:r w:rsidRPr="00115519">
              <w:rPr>
                <w:rFonts w:eastAsiaTheme="minorEastAsia"/>
              </w:rPr>
              <w:t xml:space="preserve">what </w:t>
            </w:r>
            <w:r>
              <w:rPr>
                <w:rFonts w:eastAsiaTheme="minorEastAsia"/>
              </w:rPr>
              <w:t xml:space="preserve">a sceptic would have to appeal to - </w:t>
            </w:r>
            <w:r w:rsidRPr="00115519">
              <w:rPr>
                <w:rFonts w:eastAsiaTheme="minorEastAsia"/>
              </w:rPr>
              <w:t xml:space="preserve">a pattern of rising time effects </w:t>
            </w:r>
            <w:r>
              <w:rPr>
                <w:rFonts w:eastAsiaTheme="minorEastAsia"/>
              </w:rPr>
              <w:t xml:space="preserve">- for our result on negative ageing effects </w:t>
            </w:r>
            <w:r w:rsidRPr="00115519">
              <w:rPr>
                <w:rFonts w:eastAsiaTheme="minorEastAsia"/>
              </w:rPr>
              <w:t>to be wrong.</w:t>
            </w:r>
          </w:p>
          <w:p w14:paraId="15550D1F" w14:textId="3F5C1B05" w:rsidR="0017737E" w:rsidRDefault="0017737E" w:rsidP="009E7315">
            <w:pPr>
              <w:keepNext/>
              <w:spacing w:line="360" w:lineRule="auto"/>
              <w:jc w:val="both"/>
              <w:rPr>
                <w:rFonts w:eastAsiaTheme="minorEastAsia"/>
                <w:b/>
              </w:rPr>
            </w:pPr>
            <w:r w:rsidRPr="00CE5899">
              <w:rPr>
                <w:rFonts w:eastAsiaTheme="minorEastAsia"/>
                <w:b/>
              </w:rPr>
              <w:t xml:space="preserve">Figure </w:t>
            </w:r>
            <w:r w:rsidR="00296F3D">
              <w:rPr>
                <w:rFonts w:eastAsiaTheme="minorEastAsia"/>
                <w:b/>
              </w:rPr>
              <w:t>A1</w:t>
            </w:r>
            <w:r w:rsidRPr="00CE5899">
              <w:rPr>
                <w:rFonts w:eastAsiaTheme="minorEastAsia"/>
                <w:b/>
              </w:rPr>
              <w:t xml:space="preserve"> – </w:t>
            </w:r>
            <w:r>
              <w:rPr>
                <w:rFonts w:eastAsiaTheme="minorEastAsia"/>
                <w:b/>
              </w:rPr>
              <w:t>hypothetical bias from omitted time effects on age and cohort effects in bivariate model</w:t>
            </w:r>
          </w:p>
          <w:p w14:paraId="7AE50958" w14:textId="74F45DE0" w:rsidR="00F22CB2" w:rsidRPr="00296F3D" w:rsidRDefault="00296F3D" w:rsidP="00296F3D">
            <w:pPr>
              <w:keepNext/>
              <w:spacing w:line="360" w:lineRule="auto"/>
              <w:jc w:val="both"/>
              <w:rPr>
                <w:rFonts w:eastAsiaTheme="minorEastAsia"/>
                <w:b/>
              </w:rPr>
            </w:pPr>
            <w:r>
              <w:rPr>
                <w:rFonts w:eastAsiaTheme="minorEastAsia"/>
                <w:noProof/>
                <w:lang w:val="en-US"/>
              </w:rPr>
              <w:drawing>
                <wp:inline distT="0" distB="0" distL="0" distR="0" wp14:anchorId="332391CF" wp14:editId="538FFEBB">
                  <wp:extent cx="3709359" cy="27468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8555" cy="2753672"/>
                          </a:xfrm>
                          <a:prstGeom prst="rect">
                            <a:avLst/>
                          </a:prstGeom>
                          <a:noFill/>
                          <a:ln>
                            <a:noFill/>
                          </a:ln>
                        </pic:spPr>
                      </pic:pic>
                    </a:graphicData>
                  </a:graphic>
                </wp:inline>
              </w:drawing>
            </w:r>
          </w:p>
        </w:tc>
      </w:tr>
    </w:tbl>
    <w:p w14:paraId="1FFCAFAB" w14:textId="487FA1A2" w:rsidR="009E7315" w:rsidRPr="00CC24CA" w:rsidRDefault="00D704F4" w:rsidP="009E7315">
      <w:pPr>
        <w:pStyle w:val="Title"/>
        <w:jc w:val="both"/>
        <w:rPr>
          <w:sz w:val="32"/>
          <w:szCs w:val="32"/>
          <w:lang w:val="en-US"/>
        </w:rPr>
      </w:pPr>
      <w:r>
        <w:rPr>
          <w:sz w:val="32"/>
          <w:szCs w:val="32"/>
          <w:lang w:val="en-US"/>
        </w:rPr>
        <w:lastRenderedPageBreak/>
        <w:t>Appendix 3</w:t>
      </w:r>
      <w:r w:rsidR="009E7315">
        <w:rPr>
          <w:sz w:val="32"/>
          <w:szCs w:val="32"/>
          <w:lang w:val="en-US"/>
        </w:rPr>
        <w:t xml:space="preserve"> – </w:t>
      </w:r>
      <w:r w:rsidR="00EC6FB1">
        <w:rPr>
          <w:sz w:val="32"/>
          <w:szCs w:val="32"/>
          <w:lang w:val="en-US"/>
        </w:rPr>
        <w:t>A</w:t>
      </w:r>
      <w:r w:rsidR="00E50811">
        <w:rPr>
          <w:sz w:val="32"/>
          <w:szCs w:val="32"/>
          <w:lang w:val="en-US"/>
        </w:rPr>
        <w:t>lternative data</w:t>
      </w:r>
      <w:r w:rsidR="00EC6FB1">
        <w:rPr>
          <w:sz w:val="32"/>
          <w:szCs w:val="32"/>
          <w:lang w:val="en-US"/>
        </w:rPr>
        <w:t xml:space="preserve"> and estimators</w:t>
      </w:r>
    </w:p>
    <w:p w14:paraId="136831FB" w14:textId="77777777" w:rsidR="00EC6FB1" w:rsidRDefault="00E50811" w:rsidP="00296F3D">
      <w:pPr>
        <w:spacing w:line="360" w:lineRule="auto"/>
        <w:jc w:val="both"/>
      </w:pPr>
      <w:r>
        <w:t>P</w:t>
      </w:r>
      <w:r w:rsidR="00296F3D" w:rsidRPr="00296F3D">
        <w:t xml:space="preserve">revious researchers have attempted to solve the problem of perfect collinearity between age, cohort and year effects by </w:t>
      </w:r>
      <w:proofErr w:type="spellStart"/>
      <w:r w:rsidR="00296F3D" w:rsidRPr="00296F3D">
        <w:t>proxying</w:t>
      </w:r>
      <w:proofErr w:type="spellEnd"/>
      <w:r w:rsidR="00296F3D" w:rsidRPr="00296F3D">
        <w:t xml:space="preserve"> time effects using observable variables such as GDP growth. </w:t>
      </w:r>
      <w:r>
        <w:t xml:space="preserve">For example, </w:t>
      </w:r>
      <w:proofErr w:type="spellStart"/>
      <w:r w:rsidR="00296F3D" w:rsidRPr="00296F3D">
        <w:rPr>
          <w:lang w:val="en-US"/>
        </w:rPr>
        <w:t>Dohmen</w:t>
      </w:r>
      <w:proofErr w:type="spellEnd"/>
      <w:r w:rsidR="00296F3D" w:rsidRPr="00296F3D">
        <w:rPr>
          <w:lang w:val="en-US"/>
        </w:rPr>
        <w:t xml:space="preserve"> et al. (2017) estimate cohort and seasoning effects in risk attitudes </w:t>
      </w:r>
      <w:r w:rsidR="00EC6FB1">
        <w:rPr>
          <w:lang w:val="en-US"/>
        </w:rPr>
        <w:t>by using</w:t>
      </w:r>
      <w:r w:rsidR="00296F3D" w:rsidRPr="00296F3D">
        <w:rPr>
          <w:lang w:val="en-US"/>
        </w:rPr>
        <w:t xml:space="preserve"> GDP gro</w:t>
      </w:r>
      <w:r>
        <w:rPr>
          <w:lang w:val="en-US"/>
        </w:rPr>
        <w:t>wth as a proxy for time effects</w:t>
      </w:r>
      <w:r w:rsidR="00296F3D" w:rsidRPr="00296F3D">
        <w:t xml:space="preserve">. Since GDP growth is a nonlinear function of time, the problem of perfect collinearity </w:t>
      </w:r>
      <w:r w:rsidR="00EC6FB1">
        <w:t xml:space="preserve">in the APC terms </w:t>
      </w:r>
      <w:r w:rsidR="00296F3D" w:rsidRPr="00296F3D">
        <w:t xml:space="preserve">dissolves. </w:t>
      </w:r>
    </w:p>
    <w:p w14:paraId="6E1E0951" w14:textId="0E9C83DE" w:rsidR="00296F3D" w:rsidRPr="00296F3D" w:rsidRDefault="00296F3D" w:rsidP="00296F3D">
      <w:pPr>
        <w:spacing w:line="360" w:lineRule="auto"/>
        <w:jc w:val="both"/>
      </w:pPr>
      <w:r w:rsidRPr="00296F3D">
        <w:t xml:space="preserve">The performance of this approach depends on how good a proxy </w:t>
      </w:r>
      <w:r w:rsidR="008E6B1B">
        <w:t xml:space="preserve">for time effects </w:t>
      </w:r>
      <w:r w:rsidRPr="00296F3D">
        <w:t xml:space="preserve">is available.  </w:t>
      </w:r>
      <w:r w:rsidR="00E50811">
        <w:t>In our context</w:t>
      </w:r>
      <w:r w:rsidRPr="00296F3D">
        <w:t xml:space="preserve"> it can </w:t>
      </w:r>
      <w:r w:rsidR="00E50811">
        <w:t xml:space="preserve">be </w:t>
      </w:r>
      <w:r w:rsidRPr="00296F3D">
        <w:t xml:space="preserve">plausibly argued that </w:t>
      </w:r>
      <w:r w:rsidR="00EC6FB1">
        <w:t xml:space="preserve">time-varying </w:t>
      </w:r>
      <w:r w:rsidRPr="00296F3D">
        <w:t xml:space="preserve">economic conditions, as reflected in GDP growth or </w:t>
      </w:r>
      <w:r w:rsidR="00166267">
        <w:t xml:space="preserve">the </w:t>
      </w:r>
      <w:r w:rsidRPr="00296F3D">
        <w:t>unemployment rate, shape</w:t>
      </w:r>
      <w:r w:rsidR="008E6B1B">
        <w:t xml:space="preserve"> variations over time in</w:t>
      </w:r>
      <w:r w:rsidRPr="00296F3D">
        <w:t xml:space="preserve"> attitudes toward the E</w:t>
      </w:r>
      <w:r w:rsidR="008E6B1B">
        <w:t>U</w:t>
      </w:r>
      <w:r w:rsidRPr="00296F3D">
        <w:t xml:space="preserve">, perhaps because unemployment or slow growth is blamed on the EU, perhaps because unemployment or slow growth affect support for domestic political parties that are pro- and anti-EU, </w:t>
      </w:r>
      <w:r w:rsidR="00AA1382">
        <w:t>and</w:t>
      </w:r>
      <w:r w:rsidRPr="00296F3D">
        <w:t xml:space="preserve"> perhaps for other reasons. </w:t>
      </w:r>
    </w:p>
    <w:p w14:paraId="2E4B8A4C" w14:textId="33674148" w:rsidR="00E50811" w:rsidRDefault="00EC6FB1" w:rsidP="00296F3D">
      <w:pPr>
        <w:spacing w:line="360" w:lineRule="auto"/>
        <w:jc w:val="both"/>
        <w:rPr>
          <w:lang w:val="en-US"/>
        </w:rPr>
      </w:pPr>
      <w:r>
        <w:t>W</w:t>
      </w:r>
      <w:r w:rsidR="00296F3D" w:rsidRPr="00296F3D">
        <w:t>e therefore present an alternative set of estimat</w:t>
      </w:r>
      <w:r w:rsidR="00E50811">
        <w:t>es</w:t>
      </w:r>
      <w:r w:rsidR="00AA1382">
        <w:t xml:space="preserve"> using</w:t>
      </w:r>
      <w:r w:rsidR="00296F3D" w:rsidRPr="00296F3D">
        <w:t xml:space="preserve"> this approach</w:t>
      </w:r>
      <w:r w:rsidR="008E6B1B">
        <w:t>.</w:t>
      </w:r>
      <w:r w:rsidR="00296F3D" w:rsidRPr="00296F3D">
        <w:t xml:space="preserve">  </w:t>
      </w:r>
      <w:r w:rsidR="00296F3D" w:rsidRPr="00296F3D">
        <w:rPr>
          <w:lang w:val="en-US"/>
        </w:rPr>
        <w:t xml:space="preserve">Unemployment rate and GDP growth are </w:t>
      </w:r>
      <w:r w:rsidR="00AA1382">
        <w:rPr>
          <w:lang w:val="en-US"/>
        </w:rPr>
        <w:t>entered</w:t>
      </w:r>
      <w:r w:rsidR="00296F3D" w:rsidRPr="00296F3D">
        <w:rPr>
          <w:lang w:val="en-US"/>
        </w:rPr>
        <w:t xml:space="preserve"> both separately and interact</w:t>
      </w:r>
      <w:r>
        <w:rPr>
          <w:lang w:val="en-US"/>
        </w:rPr>
        <w:t>ively</w:t>
      </w:r>
      <w:r w:rsidR="00296F3D" w:rsidRPr="00296F3D">
        <w:rPr>
          <w:lang w:val="en-US"/>
        </w:rPr>
        <w:t xml:space="preserve"> in each year to </w:t>
      </w:r>
      <w:r>
        <w:rPr>
          <w:lang w:val="en-US"/>
        </w:rPr>
        <w:t>capture</w:t>
      </w:r>
      <w:r w:rsidR="00296F3D" w:rsidRPr="00296F3D">
        <w:rPr>
          <w:lang w:val="en-US"/>
        </w:rPr>
        <w:t xml:space="preserve"> time fixed effects. </w:t>
      </w:r>
      <w:r w:rsidR="00E50811">
        <w:rPr>
          <w:lang w:val="en-US"/>
        </w:rPr>
        <w:t xml:space="preserve">This allows for </w:t>
      </w:r>
      <w:r w:rsidR="00296F3D" w:rsidRPr="00296F3D">
        <w:rPr>
          <w:lang w:val="en-US"/>
        </w:rPr>
        <w:t xml:space="preserve">direct comparison with the results discussed in the </w:t>
      </w:r>
      <w:r w:rsidR="00E50811">
        <w:rPr>
          <w:lang w:val="en-US"/>
        </w:rPr>
        <w:t>main body of th</w:t>
      </w:r>
      <w:r w:rsidR="00AA1382">
        <w:rPr>
          <w:lang w:val="en-US"/>
        </w:rPr>
        <w:t>e</w:t>
      </w:r>
      <w:r w:rsidR="00E50811">
        <w:rPr>
          <w:lang w:val="en-US"/>
        </w:rPr>
        <w:t xml:space="preserve"> </w:t>
      </w:r>
      <w:r w:rsidR="00296F3D" w:rsidRPr="00296F3D">
        <w:rPr>
          <w:lang w:val="en-US"/>
        </w:rPr>
        <w:t>paper.</w:t>
      </w:r>
      <w:r w:rsidR="008E6B1B">
        <w:rPr>
          <w:lang w:val="en-US"/>
        </w:rPr>
        <w:t xml:space="preserve"> </w:t>
      </w:r>
      <w:r w:rsidR="008E6B1B">
        <w:t>We find that our central results for seasoning and cohort effects are unchanged</w:t>
      </w:r>
      <w:r w:rsidR="008E6B1B" w:rsidRPr="00296F3D">
        <w:t>.</w:t>
      </w:r>
      <w:r w:rsidR="00E50811">
        <w:rPr>
          <w:lang w:val="en-US"/>
        </w:rPr>
        <w:t xml:space="preserve">  </w:t>
      </w:r>
    </w:p>
    <w:p w14:paraId="3B819ADC" w14:textId="5C2FC0A2" w:rsidR="00E50811" w:rsidRDefault="00E50811" w:rsidP="00296F3D">
      <w:pPr>
        <w:spacing w:line="360" w:lineRule="auto"/>
        <w:jc w:val="both"/>
        <w:rPr>
          <w:lang w:val="en-US"/>
        </w:rPr>
      </w:pPr>
      <w:r>
        <w:rPr>
          <w:lang w:val="en-US"/>
        </w:rPr>
        <w:t xml:space="preserve">In addition, we </w:t>
      </w:r>
      <w:r w:rsidR="008D5AEB">
        <w:rPr>
          <w:lang w:val="en-US"/>
        </w:rPr>
        <w:t>pr</w:t>
      </w:r>
      <w:r w:rsidR="00296F3D" w:rsidRPr="00296F3D">
        <w:rPr>
          <w:lang w:val="en-US"/>
        </w:rPr>
        <w:t xml:space="preserve">esent results </w:t>
      </w:r>
      <w:r>
        <w:rPr>
          <w:lang w:val="en-US"/>
        </w:rPr>
        <w:t xml:space="preserve">when </w:t>
      </w:r>
      <w:r w:rsidR="00296F3D" w:rsidRPr="00296F3D">
        <w:rPr>
          <w:lang w:val="en-US"/>
        </w:rPr>
        <w:t>applying our analysis to other datasets</w:t>
      </w:r>
      <w:r w:rsidR="00EC6FB1">
        <w:rPr>
          <w:lang w:val="en-US"/>
        </w:rPr>
        <w:t>:</w:t>
      </w:r>
      <w:r w:rsidR="00296F3D" w:rsidRPr="00296F3D">
        <w:rPr>
          <w:lang w:val="en-US"/>
        </w:rPr>
        <w:t xml:space="preserve"> the European Social Survey (ESS) and the Briti</w:t>
      </w:r>
      <w:r w:rsidR="00F87338">
        <w:rPr>
          <w:lang w:val="en-US"/>
        </w:rPr>
        <w:t>sh Social Attitudes Survey (BSA). Both the ESS and BSA</w:t>
      </w:r>
      <w:r w:rsidR="00296F3D" w:rsidRPr="00296F3D">
        <w:rPr>
          <w:lang w:val="en-US"/>
        </w:rPr>
        <w:t xml:space="preserve"> are repeated cross-sections.  While the former has been administered biannually since 2002, the latter has been administered annually since 1983 except for 1988 and 1992. 2016 is the </w:t>
      </w:r>
      <w:r w:rsidR="00EC6FB1">
        <w:rPr>
          <w:lang w:val="en-US"/>
        </w:rPr>
        <w:t>latest wave</w:t>
      </w:r>
      <w:r w:rsidR="00F87338">
        <w:rPr>
          <w:lang w:val="en-US"/>
        </w:rPr>
        <w:t xml:space="preserve"> of the ESS-BSA</w:t>
      </w:r>
      <w:r w:rsidR="00296F3D" w:rsidRPr="00296F3D">
        <w:rPr>
          <w:lang w:val="en-US"/>
        </w:rPr>
        <w:t>.</w:t>
      </w:r>
      <w:r w:rsidRPr="00296F3D">
        <w:rPr>
          <w:vertAlign w:val="superscript"/>
          <w:lang w:val="en-US"/>
        </w:rPr>
        <w:footnoteReference w:id="19"/>
      </w:r>
      <w:r w:rsidR="00296F3D" w:rsidRPr="00296F3D">
        <w:rPr>
          <w:lang w:val="en-US"/>
        </w:rPr>
        <w:t xml:space="preserve"> </w:t>
      </w:r>
    </w:p>
    <w:p w14:paraId="02C7B2E2" w14:textId="0D4B2E5C" w:rsidR="00296F3D" w:rsidRPr="00296F3D" w:rsidRDefault="00EC6FB1" w:rsidP="00296F3D">
      <w:pPr>
        <w:spacing w:line="360" w:lineRule="auto"/>
        <w:jc w:val="both"/>
        <w:rPr>
          <w:lang w:val="en-US"/>
        </w:rPr>
      </w:pPr>
      <w:r>
        <w:rPr>
          <w:lang w:val="en-US"/>
        </w:rPr>
        <w:t>S</w:t>
      </w:r>
      <w:r w:rsidR="00296F3D" w:rsidRPr="00296F3D">
        <w:rPr>
          <w:lang w:val="en-US"/>
        </w:rPr>
        <w:t>ince they are similar in question-and-answer structure, we merge</w:t>
      </w:r>
      <w:r w:rsidR="00F87338">
        <w:rPr>
          <w:lang w:val="en-US"/>
        </w:rPr>
        <w:t xml:space="preserve"> the subsets of the ESS and BSA</w:t>
      </w:r>
      <w:r w:rsidR="00296F3D" w:rsidRPr="00296F3D">
        <w:rPr>
          <w:lang w:val="en-US"/>
        </w:rPr>
        <w:t xml:space="preserve"> containing our variables of interest. The key variable is a binary dummy coding answer</w:t>
      </w:r>
      <w:r w:rsidR="00166267">
        <w:rPr>
          <w:lang w:val="en-US"/>
        </w:rPr>
        <w:t>s</w:t>
      </w:r>
      <w:r w:rsidR="00296F3D" w:rsidRPr="00296F3D">
        <w:rPr>
          <w:lang w:val="en-US"/>
        </w:rPr>
        <w:t xml:space="preserve"> to the question “do you want to remain member of the EU/EEC?” This is observed in 1983-87, 1989-91, 1997, </w:t>
      </w:r>
      <w:r w:rsidR="008D5AEB">
        <w:rPr>
          <w:lang w:val="en-US"/>
        </w:rPr>
        <w:t xml:space="preserve">and </w:t>
      </w:r>
      <w:r w:rsidR="00296F3D" w:rsidRPr="00296F3D">
        <w:rPr>
          <w:lang w:val="en-US"/>
        </w:rPr>
        <w:t xml:space="preserve">2013-16.  </w:t>
      </w:r>
      <w:r w:rsidR="008E6B1B">
        <w:rPr>
          <w:lang w:val="en-US"/>
        </w:rPr>
        <w:t>D</w:t>
      </w:r>
      <w:r w:rsidR="00296F3D" w:rsidRPr="00296F3D">
        <w:rPr>
          <w:lang w:val="en-US"/>
        </w:rPr>
        <w:t>espite the longer and more fr</w:t>
      </w:r>
      <w:r w:rsidR="00F87338">
        <w:rPr>
          <w:lang w:val="en-US"/>
        </w:rPr>
        <w:t>equent time series, the ESS-BSA</w:t>
      </w:r>
      <w:r w:rsidR="00296F3D" w:rsidRPr="00296F3D">
        <w:rPr>
          <w:lang w:val="en-US"/>
        </w:rPr>
        <w:t xml:space="preserve"> pooled cross-section provides valid responses from 24,875 individuals, a much smaller sample than the BES.</w:t>
      </w:r>
    </w:p>
    <w:p w14:paraId="4226440B" w14:textId="4067AE9D" w:rsidR="00296F3D" w:rsidRPr="00296F3D" w:rsidRDefault="00EC6FB1" w:rsidP="00296F3D">
      <w:pPr>
        <w:spacing w:line="360" w:lineRule="auto"/>
        <w:jc w:val="both"/>
        <w:rPr>
          <w:b/>
          <w:lang w:val="en-US"/>
        </w:rPr>
      </w:pPr>
      <w:r>
        <w:rPr>
          <w:lang w:val="en-US"/>
        </w:rPr>
        <w:t>I</w:t>
      </w:r>
      <w:r w:rsidR="00296F3D" w:rsidRPr="00296F3D">
        <w:rPr>
          <w:lang w:val="en-US"/>
        </w:rPr>
        <w:t>n bot</w:t>
      </w:r>
      <w:r>
        <w:rPr>
          <w:lang w:val="en-US"/>
        </w:rPr>
        <w:t>h t</w:t>
      </w:r>
      <w:r w:rsidR="0018642C">
        <w:rPr>
          <w:lang w:val="en-US"/>
        </w:rPr>
        <w:t>he ESS-BSA</w:t>
      </w:r>
      <w:r>
        <w:rPr>
          <w:lang w:val="en-US"/>
        </w:rPr>
        <w:t xml:space="preserve"> and the BES</w:t>
      </w:r>
      <w:r w:rsidR="00296F3D" w:rsidRPr="00296F3D">
        <w:rPr>
          <w:lang w:val="en-US"/>
        </w:rPr>
        <w:t xml:space="preserve"> the dependent variable is bounded by zero and one</w:t>
      </w:r>
      <w:r>
        <w:rPr>
          <w:lang w:val="en-US"/>
        </w:rPr>
        <w:t>. We therefore</w:t>
      </w:r>
      <w:r w:rsidR="00296F3D" w:rsidRPr="00296F3D">
        <w:rPr>
          <w:lang w:val="en-US"/>
        </w:rPr>
        <w:t xml:space="preserve"> adopt a </w:t>
      </w:r>
      <w:proofErr w:type="spellStart"/>
      <w:r w:rsidR="00296F3D" w:rsidRPr="00296F3D">
        <w:rPr>
          <w:lang w:val="en-US"/>
        </w:rPr>
        <w:t>probit</w:t>
      </w:r>
      <w:proofErr w:type="spellEnd"/>
      <w:r w:rsidR="00296F3D" w:rsidRPr="00296F3D">
        <w:rPr>
          <w:lang w:val="en-US"/>
        </w:rPr>
        <w:t xml:space="preserve"> model for our estimat</w:t>
      </w:r>
      <w:r>
        <w:rPr>
          <w:lang w:val="en-US"/>
        </w:rPr>
        <w:t>e</w:t>
      </w:r>
      <w:r w:rsidR="00296F3D" w:rsidRPr="00296F3D">
        <w:rPr>
          <w:lang w:val="en-US"/>
        </w:rPr>
        <w:t>s</w:t>
      </w:r>
      <w:r w:rsidR="00E50811">
        <w:rPr>
          <w:lang w:val="en-US"/>
        </w:rPr>
        <w:t>.</w:t>
      </w:r>
      <w:r w:rsidR="00F33E3A">
        <w:rPr>
          <w:rStyle w:val="FootnoteReference"/>
          <w:lang w:val="en-US"/>
        </w:rPr>
        <w:footnoteReference w:id="20"/>
      </w:r>
      <w:r w:rsidR="00296F3D" w:rsidRPr="00296F3D">
        <w:rPr>
          <w:lang w:val="en-US"/>
        </w:rPr>
        <w:t xml:space="preserve"> We </w:t>
      </w:r>
      <w:r w:rsidR="00E50811">
        <w:rPr>
          <w:lang w:val="en-US"/>
        </w:rPr>
        <w:t>also</w:t>
      </w:r>
      <w:r w:rsidR="00296F3D" w:rsidRPr="00296F3D">
        <w:rPr>
          <w:lang w:val="en-US"/>
        </w:rPr>
        <w:t xml:space="preserve"> estimate logit regressions to test the sensitivity of our results to the choice of link function, </w:t>
      </w:r>
      <w:r>
        <w:rPr>
          <w:lang w:val="en-US"/>
        </w:rPr>
        <w:t>finding</w:t>
      </w:r>
      <w:r w:rsidR="00296F3D" w:rsidRPr="00296F3D">
        <w:rPr>
          <w:lang w:val="en-US"/>
        </w:rPr>
        <w:t xml:space="preserve"> no significant differences. </w:t>
      </w:r>
    </w:p>
    <w:p w14:paraId="510D3FD3" w14:textId="003814BB" w:rsidR="00296F3D" w:rsidRPr="00296F3D" w:rsidRDefault="00296F3D" w:rsidP="00296F3D">
      <w:pPr>
        <w:spacing w:line="360" w:lineRule="auto"/>
        <w:jc w:val="both"/>
        <w:rPr>
          <w:lang w:val="en-US"/>
        </w:rPr>
      </w:pPr>
      <w:r w:rsidRPr="00296F3D">
        <w:rPr>
          <w:lang w:val="en-US"/>
        </w:rPr>
        <w:lastRenderedPageBreak/>
        <w:t>We define cohorts as 5 year intervals. This is a reasonable compromise between accuracy (given by the homogeneity in unobservable characteristics affecting EU sentiment linked to the birth year) and significance (or statistical precision, coming from the size of the cohort).</w:t>
      </w:r>
      <w:r w:rsidR="00EC6FB1">
        <w:rPr>
          <w:lang w:val="en-US"/>
        </w:rPr>
        <w:t xml:space="preserve"> </w:t>
      </w:r>
    </w:p>
    <w:p w14:paraId="4B738BA8" w14:textId="301F3004" w:rsidR="00296F3D" w:rsidRPr="00296F3D" w:rsidRDefault="00296F3D" w:rsidP="00296F3D">
      <w:pPr>
        <w:spacing w:line="360" w:lineRule="auto"/>
        <w:jc w:val="both"/>
        <w:rPr>
          <w:lang w:val="en-US"/>
        </w:rPr>
      </w:pPr>
      <w:r w:rsidRPr="00296F3D">
        <w:rPr>
          <w:lang w:val="en-US"/>
        </w:rPr>
        <w:t>The model is specified as:</w:t>
      </w:r>
    </w:p>
    <w:p w14:paraId="2AC183B4" w14:textId="10AC446C" w:rsidR="00296F3D" w:rsidRPr="00296F3D" w:rsidRDefault="00296F3D" w:rsidP="00296F3D">
      <w:pPr>
        <w:spacing w:line="360" w:lineRule="auto"/>
        <w:jc w:val="both"/>
      </w:pPr>
      <w:r w:rsidRPr="00296F3D">
        <w:t xml:space="preserve">         </w:t>
      </w:r>
      <m:oMath>
        <m:r>
          <m:rPr>
            <m:sty m:val="p"/>
          </m:rPr>
          <w:rPr>
            <w:rFonts w:ascii="Cambria Math" w:hAnsi="Cambria Math"/>
          </w:rPr>
          <w:br/>
        </m:r>
      </m:oMath>
      <m:oMathPara>
        <m:oMath>
          <m:d>
            <m:dPr>
              <m:ctrlPr>
                <w:rPr>
                  <w:rFonts w:ascii="Cambria Math" w:hAnsi="Cambria Math"/>
                  <w:i/>
                </w:rPr>
              </m:ctrlPr>
            </m:dPr>
            <m:e>
              <m:r>
                <w:rPr>
                  <w:rFonts w:ascii="Cambria Math" w:hAnsi="Cambria Math"/>
                </w:rPr>
                <m:t>1</m:t>
              </m:r>
            </m:e>
          </m:d>
          <m:r>
            <w:rPr>
              <w:rFonts w:ascii="Cambria Math" w:hAnsi="Cambria Math"/>
            </w:rPr>
            <m:t xml:space="preserve">   </m:t>
          </m:r>
          <m:sSub>
            <m:sSubPr>
              <m:ctrlPr>
                <w:rPr>
                  <w:rFonts w:ascii="Cambria Math" w:hAnsi="Cambria Math"/>
                  <w:i/>
                </w:rPr>
              </m:ctrlPr>
            </m:sSubPr>
            <m:e>
              <m:r>
                <w:rPr>
                  <w:rFonts w:ascii="Cambria Math" w:hAnsi="Cambria Math"/>
                </w:rPr>
                <m:t>ProEU</m:t>
              </m:r>
            </m:e>
            <m:sub>
              <m:r>
                <w:rPr>
                  <w:rFonts w:ascii="Cambria Math" w:hAnsi="Cambria Math"/>
                </w:rPr>
                <m:t>it</m:t>
              </m:r>
            </m:sub>
          </m:sSub>
          <m:r>
            <w:rPr>
              <w:rFonts w:ascii="Cambria Math" w:hAnsi="Cambria Math"/>
            </w:rPr>
            <m:t>=α+β</m:t>
          </m:r>
          <m:sSub>
            <m:sSubPr>
              <m:ctrlPr>
                <w:rPr>
                  <w:rFonts w:ascii="Cambria Math" w:hAnsi="Cambria Math"/>
                  <w:i/>
                </w:rPr>
              </m:ctrlPr>
            </m:sSubPr>
            <m:e>
              <m:r>
                <w:rPr>
                  <w:rFonts w:ascii="Cambria Math" w:hAnsi="Cambria Math"/>
                </w:rPr>
                <m:t>Age</m:t>
              </m:r>
            </m:e>
            <m:sub>
              <m:r>
                <w:rPr>
                  <w:rFonts w:ascii="Cambria Math" w:hAnsi="Cambria Math"/>
                </w:rPr>
                <m:t>it</m:t>
              </m:r>
            </m:sub>
          </m:sSub>
          <m:r>
            <w:rPr>
              <w:rFonts w:ascii="Cambria Math" w:hAnsi="Cambria Math"/>
            </w:rPr>
            <m:t>+</m:t>
          </m:r>
          <m:nary>
            <m:naryPr>
              <m:chr m:val="∑"/>
              <m:limLoc m:val="undOvr"/>
              <m:ctrlPr>
                <w:rPr>
                  <w:rFonts w:ascii="Cambria Math" w:hAnsi="Cambria Math"/>
                  <w:i/>
                </w:rPr>
              </m:ctrlPr>
            </m:naryPr>
            <m:sub>
              <m:r>
                <w:rPr>
                  <w:rFonts w:ascii="Cambria Math" w:hAnsi="Cambria Math"/>
                </w:rPr>
                <m:t>j=1980</m:t>
              </m:r>
            </m:sub>
            <m:sup>
              <m:r>
                <w:rPr>
                  <w:rFonts w:ascii="Cambria Math" w:hAnsi="Cambria Math"/>
                </w:rPr>
                <m:t>2000</m:t>
              </m:r>
            </m:sup>
            <m:e>
              <m:r>
                <w:rPr>
                  <w:rFonts w:ascii="Cambria Math" w:hAnsi="Cambria Math"/>
                </w:rPr>
                <m:t>θ</m:t>
              </m:r>
              <m:sSub>
                <m:sSubPr>
                  <m:ctrlPr>
                    <w:rPr>
                      <w:rFonts w:ascii="Cambria Math" w:hAnsi="Cambria Math"/>
                      <w:i/>
                    </w:rPr>
                  </m:ctrlPr>
                </m:sSubPr>
                <m:e>
                  <m:r>
                    <w:rPr>
                      <w:rFonts w:ascii="Cambria Math" w:hAnsi="Cambria Math"/>
                    </w:rPr>
                    <m:t>Cohort</m:t>
                  </m:r>
                </m:e>
                <m:sub>
                  <m:r>
                    <w:rPr>
                      <w:rFonts w:ascii="Cambria Math" w:hAnsi="Cambria Math"/>
                    </w:rPr>
                    <m:t>j+5,it</m:t>
                  </m:r>
                </m:sub>
              </m:sSub>
            </m:e>
          </m:nary>
          <m:r>
            <w:rPr>
              <w:rFonts w:ascii="Cambria Math" w:hAnsi="Cambria Math"/>
            </w:rPr>
            <m:t>+γ</m:t>
          </m:r>
          <m:sSub>
            <m:sSubPr>
              <m:ctrlPr>
                <w:rPr>
                  <w:rFonts w:ascii="Cambria Math" w:hAnsi="Cambria Math"/>
                  <w:i/>
                </w:rPr>
              </m:ctrlPr>
            </m:sSubPr>
            <m:e>
              <m:r>
                <w:rPr>
                  <w:rFonts w:ascii="Cambria Math" w:hAnsi="Cambria Math"/>
                </w:rPr>
                <m:t>GDPg</m:t>
              </m:r>
            </m:e>
            <m:sub>
              <m:r>
                <w:rPr>
                  <w:rFonts w:ascii="Cambria Math" w:hAnsi="Cambria Math"/>
                </w:rPr>
                <m:t>it</m:t>
              </m:r>
            </m:sub>
          </m:sSub>
          <m:r>
            <w:rPr>
              <w:rFonts w:ascii="Cambria Math" w:hAnsi="Cambria Math"/>
            </w:rPr>
            <m:t>+δ</m:t>
          </m:r>
          <m:sSub>
            <m:sSubPr>
              <m:ctrlPr>
                <w:rPr>
                  <w:rFonts w:ascii="Cambria Math" w:hAnsi="Cambria Math"/>
                  <w:i/>
                </w:rPr>
              </m:ctrlPr>
            </m:sSubPr>
            <m:e>
              <m:r>
                <w:rPr>
                  <w:rFonts w:ascii="Cambria Math" w:hAnsi="Cambria Math"/>
                </w:rPr>
                <m:t>UR</m:t>
              </m:r>
            </m:e>
            <m:sub>
              <m:r>
                <w:rPr>
                  <w:rFonts w:ascii="Cambria Math" w:hAnsi="Cambria Math"/>
                </w:rPr>
                <m:t>it</m:t>
              </m:r>
            </m:sub>
          </m:sSub>
          <m:r>
            <w:rPr>
              <w:rFonts w:ascii="Cambria Math" w:hAnsi="Cambria Math"/>
            </w:rPr>
            <m:t>+φ(GDPg×</m:t>
          </m:r>
          <m:sSub>
            <m:sSubPr>
              <m:ctrlPr>
                <w:rPr>
                  <w:rFonts w:ascii="Cambria Math" w:hAnsi="Cambria Math"/>
                  <w:i/>
                </w:rPr>
              </m:ctrlPr>
            </m:sSubPr>
            <m:e>
              <m:r>
                <w:rPr>
                  <w:rFonts w:ascii="Cambria Math" w:hAnsi="Cambria Math"/>
                </w:rPr>
                <m:t>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m:oMathPara>
    </w:p>
    <w:p w14:paraId="0975C56F" w14:textId="08698043" w:rsidR="00296F3D" w:rsidRPr="00296F3D" w:rsidRDefault="00296F3D" w:rsidP="00296F3D">
      <w:pPr>
        <w:spacing w:line="360" w:lineRule="auto"/>
        <w:jc w:val="both"/>
      </w:pPr>
      <w:r w:rsidRPr="00296F3D">
        <w:t xml:space="preserve">In addition, we </w:t>
      </w:r>
      <w:r w:rsidR="008D5AEB">
        <w:t xml:space="preserve">control </w:t>
      </w:r>
      <w:r w:rsidRPr="00296F3D">
        <w:t>or a third order polynomial of education:</w:t>
      </w:r>
    </w:p>
    <w:p w14:paraId="0623F783" w14:textId="71CCD587" w:rsidR="00296F3D" w:rsidRPr="00296F3D" w:rsidRDefault="00E621E0" w:rsidP="00296F3D">
      <w:pPr>
        <w:spacing w:line="360" w:lineRule="auto"/>
        <w:jc w:val="both"/>
      </w:pPr>
      <m:oMathPara>
        <m:oMath>
          <m:d>
            <m:dPr>
              <m:ctrlPr>
                <w:rPr>
                  <w:rFonts w:ascii="Cambria Math" w:hAnsi="Cambria Math"/>
                  <w:i/>
                </w:rPr>
              </m:ctrlPr>
            </m:dPr>
            <m:e>
              <m:r>
                <w:rPr>
                  <w:rFonts w:ascii="Cambria Math" w:hAnsi="Cambria Math"/>
                </w:rPr>
                <m:t>2</m:t>
              </m:r>
            </m:e>
          </m:d>
          <m:r>
            <w:rPr>
              <w:rFonts w:ascii="Cambria Math" w:hAnsi="Cambria Math"/>
            </w:rPr>
            <m:t xml:space="preserve">   </m:t>
          </m:r>
          <m:sSub>
            <m:sSubPr>
              <m:ctrlPr>
                <w:rPr>
                  <w:rFonts w:ascii="Cambria Math" w:hAnsi="Cambria Math"/>
                  <w:i/>
                </w:rPr>
              </m:ctrlPr>
            </m:sSubPr>
            <m:e>
              <m:r>
                <w:rPr>
                  <w:rFonts w:ascii="Cambria Math" w:hAnsi="Cambria Math"/>
                </w:rPr>
                <m:t>ProEU</m:t>
              </m:r>
            </m:e>
            <m:sub>
              <m:r>
                <w:rPr>
                  <w:rFonts w:ascii="Cambria Math" w:hAnsi="Cambria Math"/>
                </w:rPr>
                <m:t>it</m:t>
              </m:r>
            </m:sub>
          </m:sSub>
          <m:r>
            <w:rPr>
              <w:rFonts w:ascii="Cambria Math" w:hAnsi="Cambria Math"/>
            </w:rPr>
            <m:t>=α+β</m:t>
          </m:r>
          <m:sSub>
            <m:sSubPr>
              <m:ctrlPr>
                <w:rPr>
                  <w:rFonts w:ascii="Cambria Math" w:hAnsi="Cambria Math"/>
                  <w:i/>
                </w:rPr>
              </m:ctrlPr>
            </m:sSubPr>
            <m:e>
              <m:r>
                <w:rPr>
                  <w:rFonts w:ascii="Cambria Math" w:hAnsi="Cambria Math"/>
                </w:rPr>
                <m:t>Age</m:t>
              </m:r>
            </m:e>
            <m:sub>
              <m:r>
                <w:rPr>
                  <w:rFonts w:ascii="Cambria Math" w:hAnsi="Cambria Math"/>
                </w:rPr>
                <m:t>it</m:t>
              </m:r>
            </m:sub>
          </m:sSub>
          <m:r>
            <w:rPr>
              <w:rFonts w:ascii="Cambria Math" w:hAnsi="Cambria Math"/>
            </w:rPr>
            <m:t>+</m:t>
          </m:r>
          <m:nary>
            <m:naryPr>
              <m:chr m:val="∑"/>
              <m:limLoc m:val="undOvr"/>
              <m:ctrlPr>
                <w:rPr>
                  <w:rFonts w:ascii="Cambria Math" w:hAnsi="Cambria Math"/>
                  <w:i/>
                </w:rPr>
              </m:ctrlPr>
            </m:naryPr>
            <m:sub>
              <m:r>
                <w:rPr>
                  <w:rFonts w:ascii="Cambria Math" w:hAnsi="Cambria Math"/>
                </w:rPr>
                <m:t>j=1980</m:t>
              </m:r>
            </m:sub>
            <m:sup>
              <m:r>
                <w:rPr>
                  <w:rFonts w:ascii="Cambria Math" w:hAnsi="Cambria Math"/>
                </w:rPr>
                <m:t>2000</m:t>
              </m:r>
            </m:sup>
            <m:e>
              <m:r>
                <w:rPr>
                  <w:rFonts w:ascii="Cambria Math" w:hAnsi="Cambria Math"/>
                </w:rPr>
                <m:t>θ</m:t>
              </m:r>
              <m:sSub>
                <m:sSubPr>
                  <m:ctrlPr>
                    <w:rPr>
                      <w:rFonts w:ascii="Cambria Math" w:hAnsi="Cambria Math"/>
                      <w:i/>
                    </w:rPr>
                  </m:ctrlPr>
                </m:sSubPr>
                <m:e>
                  <m:r>
                    <w:rPr>
                      <w:rFonts w:ascii="Cambria Math" w:hAnsi="Cambria Math"/>
                    </w:rPr>
                    <m:t>Cohort</m:t>
                  </m:r>
                </m:e>
                <m:sub>
                  <m:r>
                    <w:rPr>
                      <w:rFonts w:ascii="Cambria Math" w:hAnsi="Cambria Math"/>
                    </w:rPr>
                    <m:t>j+5,it</m:t>
                  </m:r>
                </m:sub>
              </m:sSub>
              <m:r>
                <w:rPr>
                  <w:rFonts w:ascii="Cambria Math" w:hAnsi="Cambria Math"/>
                </w:rPr>
                <m:t>+μ</m:t>
              </m:r>
              <m:sSub>
                <m:sSubPr>
                  <m:ctrlPr>
                    <w:rPr>
                      <w:rFonts w:ascii="Cambria Math" w:hAnsi="Cambria Math"/>
                      <w:i/>
                    </w:rPr>
                  </m:ctrlPr>
                </m:sSubPr>
                <m:e>
                  <m:r>
                    <w:rPr>
                      <w:rFonts w:ascii="Cambria Math" w:hAnsi="Cambria Math"/>
                    </w:rPr>
                    <m:t>EduY</m:t>
                  </m:r>
                </m:e>
                <m:sub>
                  <m:r>
                    <w:rPr>
                      <w:rFonts w:ascii="Cambria Math" w:hAnsi="Cambria Math"/>
                    </w:rPr>
                    <m:t>it</m:t>
                  </m:r>
                </m:sub>
              </m:sSub>
              <m:r>
                <w:rPr>
                  <w:rFonts w:ascii="Cambria Math" w:hAnsi="Cambria Math"/>
                </w:rPr>
                <m:t>+π</m:t>
              </m:r>
              <m:sSubSup>
                <m:sSubSupPr>
                  <m:ctrlPr>
                    <w:rPr>
                      <w:rFonts w:ascii="Cambria Math" w:hAnsi="Cambria Math"/>
                      <w:i/>
                    </w:rPr>
                  </m:ctrlPr>
                </m:sSubSupPr>
                <m:e>
                  <m:r>
                    <w:rPr>
                      <w:rFonts w:ascii="Cambria Math" w:hAnsi="Cambria Math"/>
                    </w:rPr>
                    <m:t>EduY</m:t>
                  </m:r>
                </m:e>
                <m:sub>
                  <m:r>
                    <w:rPr>
                      <w:rFonts w:ascii="Cambria Math" w:hAnsi="Cambria Math"/>
                    </w:rPr>
                    <m:t>it</m:t>
                  </m:r>
                </m:sub>
                <m:sup>
                  <m:r>
                    <w:rPr>
                      <w:rFonts w:ascii="Cambria Math" w:hAnsi="Cambria Math"/>
                    </w:rPr>
                    <m:t>2</m:t>
                  </m:r>
                </m:sup>
              </m:sSubSup>
              <m:r>
                <w:rPr>
                  <w:rFonts w:ascii="Cambria Math" w:hAnsi="Cambria Math"/>
                </w:rPr>
                <m:t>+ρ</m:t>
              </m:r>
              <m:sSubSup>
                <m:sSubSupPr>
                  <m:ctrlPr>
                    <w:rPr>
                      <w:rFonts w:ascii="Cambria Math" w:hAnsi="Cambria Math"/>
                      <w:i/>
                    </w:rPr>
                  </m:ctrlPr>
                </m:sSubSupPr>
                <m:e>
                  <m:r>
                    <w:rPr>
                      <w:rFonts w:ascii="Cambria Math" w:hAnsi="Cambria Math"/>
                    </w:rPr>
                    <m:t>EduY</m:t>
                  </m:r>
                </m:e>
                <m:sub>
                  <m:r>
                    <w:rPr>
                      <w:rFonts w:ascii="Cambria Math" w:hAnsi="Cambria Math"/>
                    </w:rPr>
                    <m:t>it</m:t>
                  </m:r>
                </m:sub>
                <m:sup>
                  <m:r>
                    <w:rPr>
                      <w:rFonts w:ascii="Cambria Math" w:hAnsi="Cambria Math"/>
                    </w:rPr>
                    <m:t>3</m:t>
                  </m:r>
                </m:sup>
              </m:sSubSup>
            </m:e>
          </m:nary>
          <m:r>
            <w:rPr>
              <w:rFonts w:ascii="Cambria Math" w:hAnsi="Cambria Math"/>
            </w:rPr>
            <m:t>+γ</m:t>
          </m:r>
          <m:sSub>
            <m:sSubPr>
              <m:ctrlPr>
                <w:rPr>
                  <w:rFonts w:ascii="Cambria Math" w:hAnsi="Cambria Math"/>
                  <w:i/>
                </w:rPr>
              </m:ctrlPr>
            </m:sSubPr>
            <m:e>
              <m:r>
                <w:rPr>
                  <w:rFonts w:ascii="Cambria Math" w:hAnsi="Cambria Math"/>
                </w:rPr>
                <m:t>GDPg</m:t>
              </m:r>
            </m:e>
            <m:sub>
              <m:r>
                <w:rPr>
                  <w:rFonts w:ascii="Cambria Math" w:hAnsi="Cambria Math"/>
                </w:rPr>
                <m:t>it</m:t>
              </m:r>
            </m:sub>
          </m:sSub>
        </m:oMath>
      </m:oMathPara>
    </w:p>
    <w:p w14:paraId="2CDB1B4E" w14:textId="458326EE" w:rsidR="00296F3D" w:rsidRPr="00296F3D" w:rsidRDefault="00296F3D" w:rsidP="00296F3D">
      <w:pPr>
        <w:spacing w:line="360" w:lineRule="auto"/>
        <w:jc w:val="both"/>
      </w:pPr>
      <m:oMathPara>
        <m:oMath>
          <m:r>
            <w:rPr>
              <w:rFonts w:ascii="Cambria Math" w:hAnsi="Cambria Math"/>
            </w:rPr>
            <m:t>+δ</m:t>
          </m:r>
          <m:sSub>
            <m:sSubPr>
              <m:ctrlPr>
                <w:rPr>
                  <w:rFonts w:ascii="Cambria Math" w:hAnsi="Cambria Math"/>
                  <w:i/>
                </w:rPr>
              </m:ctrlPr>
            </m:sSubPr>
            <m:e>
              <m:r>
                <w:rPr>
                  <w:rFonts w:ascii="Cambria Math" w:hAnsi="Cambria Math"/>
                </w:rPr>
                <m:t>UR</m:t>
              </m:r>
            </m:e>
            <m:sub>
              <m:r>
                <w:rPr>
                  <w:rFonts w:ascii="Cambria Math" w:hAnsi="Cambria Math"/>
                </w:rPr>
                <m:t>it</m:t>
              </m:r>
            </m:sub>
          </m:sSub>
          <m:r>
            <w:rPr>
              <w:rFonts w:ascii="Cambria Math" w:hAnsi="Cambria Math"/>
            </w:rPr>
            <m:t>+φ(GDPg×</m:t>
          </m:r>
          <m:sSub>
            <m:sSubPr>
              <m:ctrlPr>
                <w:rPr>
                  <w:rFonts w:ascii="Cambria Math" w:hAnsi="Cambria Math"/>
                  <w:i/>
                </w:rPr>
              </m:ctrlPr>
            </m:sSubPr>
            <m:e>
              <m:r>
                <w:rPr>
                  <w:rFonts w:ascii="Cambria Math" w:hAnsi="Cambria Math"/>
                </w:rPr>
                <m:t>UR)</m:t>
              </m:r>
            </m:e>
            <m:sub>
              <m:r>
                <w:rPr>
                  <w:rFonts w:ascii="Cambria Math" w:hAnsi="Cambria Math"/>
                </w:rPr>
                <m:t>it</m:t>
              </m:r>
            </m:sub>
          </m:sSub>
          <m:r>
            <w:rPr>
              <w:rFonts w:ascii="Cambria Math" w:hAnsi="Cambria Math"/>
            </w:rPr>
            <m:t>+</m:t>
          </m:r>
          <m:sSub>
            <m:sSubPr>
              <m:ctrlPr>
                <w:rPr>
                  <w:rFonts w:ascii="Cambria Math" w:hAnsi="Cambria Math"/>
                  <w:i/>
                </w:rPr>
              </m:ctrlPr>
            </m:sSubPr>
            <m:e>
              <m:r>
                <w:rPr>
                  <w:rFonts w:ascii="Cambria Math" w:hAnsi="Cambria Math"/>
                </w:rPr>
                <m:t>ε</m:t>
              </m:r>
            </m:e>
            <m:sub>
              <m:r>
                <w:rPr>
                  <w:rFonts w:ascii="Cambria Math" w:hAnsi="Cambria Math"/>
                </w:rPr>
                <m:t>it</m:t>
              </m:r>
            </m:sub>
          </m:sSub>
        </m:oMath>
      </m:oMathPara>
    </w:p>
    <w:p w14:paraId="60BAFD52" w14:textId="77777777" w:rsidR="00F33E3A" w:rsidRDefault="00F33E3A" w:rsidP="00296F3D">
      <w:pPr>
        <w:spacing w:line="360" w:lineRule="auto"/>
        <w:jc w:val="both"/>
        <w:rPr>
          <w:rFonts w:eastAsiaTheme="minorEastAsia"/>
        </w:rPr>
      </w:pPr>
    </w:p>
    <w:p w14:paraId="37A1C2D2" w14:textId="4839F7DC" w:rsidR="00296F3D" w:rsidRPr="00296F3D" w:rsidRDefault="00E621E0" w:rsidP="00296F3D">
      <w:pPr>
        <w:spacing w:line="360" w:lineRule="auto"/>
        <w:jc w:val="both"/>
      </w:pPr>
      <m:oMath>
        <m:sSub>
          <m:sSubPr>
            <m:ctrlPr>
              <w:rPr>
                <w:rFonts w:ascii="Cambria Math" w:hAnsi="Cambria Math"/>
                <w:i/>
              </w:rPr>
            </m:ctrlPr>
          </m:sSubPr>
          <m:e>
            <m:r>
              <w:rPr>
                <w:rFonts w:ascii="Cambria Math" w:hAnsi="Cambria Math"/>
              </w:rPr>
              <m:t>proEU</m:t>
            </m:r>
          </m:e>
          <m:sub>
            <m:r>
              <w:rPr>
                <w:rFonts w:ascii="Cambria Math" w:hAnsi="Cambria Math"/>
              </w:rPr>
              <m:t>it</m:t>
            </m:r>
          </m:sub>
        </m:sSub>
      </m:oMath>
      <w:r w:rsidR="00296F3D" w:rsidRPr="00296F3D">
        <w:t xml:space="preserve"> </w:t>
      </w:r>
      <w:proofErr w:type="gramStart"/>
      <w:r w:rsidR="00296F3D" w:rsidRPr="00296F3D">
        <w:t>is</w:t>
      </w:r>
      <w:proofErr w:type="gramEnd"/>
      <w:r w:rsidR="00296F3D" w:rsidRPr="00296F3D">
        <w:t xml:space="preserve"> a dummy for being favourable to the European Union</w:t>
      </w:r>
    </w:p>
    <w:p w14:paraId="53BBD26C" w14:textId="1164C679" w:rsidR="00296F3D" w:rsidRPr="00296F3D" w:rsidRDefault="00E621E0" w:rsidP="00296F3D">
      <w:pPr>
        <w:spacing w:line="360" w:lineRule="auto"/>
        <w:jc w:val="both"/>
      </w:pPr>
      <m:oMath>
        <m:sSub>
          <m:sSubPr>
            <m:ctrlPr>
              <w:rPr>
                <w:rFonts w:ascii="Cambria Math" w:hAnsi="Cambria Math"/>
                <w:i/>
              </w:rPr>
            </m:ctrlPr>
          </m:sSubPr>
          <m:e>
            <m:r>
              <w:rPr>
                <w:rFonts w:ascii="Cambria Math" w:hAnsi="Cambria Math"/>
              </w:rPr>
              <m:t>Age</m:t>
            </m:r>
          </m:e>
          <m:sub>
            <m:r>
              <w:rPr>
                <w:rFonts w:ascii="Cambria Math" w:hAnsi="Cambria Math"/>
              </w:rPr>
              <m:t>it</m:t>
            </m:r>
          </m:sub>
        </m:sSub>
      </m:oMath>
      <w:r w:rsidR="00296F3D" w:rsidRPr="00296F3D">
        <w:t xml:space="preserve"> </w:t>
      </w:r>
      <w:proofErr w:type="gramStart"/>
      <w:r w:rsidR="00296F3D" w:rsidRPr="00296F3D">
        <w:t>is</w:t>
      </w:r>
      <w:proofErr w:type="gramEnd"/>
      <w:r w:rsidR="00296F3D" w:rsidRPr="00296F3D">
        <w:t xml:space="preserve"> a variable for the age of the respondent</w:t>
      </w:r>
    </w:p>
    <w:p w14:paraId="678454CB" w14:textId="188B652D" w:rsidR="00296F3D" w:rsidRPr="00296F3D" w:rsidRDefault="00E621E0" w:rsidP="00296F3D">
      <w:pPr>
        <w:spacing w:line="360" w:lineRule="auto"/>
        <w:jc w:val="both"/>
      </w:pPr>
      <m:oMath>
        <m:sSub>
          <m:sSubPr>
            <m:ctrlPr>
              <w:rPr>
                <w:rFonts w:ascii="Cambria Math" w:hAnsi="Cambria Math"/>
                <w:i/>
              </w:rPr>
            </m:ctrlPr>
          </m:sSubPr>
          <m:e>
            <m:r>
              <w:rPr>
                <w:rFonts w:ascii="Cambria Math" w:hAnsi="Cambria Math"/>
              </w:rPr>
              <m:t>GDPg</m:t>
            </m:r>
          </m:e>
          <m:sub>
            <m:r>
              <w:rPr>
                <w:rFonts w:ascii="Cambria Math" w:hAnsi="Cambria Math"/>
              </w:rPr>
              <m:t>it</m:t>
            </m:r>
          </m:sub>
        </m:sSub>
      </m:oMath>
      <w:r w:rsidR="00296F3D" w:rsidRPr="00296F3D">
        <w:t xml:space="preserve"> </w:t>
      </w:r>
      <w:proofErr w:type="gramStart"/>
      <w:r w:rsidR="00296F3D" w:rsidRPr="00296F3D">
        <w:t>is</w:t>
      </w:r>
      <w:proofErr w:type="gramEnd"/>
      <w:r w:rsidR="00296F3D" w:rsidRPr="00296F3D">
        <w:t xml:space="preserve"> a variable for real GDP growth  rate in the observation’s year</w:t>
      </w:r>
    </w:p>
    <w:p w14:paraId="5AB5EE99" w14:textId="7964D05B" w:rsidR="00296F3D" w:rsidRPr="00296F3D" w:rsidRDefault="00E621E0" w:rsidP="00296F3D">
      <w:pPr>
        <w:spacing w:line="360" w:lineRule="auto"/>
        <w:jc w:val="both"/>
      </w:pPr>
      <m:oMath>
        <m:sSub>
          <m:sSubPr>
            <m:ctrlPr>
              <w:rPr>
                <w:rFonts w:ascii="Cambria Math" w:hAnsi="Cambria Math"/>
                <w:i/>
              </w:rPr>
            </m:ctrlPr>
          </m:sSubPr>
          <m:e>
            <m:r>
              <w:rPr>
                <w:rFonts w:ascii="Cambria Math" w:hAnsi="Cambria Math"/>
              </w:rPr>
              <m:t>UR</m:t>
            </m:r>
          </m:e>
          <m:sub>
            <m:r>
              <w:rPr>
                <w:rFonts w:ascii="Cambria Math" w:hAnsi="Cambria Math"/>
              </w:rPr>
              <m:t>it</m:t>
            </m:r>
          </m:sub>
        </m:sSub>
      </m:oMath>
      <w:r w:rsidR="00296F3D" w:rsidRPr="00296F3D">
        <w:t xml:space="preserve"> </w:t>
      </w:r>
      <w:proofErr w:type="gramStart"/>
      <w:r w:rsidR="00296F3D" w:rsidRPr="00296F3D">
        <w:t>is</w:t>
      </w:r>
      <w:proofErr w:type="gramEnd"/>
      <w:r w:rsidR="00296F3D" w:rsidRPr="00296F3D">
        <w:t xml:space="preserve"> a variable for unemployment  rate in the observation’s year</w:t>
      </w:r>
    </w:p>
    <w:p w14:paraId="108F5148" w14:textId="5CFE561A" w:rsidR="00296F3D" w:rsidRPr="00296F3D" w:rsidRDefault="00E621E0" w:rsidP="00296F3D">
      <w:pPr>
        <w:spacing w:line="360" w:lineRule="auto"/>
        <w:jc w:val="both"/>
      </w:pPr>
      <m:oMath>
        <m:sSub>
          <m:sSubPr>
            <m:ctrlPr>
              <w:rPr>
                <w:rFonts w:ascii="Cambria Math" w:hAnsi="Cambria Math"/>
                <w:i/>
              </w:rPr>
            </m:ctrlPr>
          </m:sSubPr>
          <m:e>
            <m:r>
              <w:rPr>
                <w:rFonts w:ascii="Cambria Math" w:hAnsi="Cambria Math"/>
              </w:rPr>
              <m:t>Cohort</m:t>
            </m:r>
          </m:e>
          <m:sub>
            <m:r>
              <w:rPr>
                <w:rFonts w:ascii="Cambria Math" w:hAnsi="Cambria Math"/>
              </w:rPr>
              <m:t>j+5,it</m:t>
            </m:r>
          </m:sub>
        </m:sSub>
      </m:oMath>
      <w:r w:rsidR="00296F3D" w:rsidRPr="00296F3D">
        <w:t xml:space="preserve"> </w:t>
      </w:r>
      <w:proofErr w:type="gramStart"/>
      <w:r w:rsidR="00296F3D" w:rsidRPr="00296F3D">
        <w:t>is</w:t>
      </w:r>
      <w:proofErr w:type="gramEnd"/>
      <w:r w:rsidR="00296F3D" w:rsidRPr="00296F3D">
        <w:t xml:space="preserve"> a dummy variable for the respondent’s 5-year cohort</w:t>
      </w:r>
    </w:p>
    <w:p w14:paraId="2D1C1FB3" w14:textId="1CBD4789" w:rsidR="00296F3D" w:rsidRPr="00402E30" w:rsidRDefault="00E621E0" w:rsidP="00296F3D">
      <w:pPr>
        <w:spacing w:line="360" w:lineRule="auto"/>
        <w:jc w:val="both"/>
      </w:pPr>
      <m:oMath>
        <m:sSub>
          <m:sSubPr>
            <m:ctrlPr>
              <w:rPr>
                <w:rFonts w:ascii="Cambria Math" w:hAnsi="Cambria Math"/>
                <w:i/>
              </w:rPr>
            </m:ctrlPr>
          </m:sSubPr>
          <m:e>
            <m:r>
              <w:rPr>
                <w:rFonts w:ascii="Cambria Math" w:hAnsi="Cambria Math"/>
              </w:rPr>
              <m:t>EduY</m:t>
            </m:r>
          </m:e>
          <m:sub>
            <m:r>
              <w:rPr>
                <w:rFonts w:ascii="Cambria Math" w:hAnsi="Cambria Math"/>
              </w:rPr>
              <m:t>it</m:t>
            </m:r>
          </m:sub>
        </m:sSub>
      </m:oMath>
      <w:r w:rsidR="00296F3D" w:rsidRPr="00296F3D">
        <w:t xml:space="preserve"> </w:t>
      </w:r>
      <w:proofErr w:type="gramStart"/>
      <w:r w:rsidR="00296F3D" w:rsidRPr="00296F3D">
        <w:t>is</w:t>
      </w:r>
      <w:proofErr w:type="gramEnd"/>
      <w:r w:rsidR="00296F3D" w:rsidRPr="00296F3D">
        <w:t xml:space="preserve"> a variable for the respondent’s number of years in full time education</w:t>
      </w:r>
    </w:p>
    <w:p w14:paraId="26FAD8A8" w14:textId="3502B7B3" w:rsidR="00296F3D" w:rsidRPr="00296F3D" w:rsidRDefault="00296F3D" w:rsidP="00296F3D">
      <w:pPr>
        <w:spacing w:line="360" w:lineRule="auto"/>
        <w:jc w:val="both"/>
        <w:rPr>
          <w:lang w:val="en-US"/>
        </w:rPr>
      </w:pPr>
      <w:r w:rsidRPr="00296F3D">
        <w:rPr>
          <w:lang w:val="en-US"/>
        </w:rPr>
        <w:t xml:space="preserve">The earliest </w:t>
      </w:r>
      <w:r w:rsidR="00E50811">
        <w:rPr>
          <w:lang w:val="en-US"/>
        </w:rPr>
        <w:t xml:space="preserve">BES </w:t>
      </w:r>
      <w:proofErr w:type="spellStart"/>
      <w:r w:rsidRPr="00296F3D">
        <w:rPr>
          <w:lang w:val="en-US"/>
        </w:rPr>
        <w:t>datapoint</w:t>
      </w:r>
      <w:proofErr w:type="spellEnd"/>
      <w:r w:rsidRPr="00296F3D">
        <w:rPr>
          <w:lang w:val="en-US"/>
        </w:rPr>
        <w:t xml:space="preserve"> is 1963, 20 years earlier than </w:t>
      </w:r>
      <w:r w:rsidR="00E50811">
        <w:rPr>
          <w:lang w:val="en-US"/>
        </w:rPr>
        <w:t xml:space="preserve">first available </w:t>
      </w:r>
      <w:r w:rsidRPr="00296F3D">
        <w:rPr>
          <w:lang w:val="en-US"/>
        </w:rPr>
        <w:t>ESS-BSAS observation</w:t>
      </w:r>
      <w:r w:rsidR="008E6B1B">
        <w:rPr>
          <w:lang w:val="en-US"/>
        </w:rPr>
        <w:t xml:space="preserve">. This introduces </w:t>
      </w:r>
      <w:r w:rsidR="00850DB5">
        <w:rPr>
          <w:lang w:val="en-US"/>
        </w:rPr>
        <w:t>a</w:t>
      </w:r>
      <w:r w:rsidRPr="00296F3D">
        <w:rPr>
          <w:lang w:val="en-US"/>
        </w:rPr>
        <w:t xml:space="preserve"> different relationship observed between GDP growth and unemployment rate in the years and after</w:t>
      </w:r>
      <w:r w:rsidR="00850DB5">
        <w:rPr>
          <w:lang w:val="en-US"/>
        </w:rPr>
        <w:t xml:space="preserve"> the early</w:t>
      </w:r>
      <w:r w:rsidRPr="00296F3D">
        <w:rPr>
          <w:lang w:val="en-US"/>
        </w:rPr>
        <w:t xml:space="preserve"> 1980</w:t>
      </w:r>
      <w:r w:rsidR="00850DB5">
        <w:rPr>
          <w:lang w:val="en-US"/>
        </w:rPr>
        <w:t>s</w:t>
      </w:r>
      <w:r w:rsidRPr="00296F3D">
        <w:rPr>
          <w:lang w:val="en-US"/>
        </w:rPr>
        <w:t xml:space="preserve">. In the 1970s the UK experienced an atypical increase in unemployment </w:t>
      </w:r>
      <w:r w:rsidR="00166267">
        <w:rPr>
          <w:lang w:val="en-US"/>
        </w:rPr>
        <w:t xml:space="preserve">coincident </w:t>
      </w:r>
      <w:r w:rsidRPr="00296F3D">
        <w:rPr>
          <w:lang w:val="en-US"/>
        </w:rPr>
        <w:t xml:space="preserve">with </w:t>
      </w:r>
      <w:proofErr w:type="gramStart"/>
      <w:r w:rsidRPr="00296F3D">
        <w:rPr>
          <w:lang w:val="en-US"/>
        </w:rPr>
        <w:t>an acceleration</w:t>
      </w:r>
      <w:proofErr w:type="gramEnd"/>
      <w:r w:rsidRPr="00296F3D">
        <w:rPr>
          <w:lang w:val="en-US"/>
        </w:rPr>
        <w:t xml:space="preserve"> in GDP growth. </w:t>
      </w:r>
      <w:r w:rsidR="00E50811">
        <w:rPr>
          <w:lang w:val="en-US"/>
        </w:rPr>
        <w:t>In</w:t>
      </w:r>
      <w:r w:rsidRPr="00296F3D">
        <w:rPr>
          <w:lang w:val="en-US"/>
        </w:rPr>
        <w:t xml:space="preserve">cluding pre-1980 BES data </w:t>
      </w:r>
      <w:r w:rsidR="00E50811">
        <w:rPr>
          <w:lang w:val="en-US"/>
        </w:rPr>
        <w:t>there</w:t>
      </w:r>
      <w:r w:rsidR="008D5AEB">
        <w:rPr>
          <w:lang w:val="en-US"/>
        </w:rPr>
        <w:t>fore</w:t>
      </w:r>
      <w:r w:rsidR="00E50811">
        <w:rPr>
          <w:lang w:val="en-US"/>
        </w:rPr>
        <w:t xml:space="preserve"> </w:t>
      </w:r>
      <w:r w:rsidRPr="00296F3D">
        <w:rPr>
          <w:lang w:val="en-US"/>
        </w:rPr>
        <w:t xml:space="preserve">produces different point estimates on these variables </w:t>
      </w:r>
      <w:r w:rsidR="00850DB5">
        <w:rPr>
          <w:lang w:val="en-US"/>
        </w:rPr>
        <w:t>in</w:t>
      </w:r>
      <w:r w:rsidRPr="00296F3D">
        <w:rPr>
          <w:lang w:val="en-US"/>
        </w:rPr>
        <w:t xml:space="preserve"> the two full data sets. </w:t>
      </w:r>
      <w:r w:rsidR="00665358">
        <w:rPr>
          <w:lang w:val="en-US"/>
        </w:rPr>
        <w:t xml:space="preserve">In Table A3 below, we also provide estimates using only </w:t>
      </w:r>
      <w:r w:rsidRPr="00296F3D">
        <w:rPr>
          <w:lang w:val="en-US"/>
        </w:rPr>
        <w:t>post-1980 data</w:t>
      </w:r>
      <w:r w:rsidR="00142040">
        <w:rPr>
          <w:lang w:val="en-US"/>
        </w:rPr>
        <w:t xml:space="preserve">. </w:t>
      </w:r>
      <w:r w:rsidR="00665358">
        <w:rPr>
          <w:lang w:val="en-US"/>
        </w:rPr>
        <w:t xml:space="preserve">That table </w:t>
      </w:r>
      <w:r w:rsidR="00E50811">
        <w:rPr>
          <w:lang w:val="en-US"/>
        </w:rPr>
        <w:t>shows that</w:t>
      </w:r>
      <w:r w:rsidR="00665358">
        <w:rPr>
          <w:lang w:val="en-US"/>
        </w:rPr>
        <w:t xml:space="preserve"> </w:t>
      </w:r>
      <w:r w:rsidRPr="00296F3D">
        <w:rPr>
          <w:lang w:val="en-US"/>
        </w:rPr>
        <w:t xml:space="preserve">none of the other BES estimates </w:t>
      </w:r>
      <w:r w:rsidR="00A2549F">
        <w:rPr>
          <w:lang w:val="en-US"/>
        </w:rPr>
        <w:t>is</w:t>
      </w:r>
      <w:r w:rsidRPr="00296F3D">
        <w:rPr>
          <w:lang w:val="en-US"/>
        </w:rPr>
        <w:t xml:space="preserve"> sensitive to truncating the sample this way.</w:t>
      </w:r>
    </w:p>
    <w:p w14:paraId="3E9C00A9" w14:textId="1F1630A9" w:rsidR="00166267" w:rsidRDefault="00296F3D" w:rsidP="00296F3D">
      <w:pPr>
        <w:spacing w:line="360" w:lineRule="auto"/>
        <w:jc w:val="both"/>
        <w:rPr>
          <w:lang w:val="en-US"/>
        </w:rPr>
      </w:pPr>
      <w:r w:rsidRPr="00296F3D">
        <w:rPr>
          <w:lang w:val="en-US"/>
        </w:rPr>
        <w:lastRenderedPageBreak/>
        <w:t xml:space="preserve">Table </w:t>
      </w:r>
      <w:r w:rsidR="0072313F">
        <w:rPr>
          <w:lang w:val="en-US"/>
        </w:rPr>
        <w:t>A</w:t>
      </w:r>
      <w:r w:rsidRPr="00296F3D">
        <w:rPr>
          <w:lang w:val="en-US"/>
        </w:rPr>
        <w:t xml:space="preserve">1 shows the results </w:t>
      </w:r>
      <w:r w:rsidR="00665358">
        <w:rPr>
          <w:lang w:val="en-US"/>
        </w:rPr>
        <w:t xml:space="preserve">for the full time span </w:t>
      </w:r>
      <w:r w:rsidR="008D5AEB">
        <w:rPr>
          <w:lang w:val="en-US"/>
        </w:rPr>
        <w:t>including data for the 1960s and 1970s</w:t>
      </w:r>
      <w:r w:rsidR="008E6B1B">
        <w:rPr>
          <w:lang w:val="en-US"/>
        </w:rPr>
        <w:t>, substituting</w:t>
      </w:r>
      <w:r w:rsidRPr="00296F3D">
        <w:rPr>
          <w:lang w:val="en-US"/>
        </w:rPr>
        <w:t xml:space="preserve"> GDP growth, unemployment rate and their interaction for the time effects, while </w:t>
      </w:r>
      <w:r w:rsidR="0072313F">
        <w:rPr>
          <w:lang w:val="en-US"/>
        </w:rPr>
        <w:t>Figure A4</w:t>
      </w:r>
      <w:r w:rsidRPr="00296F3D">
        <w:rPr>
          <w:lang w:val="en-US"/>
        </w:rPr>
        <w:t xml:space="preserve"> shows the c</w:t>
      </w:r>
      <w:r w:rsidR="00402E30">
        <w:rPr>
          <w:lang w:val="en-US"/>
        </w:rPr>
        <w:t>orresponding marginal effects.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665358" w:rsidRPr="00402E30" w14:paraId="10D54D8F" w14:textId="77777777" w:rsidTr="00924BBD">
        <w:tc>
          <w:tcPr>
            <w:tcW w:w="9286" w:type="dxa"/>
          </w:tcPr>
          <w:p w14:paraId="31011026" w14:textId="077BD763" w:rsidR="00665358" w:rsidRPr="00402E30" w:rsidRDefault="00665358" w:rsidP="0018642C">
            <w:pPr>
              <w:spacing w:line="360" w:lineRule="auto"/>
              <w:jc w:val="both"/>
              <w:rPr>
                <w:b/>
                <w:lang w:val="en-US"/>
              </w:rPr>
            </w:pPr>
            <w:r w:rsidRPr="00296F3D">
              <w:rPr>
                <w:b/>
                <w:lang w:val="en-US"/>
              </w:rPr>
              <w:t xml:space="preserve">Table </w:t>
            </w:r>
            <w:r w:rsidR="008871C4">
              <w:rPr>
                <w:b/>
                <w:lang w:val="en-US"/>
              </w:rPr>
              <w:t>A1 - P</w:t>
            </w:r>
            <w:r w:rsidRPr="00296F3D">
              <w:rPr>
                <w:b/>
                <w:lang w:val="en-US"/>
              </w:rPr>
              <w:t>roxy time effects regressions</w:t>
            </w:r>
            <w:r w:rsidR="0018642C" w:rsidRPr="008871C4">
              <w:rPr>
                <w:b/>
                <w:lang w:val="en-US"/>
              </w:rPr>
              <w:t xml:space="preserve"> including 1960s and 1970s data</w:t>
            </w:r>
            <w:r>
              <w:rPr>
                <w:b/>
                <w:lang w:val="en-US"/>
              </w:rPr>
              <w:t xml:space="preserve"> </w:t>
            </w:r>
          </w:p>
        </w:tc>
      </w:tr>
      <w:tr w:rsidR="00665358" w14:paraId="2F678EFB" w14:textId="77777777" w:rsidTr="00924BBD">
        <w:tc>
          <w:tcPr>
            <w:tcW w:w="9286" w:type="dxa"/>
          </w:tcPr>
          <w:p w14:paraId="620D32ED" w14:textId="6D03C8CC" w:rsidR="00665358" w:rsidRDefault="0018642C" w:rsidP="00A35E0A">
            <w:pPr>
              <w:spacing w:line="360" w:lineRule="auto"/>
              <w:jc w:val="both"/>
              <w:rPr>
                <w:lang w:val="en-US"/>
              </w:rPr>
            </w:pPr>
            <w:r w:rsidRPr="00296F3D">
              <w:rPr>
                <w:noProof/>
                <w:lang w:val="en-US"/>
              </w:rPr>
              <w:drawing>
                <wp:inline distT="0" distB="0" distL="0" distR="0" wp14:anchorId="62DFCBE6" wp14:editId="453B1AB1">
                  <wp:extent cx="3385044" cy="4358244"/>
                  <wp:effectExtent l="0" t="0" r="635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5044" cy="4358244"/>
                          </a:xfrm>
                          <a:prstGeom prst="rect">
                            <a:avLst/>
                          </a:prstGeom>
                          <a:noFill/>
                          <a:ln>
                            <a:noFill/>
                          </a:ln>
                        </pic:spPr>
                      </pic:pic>
                    </a:graphicData>
                  </a:graphic>
                </wp:inline>
              </w:drawing>
            </w:r>
          </w:p>
        </w:tc>
      </w:tr>
    </w:tbl>
    <w:p w14:paraId="2F83E4D9" w14:textId="5417D2DB" w:rsidR="00665358" w:rsidRDefault="00665358" w:rsidP="00296F3D">
      <w:pPr>
        <w:spacing w:line="360" w:lineRule="auto"/>
        <w:jc w:val="both"/>
        <w:rPr>
          <w:lang w:val="en-US"/>
        </w:rPr>
      </w:pPr>
    </w:p>
    <w:p w14:paraId="20F3CF57" w14:textId="65624F6C" w:rsidR="00296F3D" w:rsidRPr="00296F3D" w:rsidRDefault="00296F3D" w:rsidP="00296F3D">
      <w:pPr>
        <w:spacing w:line="360" w:lineRule="auto"/>
        <w:jc w:val="both"/>
        <w:rPr>
          <w:lang w:val="en-US"/>
        </w:rPr>
      </w:pPr>
      <w:r w:rsidRPr="00296F3D">
        <w:rPr>
          <w:lang w:val="en-US"/>
        </w:rPr>
        <w:t>In line wit</w:t>
      </w:r>
      <w:r w:rsidR="00142040">
        <w:rPr>
          <w:lang w:val="en-US"/>
        </w:rPr>
        <w:t>h the results in Section 3</w:t>
      </w:r>
      <w:r w:rsidRPr="00296F3D">
        <w:rPr>
          <w:lang w:val="en-US"/>
        </w:rPr>
        <w:t>, age is negatively associated with pro-EU sentiment.</w:t>
      </w:r>
      <w:r w:rsidR="00346B46">
        <w:rPr>
          <w:lang w:val="en-US"/>
        </w:rPr>
        <w:t xml:space="preserve"> </w:t>
      </w:r>
      <w:r w:rsidR="008E6B1B">
        <w:rPr>
          <w:lang w:val="en-US"/>
        </w:rPr>
        <w:t xml:space="preserve"> The a</w:t>
      </w:r>
      <w:r w:rsidR="008D5AEB">
        <w:rPr>
          <w:lang w:val="en-US"/>
        </w:rPr>
        <w:t>ge effects are</w:t>
      </w:r>
      <w:r w:rsidR="00346B46">
        <w:rPr>
          <w:lang w:val="en-US"/>
        </w:rPr>
        <w:t xml:space="preserve"> stable over time</w:t>
      </w:r>
      <w:r w:rsidR="00E90C7E">
        <w:rPr>
          <w:lang w:val="en-US"/>
        </w:rPr>
        <w:t>.</w:t>
      </w:r>
    </w:p>
    <w:p w14:paraId="44661000" w14:textId="4F609853" w:rsidR="00296F3D" w:rsidRPr="00296F3D" w:rsidRDefault="00296F3D" w:rsidP="00296F3D">
      <w:pPr>
        <w:spacing w:line="360" w:lineRule="auto"/>
        <w:jc w:val="both"/>
        <w:rPr>
          <w:lang w:val="en-US"/>
        </w:rPr>
      </w:pPr>
      <w:r w:rsidRPr="00296F3D">
        <w:rPr>
          <w:lang w:val="en-US"/>
        </w:rPr>
        <w:t xml:space="preserve">Although we </w:t>
      </w:r>
      <w:r w:rsidR="008E6B1B">
        <w:rPr>
          <w:lang w:val="en-US"/>
        </w:rPr>
        <w:t>trim</w:t>
      </w:r>
      <w:r w:rsidRPr="00296F3D">
        <w:rPr>
          <w:lang w:val="en-US"/>
        </w:rPr>
        <w:t xml:space="preserve"> the data at 80 years of age in our regressions, </w:t>
      </w:r>
      <w:r w:rsidR="008E6B1B">
        <w:rPr>
          <w:lang w:val="en-US"/>
        </w:rPr>
        <w:t xml:space="preserve">as </w:t>
      </w:r>
      <w:r w:rsidR="00A2549F">
        <w:rPr>
          <w:lang w:val="en-US"/>
        </w:rPr>
        <w:t xml:space="preserve">in the main body of the paper, </w:t>
      </w:r>
      <w:r w:rsidRPr="00296F3D">
        <w:rPr>
          <w:lang w:val="en-US"/>
        </w:rPr>
        <w:t xml:space="preserve">we investigated whether an increasing skepticism towards the EU persists also in later age. </w:t>
      </w:r>
      <w:r w:rsidR="008E6B1B">
        <w:rPr>
          <w:lang w:val="en-US"/>
        </w:rPr>
        <w:t>T</w:t>
      </w:r>
      <w:r w:rsidRPr="00296F3D">
        <w:rPr>
          <w:lang w:val="en-US"/>
        </w:rPr>
        <w:t xml:space="preserve">he negative age effect tends to reverse after 80 years. This </w:t>
      </w:r>
      <w:r w:rsidR="008E6B1B">
        <w:rPr>
          <w:lang w:val="en-US"/>
        </w:rPr>
        <w:t>is consistent</w:t>
      </w:r>
      <w:r w:rsidRPr="00296F3D">
        <w:rPr>
          <w:lang w:val="en-US"/>
        </w:rPr>
        <w:t xml:space="preserve"> with what is considered in economic literature </w:t>
      </w:r>
      <w:r w:rsidR="00A2549F">
        <w:rPr>
          <w:lang w:val="en-US"/>
        </w:rPr>
        <w:t xml:space="preserve">as </w:t>
      </w:r>
      <w:r w:rsidRPr="00296F3D">
        <w:rPr>
          <w:lang w:val="en-US"/>
        </w:rPr>
        <w:t xml:space="preserve">the threshold above which wealth tends to dramatically increase survival rates. </w:t>
      </w:r>
      <w:r w:rsidRPr="00296F3D">
        <w:rPr>
          <w:vertAlign w:val="superscript"/>
          <w:lang w:val="en-US"/>
        </w:rPr>
        <w:footnoteReference w:id="21"/>
      </w:r>
      <w:r w:rsidRPr="00296F3D">
        <w:rPr>
          <w:lang w:val="en-US"/>
        </w:rPr>
        <w:t xml:space="preserve"> This probably occurs because while wealth and education are correlated</w:t>
      </w:r>
      <w:r w:rsidR="008D5AEB">
        <w:rPr>
          <w:lang w:val="en-US"/>
        </w:rPr>
        <w:t>, o</w:t>
      </w:r>
      <w:r w:rsidRPr="00296F3D">
        <w:rPr>
          <w:lang w:val="en-US"/>
        </w:rPr>
        <w:t xml:space="preserve">ur measure of education may not fully capture the status of an individual in society and therefore true </w:t>
      </w:r>
      <w:r w:rsidR="008E6B1B">
        <w:rPr>
          <w:lang w:val="en-US"/>
        </w:rPr>
        <w:t xml:space="preserve">economic </w:t>
      </w:r>
      <w:r w:rsidRPr="00296F3D">
        <w:rPr>
          <w:lang w:val="en-US"/>
        </w:rPr>
        <w:t>wealth</w:t>
      </w:r>
      <w:r w:rsidR="008D5AEB">
        <w:rPr>
          <w:lang w:val="en-US"/>
        </w:rPr>
        <w:t>. T</w:t>
      </w:r>
      <w:r w:rsidRPr="00296F3D">
        <w:rPr>
          <w:lang w:val="en-US"/>
        </w:rPr>
        <w:t xml:space="preserve">here are different types of university bachelor courses, for example, with different prospects of future </w:t>
      </w:r>
      <w:r w:rsidRPr="00296F3D">
        <w:rPr>
          <w:lang w:val="en-US"/>
        </w:rPr>
        <w:lastRenderedPageBreak/>
        <w:t xml:space="preserve">employment and income.  Unfortunately, </w:t>
      </w:r>
      <w:r w:rsidR="008E6B1B">
        <w:rPr>
          <w:lang w:val="en-US"/>
        </w:rPr>
        <w:t>this variation is not captured in our data.  Ne</w:t>
      </w:r>
      <w:r w:rsidR="0086364F">
        <w:rPr>
          <w:lang w:val="en-US"/>
        </w:rPr>
        <w:t>ither the BES nor ESS-BSA</w:t>
      </w:r>
      <w:r w:rsidRPr="00296F3D">
        <w:rPr>
          <w:lang w:val="en-US"/>
        </w:rPr>
        <w:t xml:space="preserve"> provide</w:t>
      </w:r>
      <w:r w:rsidR="00166267">
        <w:rPr>
          <w:lang w:val="en-US"/>
        </w:rPr>
        <w:t>s</w:t>
      </w:r>
      <w:r w:rsidRPr="00296F3D">
        <w:rPr>
          <w:lang w:val="en-US"/>
        </w:rPr>
        <w:t xml:space="preserve"> the income or wealth level of respondents</w:t>
      </w:r>
      <w:r w:rsidR="008E6B1B">
        <w:rPr>
          <w:lang w:val="en-US"/>
        </w:rPr>
        <w:t xml:space="preserve">.  This </w:t>
      </w:r>
      <w:r w:rsidR="00A2549F">
        <w:rPr>
          <w:lang w:val="en-US"/>
        </w:rPr>
        <w:t>prevent</w:t>
      </w:r>
      <w:r w:rsidR="008E6B1B">
        <w:rPr>
          <w:lang w:val="en-US"/>
        </w:rPr>
        <w:t>s</w:t>
      </w:r>
      <w:r w:rsidR="00A2549F">
        <w:rPr>
          <w:lang w:val="en-US"/>
        </w:rPr>
        <w:t xml:space="preserve"> </w:t>
      </w:r>
      <w:r w:rsidRPr="00296F3D">
        <w:rPr>
          <w:lang w:val="en-US"/>
        </w:rPr>
        <w:t xml:space="preserve">us </w:t>
      </w:r>
      <w:r w:rsidR="00A2549F">
        <w:rPr>
          <w:lang w:val="en-US"/>
        </w:rPr>
        <w:t xml:space="preserve">from </w:t>
      </w:r>
      <w:r w:rsidRPr="00296F3D">
        <w:rPr>
          <w:lang w:val="en-US"/>
        </w:rPr>
        <w:t>assess</w:t>
      </w:r>
      <w:r w:rsidR="00A2549F">
        <w:rPr>
          <w:lang w:val="en-US"/>
        </w:rPr>
        <w:t>ing</w:t>
      </w:r>
      <w:r w:rsidRPr="00296F3D">
        <w:rPr>
          <w:lang w:val="en-US"/>
        </w:rPr>
        <w:t xml:space="preserve"> the size of the </w:t>
      </w:r>
      <w:r w:rsidR="008E6B1B">
        <w:rPr>
          <w:lang w:val="en-US"/>
        </w:rPr>
        <w:t xml:space="preserve">underlying </w:t>
      </w:r>
      <w:r w:rsidRPr="00296F3D">
        <w:rPr>
          <w:lang w:val="en-US"/>
        </w:rPr>
        <w:t>wealth effect.</w:t>
      </w:r>
      <w:r w:rsidRPr="00296F3D">
        <w:rPr>
          <w:vertAlign w:val="superscript"/>
          <w:lang w:val="en-US"/>
        </w:rPr>
        <w:footnoteReference w:id="22"/>
      </w:r>
      <w:r w:rsidRPr="00296F3D">
        <w:rPr>
          <w:lang w:val="en-US"/>
        </w:rPr>
        <w:t xml:space="preserve"> </w:t>
      </w:r>
    </w:p>
    <w:p w14:paraId="1A80B036" w14:textId="6A621841" w:rsidR="00296F3D" w:rsidRPr="00296F3D" w:rsidRDefault="00296F3D" w:rsidP="00296F3D">
      <w:pPr>
        <w:spacing w:line="360" w:lineRule="auto"/>
        <w:jc w:val="both"/>
        <w:rPr>
          <w:lang w:val="en-US"/>
        </w:rPr>
      </w:pPr>
      <w:r w:rsidRPr="00296F3D">
        <w:rPr>
          <w:lang w:val="en-US"/>
        </w:rPr>
        <w:t>Cohort effects are also significant as a group and individually</w:t>
      </w:r>
      <w:r w:rsidR="00A2549F">
        <w:rPr>
          <w:lang w:val="en-US"/>
        </w:rPr>
        <w:t xml:space="preserve">, </w:t>
      </w:r>
      <w:r w:rsidRPr="00296F3D">
        <w:rPr>
          <w:lang w:val="en-US"/>
        </w:rPr>
        <w:t>although the</w:t>
      </w:r>
      <w:r w:rsidR="008D5AEB">
        <w:rPr>
          <w:lang w:val="en-US"/>
        </w:rPr>
        <w:t>re</w:t>
      </w:r>
      <w:r w:rsidRPr="00296F3D">
        <w:rPr>
          <w:lang w:val="en-US"/>
        </w:rPr>
        <w:t xml:space="preserve"> are too many to report here.</w:t>
      </w:r>
    </w:p>
    <w:p w14:paraId="05142DD0" w14:textId="7D9EA4F9" w:rsidR="00402E30" w:rsidRPr="00296F3D" w:rsidRDefault="00296F3D" w:rsidP="00296F3D">
      <w:pPr>
        <w:spacing w:line="360" w:lineRule="auto"/>
        <w:jc w:val="both"/>
        <w:rPr>
          <w:lang w:val="en-US"/>
        </w:rPr>
      </w:pPr>
      <w:r w:rsidRPr="00296F3D">
        <w:rPr>
          <w:lang w:val="en-US"/>
        </w:rPr>
        <w:t xml:space="preserve">Finally, </w:t>
      </w:r>
      <w:r w:rsidR="00166267">
        <w:rPr>
          <w:lang w:val="en-US"/>
        </w:rPr>
        <w:t>p</w:t>
      </w:r>
      <w:r w:rsidRPr="00296F3D">
        <w:rPr>
          <w:lang w:val="en-US"/>
        </w:rPr>
        <w:t>ro-EU sentiment is positively associated with education in both datasets</w:t>
      </w:r>
      <w:r w:rsidR="00A2549F">
        <w:rPr>
          <w:lang w:val="en-US"/>
        </w:rPr>
        <w:t>,</w:t>
      </w:r>
      <w:r w:rsidRPr="00296F3D">
        <w:rPr>
          <w:lang w:val="en-US"/>
        </w:rPr>
        <w:t xml:space="preserve"> </w:t>
      </w:r>
      <w:r w:rsidR="008E6B1B">
        <w:rPr>
          <w:lang w:val="en-US"/>
        </w:rPr>
        <w:t>with</w:t>
      </w:r>
      <w:r w:rsidRPr="00296F3D">
        <w:rPr>
          <w:lang w:val="en-US"/>
        </w:rPr>
        <w:t xml:space="preserve"> the magnitude </w:t>
      </w:r>
      <w:r w:rsidR="008E6B1B">
        <w:rPr>
          <w:lang w:val="en-US"/>
        </w:rPr>
        <w:t>of the effect diminishing</w:t>
      </w:r>
      <w:r w:rsidRPr="00296F3D">
        <w:rPr>
          <w:lang w:val="en-US"/>
        </w:rPr>
        <w:t xml:space="preserve"> with years of schooling. </w:t>
      </w:r>
      <w:r w:rsidR="00A2549F">
        <w:rPr>
          <w:lang w:val="en-US"/>
        </w:rPr>
        <w:t>When c</w:t>
      </w:r>
      <w:r w:rsidRPr="00296F3D">
        <w:rPr>
          <w:lang w:val="en-US"/>
        </w:rPr>
        <w:t xml:space="preserve">ontrolling </w:t>
      </w:r>
      <w:r w:rsidR="00166267">
        <w:rPr>
          <w:lang w:val="en-US"/>
        </w:rPr>
        <w:t xml:space="preserve">for </w:t>
      </w:r>
      <w:r w:rsidRPr="00296F3D">
        <w:rPr>
          <w:lang w:val="en-US"/>
        </w:rPr>
        <w:t xml:space="preserve">education </w:t>
      </w:r>
      <w:r w:rsidR="008E6B1B">
        <w:rPr>
          <w:lang w:val="en-US"/>
        </w:rPr>
        <w:t>with</w:t>
      </w:r>
      <w:r w:rsidRPr="00296F3D">
        <w:rPr>
          <w:lang w:val="en-US"/>
        </w:rPr>
        <w:t xml:space="preserve"> a third degree polynomial</w:t>
      </w:r>
      <w:r w:rsidR="00A2549F">
        <w:rPr>
          <w:lang w:val="en-US"/>
        </w:rPr>
        <w:t>,</w:t>
      </w:r>
      <w:r w:rsidRPr="00296F3D">
        <w:rPr>
          <w:lang w:val="en-US"/>
        </w:rPr>
        <w:t xml:space="preserve"> however</w:t>
      </w:r>
      <w:r w:rsidR="00A2549F">
        <w:rPr>
          <w:lang w:val="en-US"/>
        </w:rPr>
        <w:t>,</w:t>
      </w:r>
      <w:r w:rsidRPr="00296F3D">
        <w:rPr>
          <w:lang w:val="en-US"/>
        </w:rPr>
        <w:t xml:space="preserve"> the </w:t>
      </w:r>
      <w:r w:rsidR="00C15EE6">
        <w:rPr>
          <w:lang w:val="en-US"/>
        </w:rPr>
        <w:t>individual</w:t>
      </w:r>
      <w:r w:rsidRPr="00296F3D">
        <w:rPr>
          <w:lang w:val="en-US"/>
        </w:rPr>
        <w:t xml:space="preserve"> coefficients become more sens</w:t>
      </w:r>
      <w:r w:rsidR="00C15EE6">
        <w:rPr>
          <w:lang w:val="en-US"/>
        </w:rPr>
        <w:t xml:space="preserve">itive </w:t>
      </w:r>
      <w:r w:rsidRPr="00296F3D">
        <w:rPr>
          <w:lang w:val="en-US"/>
        </w:rPr>
        <w:t>to the underlying shape of the ed</w:t>
      </w:r>
      <w:r w:rsidR="00346B46">
        <w:rPr>
          <w:lang w:val="en-US"/>
        </w:rPr>
        <w:t>ucational distribution (Figure A2</w:t>
      </w:r>
      <w:r w:rsidRPr="00296F3D">
        <w:rPr>
          <w:lang w:val="en-US"/>
        </w:rPr>
        <w:t>)</w:t>
      </w:r>
      <w:r w:rsidR="00A2549F">
        <w:rPr>
          <w:lang w:val="en-US"/>
        </w:rPr>
        <w:t xml:space="preserve">.  This </w:t>
      </w:r>
      <w:r w:rsidRPr="00296F3D">
        <w:rPr>
          <w:lang w:val="en-US"/>
        </w:rPr>
        <w:t>explain</w:t>
      </w:r>
      <w:r w:rsidR="00A2549F">
        <w:rPr>
          <w:lang w:val="en-US"/>
        </w:rPr>
        <w:t>s</w:t>
      </w:r>
      <w:r w:rsidRPr="00296F3D">
        <w:rPr>
          <w:lang w:val="en-US"/>
        </w:rPr>
        <w:t xml:space="preserve"> the differences in the estimated coefficients a</w:t>
      </w:r>
      <w:r w:rsidR="00A2549F">
        <w:rPr>
          <w:lang w:val="en-US"/>
        </w:rPr>
        <w:t>cross</w:t>
      </w:r>
      <w:r w:rsidRPr="00296F3D">
        <w:rPr>
          <w:lang w:val="en-US"/>
        </w:rPr>
        <w:t xml:space="preserve"> the two datasets. </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6"/>
        <w:gridCol w:w="4515"/>
      </w:tblGrid>
      <w:tr w:rsidR="00296F3D" w:rsidRPr="00296F3D" w14:paraId="097BFA98" w14:textId="77777777" w:rsidTr="00402E30">
        <w:trPr>
          <w:trHeight w:hRule="exact" w:val="284"/>
        </w:trPr>
        <w:tc>
          <w:tcPr>
            <w:tcW w:w="0" w:type="auto"/>
            <w:gridSpan w:val="2"/>
          </w:tcPr>
          <w:p w14:paraId="07EC260A" w14:textId="76E22264" w:rsidR="00296F3D" w:rsidRPr="00296F3D" w:rsidRDefault="00402E30" w:rsidP="00402E30">
            <w:pPr>
              <w:spacing w:after="200" w:line="360" w:lineRule="auto"/>
              <w:jc w:val="both"/>
              <w:rPr>
                <w:b/>
                <w:lang w:val="tr-TR"/>
              </w:rPr>
            </w:pPr>
            <w:r>
              <w:rPr>
                <w:b/>
                <w:lang w:val="tr-TR"/>
              </w:rPr>
              <w:t>Figure A2 - years of education by a</w:t>
            </w:r>
            <w:r w:rsidR="00296F3D" w:rsidRPr="00296F3D">
              <w:rPr>
                <w:b/>
                <w:lang w:val="tr-TR"/>
              </w:rPr>
              <w:t>ge</w:t>
            </w:r>
          </w:p>
        </w:tc>
      </w:tr>
      <w:tr w:rsidR="00296F3D" w:rsidRPr="00296F3D" w14:paraId="7840CF10" w14:textId="77777777" w:rsidTr="00402E30">
        <w:trPr>
          <w:trHeight w:hRule="exact" w:val="3175"/>
        </w:trPr>
        <w:tc>
          <w:tcPr>
            <w:tcW w:w="0" w:type="auto"/>
          </w:tcPr>
          <w:p w14:paraId="3AF91B5F" w14:textId="332CE9D5" w:rsidR="00296F3D" w:rsidRPr="00402E30" w:rsidRDefault="00296F3D" w:rsidP="00402E30">
            <w:pPr>
              <w:spacing w:after="200" w:line="360" w:lineRule="auto"/>
              <w:jc w:val="both"/>
              <w:rPr>
                <w:lang w:val="en-US"/>
              </w:rPr>
            </w:pPr>
            <w:r w:rsidRPr="00296F3D">
              <w:rPr>
                <w:noProof/>
                <w:lang w:val="en-US"/>
              </w:rPr>
              <w:drawing>
                <wp:inline distT="0" distB="0" distL="0" distR="0" wp14:anchorId="7091CD72" wp14:editId="248375BE">
                  <wp:extent cx="2696958" cy="1971304"/>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23466" cy="1990680"/>
                          </a:xfrm>
                          <a:prstGeom prst="rect">
                            <a:avLst/>
                          </a:prstGeom>
                          <a:noFill/>
                        </pic:spPr>
                      </pic:pic>
                    </a:graphicData>
                  </a:graphic>
                </wp:inline>
              </w:drawing>
            </w:r>
          </w:p>
        </w:tc>
        <w:tc>
          <w:tcPr>
            <w:tcW w:w="0" w:type="auto"/>
          </w:tcPr>
          <w:p w14:paraId="53DA4974" w14:textId="5D13589C" w:rsidR="00296F3D" w:rsidRPr="00402E30" w:rsidRDefault="00296F3D" w:rsidP="00402E30">
            <w:pPr>
              <w:spacing w:after="200" w:line="360" w:lineRule="auto"/>
              <w:jc w:val="both"/>
            </w:pPr>
            <w:r w:rsidRPr="00296F3D">
              <w:rPr>
                <w:noProof/>
                <w:lang w:val="en-US"/>
              </w:rPr>
              <w:drawing>
                <wp:inline distT="0" distB="0" distL="0" distR="0" wp14:anchorId="6248C014" wp14:editId="1BFDB91A">
                  <wp:extent cx="2729911" cy="199539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60407" cy="2017680"/>
                          </a:xfrm>
                          <a:prstGeom prst="rect">
                            <a:avLst/>
                          </a:prstGeom>
                          <a:noFill/>
                        </pic:spPr>
                      </pic:pic>
                    </a:graphicData>
                  </a:graphic>
                </wp:inline>
              </w:drawing>
            </w:r>
          </w:p>
        </w:tc>
      </w:tr>
      <w:tr w:rsidR="00402E30" w:rsidRPr="00296F3D" w14:paraId="1D61DA3E" w14:textId="77777777" w:rsidTr="00402E30">
        <w:trPr>
          <w:trHeight w:hRule="exact" w:val="170"/>
        </w:trPr>
        <w:tc>
          <w:tcPr>
            <w:tcW w:w="0" w:type="auto"/>
          </w:tcPr>
          <w:p w14:paraId="7B1A8C71" w14:textId="5E16FE76" w:rsidR="00402E30" w:rsidRPr="00296F3D" w:rsidRDefault="00402E30" w:rsidP="00402E30">
            <w:pPr>
              <w:spacing w:line="360" w:lineRule="auto"/>
              <w:jc w:val="both"/>
            </w:pPr>
            <w:r w:rsidRPr="00296F3D">
              <w:rPr>
                <w:sz w:val="16"/>
                <w:szCs w:val="16"/>
                <w:lang w:val="en-US"/>
              </w:rPr>
              <w:t>BES data</w:t>
            </w:r>
          </w:p>
        </w:tc>
        <w:tc>
          <w:tcPr>
            <w:tcW w:w="0" w:type="auto"/>
          </w:tcPr>
          <w:p w14:paraId="448AD6DE" w14:textId="64CF4784" w:rsidR="00402E30" w:rsidRPr="00296F3D" w:rsidRDefault="00402E30" w:rsidP="00402E30">
            <w:pPr>
              <w:spacing w:line="360" w:lineRule="auto"/>
              <w:jc w:val="both"/>
            </w:pPr>
            <w:r w:rsidRPr="00296F3D">
              <w:rPr>
                <w:sz w:val="16"/>
                <w:szCs w:val="16"/>
                <w:lang w:val="en-US"/>
              </w:rPr>
              <w:t>ESS-BSAS data</w:t>
            </w:r>
          </w:p>
        </w:tc>
      </w:tr>
    </w:tbl>
    <w:p w14:paraId="638FEBDD" w14:textId="77777777" w:rsidR="00850DB5" w:rsidRDefault="00850DB5" w:rsidP="00296F3D">
      <w:pPr>
        <w:spacing w:line="360" w:lineRule="auto"/>
        <w:jc w:val="both"/>
        <w:rPr>
          <w:lang w:val="en-US"/>
        </w:rPr>
      </w:pPr>
    </w:p>
    <w:p w14:paraId="6ED7F0AE" w14:textId="51775804" w:rsidR="00296F3D" w:rsidRPr="00296F3D" w:rsidRDefault="00296F3D" w:rsidP="00296F3D">
      <w:pPr>
        <w:spacing w:line="360" w:lineRule="auto"/>
        <w:jc w:val="both"/>
        <w:rPr>
          <w:lang w:val="en-US"/>
        </w:rPr>
      </w:pPr>
      <w:r w:rsidRPr="00296F3D">
        <w:rPr>
          <w:lang w:val="en-US"/>
        </w:rPr>
        <w:t>As n</w:t>
      </w:r>
      <w:r w:rsidR="00402E30">
        <w:rPr>
          <w:lang w:val="en-US"/>
        </w:rPr>
        <w:t xml:space="preserve">oted in Section 4, </w:t>
      </w:r>
      <w:r w:rsidR="00A2549F">
        <w:rPr>
          <w:lang w:val="en-US"/>
        </w:rPr>
        <w:t>y</w:t>
      </w:r>
      <w:r w:rsidRPr="00296F3D">
        <w:rPr>
          <w:lang w:val="en-US"/>
        </w:rPr>
        <w:t xml:space="preserve">ears of schooling vary with age. </w:t>
      </w:r>
      <w:r w:rsidR="00A2549F">
        <w:rPr>
          <w:lang w:val="en-US"/>
        </w:rPr>
        <w:t>Figure A2</w:t>
      </w:r>
      <w:r w:rsidRPr="00296F3D">
        <w:rPr>
          <w:lang w:val="en-US"/>
        </w:rPr>
        <w:t xml:space="preserve"> shows how access to education has been increasing</w:t>
      </w:r>
      <w:r w:rsidR="00C15EE6">
        <w:rPr>
          <w:lang w:val="en-US"/>
        </w:rPr>
        <w:t xml:space="preserve"> in these alternative data sets</w:t>
      </w:r>
      <w:r w:rsidRPr="00296F3D">
        <w:rPr>
          <w:lang w:val="en-US"/>
        </w:rPr>
        <w:t>, with older residents showing average levels of education lower than younger generations</w:t>
      </w:r>
      <w:r w:rsidR="00850DB5">
        <w:rPr>
          <w:lang w:val="en-US"/>
        </w:rPr>
        <w:t xml:space="preserve">, </w:t>
      </w:r>
      <w:r w:rsidRPr="00296F3D">
        <w:rPr>
          <w:lang w:val="en-US"/>
        </w:rPr>
        <w:t xml:space="preserve">except for young individuals not </w:t>
      </w:r>
      <w:r w:rsidR="00850DB5">
        <w:rPr>
          <w:lang w:val="en-US"/>
        </w:rPr>
        <w:t xml:space="preserve">yet </w:t>
      </w:r>
      <w:r w:rsidRPr="00296F3D">
        <w:rPr>
          <w:lang w:val="en-US"/>
        </w:rPr>
        <w:t xml:space="preserve">having yet </w:t>
      </w:r>
      <w:r w:rsidR="00C15EE6">
        <w:rPr>
          <w:lang w:val="en-US"/>
        </w:rPr>
        <w:t>complet</w:t>
      </w:r>
      <w:r w:rsidR="00166267">
        <w:rPr>
          <w:lang w:val="en-US"/>
        </w:rPr>
        <w:t>ed</w:t>
      </w:r>
      <w:r w:rsidRPr="00296F3D">
        <w:rPr>
          <w:lang w:val="en-US"/>
        </w:rPr>
        <w:t xml:space="preserve"> school.  </w:t>
      </w:r>
    </w:p>
    <w:p w14:paraId="6D3927C3" w14:textId="5A4163A9" w:rsidR="00296F3D" w:rsidRPr="00296F3D" w:rsidRDefault="00296F3D" w:rsidP="00296F3D">
      <w:pPr>
        <w:spacing w:line="360" w:lineRule="auto"/>
        <w:jc w:val="both"/>
        <w:rPr>
          <w:lang w:val="en-US"/>
        </w:rPr>
      </w:pPr>
      <w:r w:rsidRPr="00296F3D">
        <w:rPr>
          <w:lang w:val="en-US"/>
        </w:rPr>
        <w:t>The bias associated with the exclusion of education from regression (1) varies from variable to variable. For obvious reasons, a positive relationship between age and number of years of education holds</w:t>
      </w:r>
      <w:r w:rsidR="00166267">
        <w:rPr>
          <w:lang w:val="en-US"/>
        </w:rPr>
        <w:t xml:space="preserve"> most</w:t>
      </w:r>
      <w:r w:rsidRPr="00296F3D">
        <w:rPr>
          <w:lang w:val="en-US"/>
        </w:rPr>
        <w:t xml:space="preserve"> strongly for </w:t>
      </w:r>
      <w:r w:rsidR="00A2549F">
        <w:rPr>
          <w:lang w:val="en-US"/>
        </w:rPr>
        <w:t>young voters</w:t>
      </w:r>
      <w:r w:rsidRPr="00296F3D">
        <w:rPr>
          <w:lang w:val="en-US"/>
        </w:rPr>
        <w:t xml:space="preserve">. </w:t>
      </w:r>
      <w:r w:rsidR="00166267">
        <w:rPr>
          <w:lang w:val="en-US"/>
        </w:rPr>
        <w:t>So</w:t>
      </w:r>
      <w:r w:rsidRPr="00296F3D">
        <w:rPr>
          <w:lang w:val="en-US"/>
        </w:rPr>
        <w:t xml:space="preserve"> long as the average respondent completes his</w:t>
      </w:r>
      <w:r w:rsidR="00C15EE6">
        <w:rPr>
          <w:lang w:val="en-US"/>
        </w:rPr>
        <w:t xml:space="preserve"> or her </w:t>
      </w:r>
      <w:r w:rsidR="00C15EE6">
        <w:rPr>
          <w:lang w:val="en-US"/>
        </w:rPr>
        <w:lastRenderedPageBreak/>
        <w:t>education by</w:t>
      </w:r>
      <w:r w:rsidRPr="00296F3D">
        <w:rPr>
          <w:lang w:val="en-US"/>
        </w:rPr>
        <w:t xml:space="preserve"> 25 years of age, in every new survey wave from when an individual is 18 years or older we will detect a tendency for years of education to rise with age.</w:t>
      </w:r>
      <w:r w:rsidR="00850DB5">
        <w:rPr>
          <w:rStyle w:val="FootnoteReference"/>
          <w:lang w:val="en-US"/>
        </w:rPr>
        <w:footnoteReference w:id="23"/>
      </w:r>
      <w:r w:rsidRPr="00296F3D">
        <w:rPr>
          <w:lang w:val="en-US"/>
        </w:rPr>
        <w:t xml:space="preserve"> </w:t>
      </w:r>
    </w:p>
    <w:p w14:paraId="75AA2E40" w14:textId="763834EA" w:rsidR="00402E30" w:rsidRPr="00296F3D" w:rsidRDefault="00296F3D" w:rsidP="00296F3D">
      <w:pPr>
        <w:spacing w:line="360" w:lineRule="auto"/>
        <w:jc w:val="both"/>
        <w:rPr>
          <w:lang w:val="en-US"/>
        </w:rPr>
      </w:pPr>
      <w:r w:rsidRPr="00296F3D">
        <w:rPr>
          <w:lang w:val="en-US"/>
        </w:rPr>
        <w:t xml:space="preserve">Controlling for education </w:t>
      </w:r>
      <w:r w:rsidR="00C15EE6">
        <w:rPr>
          <w:lang w:val="en-US"/>
        </w:rPr>
        <w:t>also influences</w:t>
      </w:r>
      <w:r w:rsidRPr="00296F3D">
        <w:rPr>
          <w:lang w:val="en-US"/>
        </w:rPr>
        <w:t xml:space="preserve"> the marginal cohort effects, given </w:t>
      </w:r>
      <w:r w:rsidR="00A2549F">
        <w:rPr>
          <w:lang w:val="en-US"/>
        </w:rPr>
        <w:t>how a</w:t>
      </w:r>
      <w:r w:rsidRPr="00296F3D">
        <w:rPr>
          <w:lang w:val="en-US"/>
        </w:rPr>
        <w:t>ccess to education has improved over time</w:t>
      </w:r>
      <w:r w:rsidR="00A2549F">
        <w:rPr>
          <w:lang w:val="en-US"/>
        </w:rPr>
        <w:t xml:space="preserve"> (</w:t>
      </w:r>
      <w:r w:rsidR="00166267">
        <w:rPr>
          <w:lang w:val="en-US"/>
        </w:rPr>
        <w:t>so that</w:t>
      </w:r>
      <w:r w:rsidR="00C15EE6">
        <w:rPr>
          <w:lang w:val="en-US"/>
        </w:rPr>
        <w:t xml:space="preserve"> </w:t>
      </w:r>
      <w:r w:rsidRPr="00296F3D">
        <w:rPr>
          <w:lang w:val="en-US"/>
        </w:rPr>
        <w:t>educational attainment and birth cohort are correlated</w:t>
      </w:r>
      <w:r w:rsidR="00A2549F">
        <w:rPr>
          <w:lang w:val="en-US"/>
        </w:rPr>
        <w:t>)</w:t>
      </w:r>
      <w:r w:rsidRPr="00296F3D">
        <w:rPr>
          <w:lang w:val="en-US"/>
        </w:rPr>
        <w:t xml:space="preserve">. As shown in Figure </w:t>
      </w:r>
      <w:r w:rsidR="00A2549F">
        <w:rPr>
          <w:lang w:val="en-US"/>
        </w:rPr>
        <w:t>A</w:t>
      </w:r>
      <w:r w:rsidRPr="00296F3D">
        <w:rPr>
          <w:lang w:val="en-US"/>
        </w:rPr>
        <w:t>6, including education reduces the marginal cohort effects by as much as 4.4 percentage points. The 1990 cohort is the most negatively affected, while the 1890 cohort (</w:t>
      </w:r>
      <w:r w:rsidR="00A2549F">
        <w:rPr>
          <w:lang w:val="en-US"/>
        </w:rPr>
        <w:t>recall that</w:t>
      </w:r>
      <w:r w:rsidRPr="00296F3D">
        <w:rPr>
          <w:lang w:val="en-US"/>
        </w:rPr>
        <w:t xml:space="preserve"> we are analyzing surveys taken as early as 1980) is the only </w:t>
      </w:r>
      <w:r w:rsidR="00A2549F">
        <w:rPr>
          <w:lang w:val="en-US"/>
        </w:rPr>
        <w:t xml:space="preserve">one </w:t>
      </w:r>
      <w:r w:rsidRPr="00296F3D">
        <w:rPr>
          <w:lang w:val="en-US"/>
        </w:rPr>
        <w:t>to benefit. The reduction in negative impact from 1990 onward is due to the fact that most recent cohorts are still in the process of completing their education and therefore show lower levels of educational attainment than pre-1990s cohorts.</w:t>
      </w:r>
    </w:p>
    <w:tbl>
      <w:tblPr>
        <w:tblStyle w:val="TableGrid"/>
        <w:tblpPr w:leftFromText="180" w:rightFromText="180" w:vertAnchor="text" w:horzAnchor="margin"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296F3D" w:rsidRPr="00296F3D" w14:paraId="48E3F8F8" w14:textId="77777777" w:rsidTr="00E970FF">
        <w:tc>
          <w:tcPr>
            <w:tcW w:w="9286" w:type="dxa"/>
          </w:tcPr>
          <w:p w14:paraId="49271B85" w14:textId="1F57490C" w:rsidR="00296F3D" w:rsidRPr="00296F3D" w:rsidRDefault="00402E30" w:rsidP="00296F3D">
            <w:pPr>
              <w:spacing w:after="200" w:line="360" w:lineRule="auto"/>
              <w:jc w:val="both"/>
              <w:rPr>
                <w:b/>
                <w:lang w:val="tr-TR"/>
              </w:rPr>
            </w:pPr>
            <w:r>
              <w:rPr>
                <w:b/>
                <w:lang w:val="tr-TR"/>
              </w:rPr>
              <w:t>Figure A3 - hypotetical o</w:t>
            </w:r>
            <w:r w:rsidR="00296F3D" w:rsidRPr="00296F3D">
              <w:rPr>
                <w:b/>
                <w:lang w:val="tr-TR"/>
              </w:rPr>
              <w:t>mitted variable bias in cohort effects arising from exclusion of education</w:t>
            </w:r>
          </w:p>
          <w:p w14:paraId="7C57A1B8" w14:textId="77777777" w:rsidR="00296F3D" w:rsidRPr="00296F3D" w:rsidRDefault="00296F3D" w:rsidP="00296F3D">
            <w:pPr>
              <w:spacing w:after="200" w:line="360" w:lineRule="auto"/>
              <w:jc w:val="both"/>
              <w:rPr>
                <w:b/>
                <w:lang w:val="tr-TR"/>
              </w:rPr>
            </w:pPr>
            <w:r w:rsidRPr="00296F3D">
              <w:rPr>
                <w:noProof/>
                <w:lang w:val="en-US"/>
              </w:rPr>
              <w:drawing>
                <wp:inline distT="0" distB="0" distL="0" distR="0" wp14:anchorId="6FB2DB41" wp14:editId="2CFE6988">
                  <wp:extent cx="5095875" cy="2466975"/>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r w:rsidR="00296F3D" w:rsidRPr="00296F3D" w14:paraId="78FD7BD7" w14:textId="77777777" w:rsidTr="00E970FF">
        <w:tc>
          <w:tcPr>
            <w:tcW w:w="9286" w:type="dxa"/>
          </w:tcPr>
          <w:p w14:paraId="6CD315F0" w14:textId="52C3AE48" w:rsidR="00296F3D" w:rsidRPr="00296F3D" w:rsidRDefault="00402E30" w:rsidP="00296F3D">
            <w:pPr>
              <w:spacing w:after="200" w:line="360" w:lineRule="auto"/>
              <w:jc w:val="both"/>
              <w:rPr>
                <w:sz w:val="16"/>
                <w:szCs w:val="16"/>
                <w:lang w:val="en-US"/>
              </w:rPr>
            </w:pPr>
            <w:r>
              <w:rPr>
                <w:sz w:val="16"/>
                <w:szCs w:val="16"/>
                <w:lang w:val="en-US"/>
              </w:rPr>
              <w:t xml:space="preserve">BES dataset. </w:t>
            </w:r>
            <w:r w:rsidR="00296F3D" w:rsidRPr="00296F3D">
              <w:rPr>
                <w:sz w:val="16"/>
                <w:szCs w:val="16"/>
                <w:lang w:val="en-US"/>
              </w:rPr>
              <w:t>The size of OVB is obtained from linear regressions specified in the same way as those shown in Table 1</w:t>
            </w:r>
          </w:p>
        </w:tc>
      </w:tr>
    </w:tbl>
    <w:p w14:paraId="2F84D746" w14:textId="77777777" w:rsidR="00296F3D" w:rsidRDefault="00296F3D" w:rsidP="00296F3D">
      <w:pPr>
        <w:spacing w:line="360" w:lineRule="auto"/>
        <w:jc w:val="both"/>
        <w:rPr>
          <w:lang w:val="en-US"/>
        </w:rPr>
      </w:pPr>
    </w:p>
    <w:p w14:paraId="31558D0D" w14:textId="77777777" w:rsidR="008871C4" w:rsidRDefault="008871C4" w:rsidP="00296F3D">
      <w:pPr>
        <w:spacing w:line="360" w:lineRule="auto"/>
        <w:jc w:val="both"/>
        <w:rPr>
          <w:lang w:val="en-US"/>
        </w:rPr>
      </w:pPr>
    </w:p>
    <w:p w14:paraId="3A10F467" w14:textId="77777777" w:rsidR="008871C4" w:rsidRDefault="008871C4" w:rsidP="00296F3D">
      <w:pPr>
        <w:spacing w:line="360" w:lineRule="auto"/>
        <w:jc w:val="both"/>
        <w:rPr>
          <w:lang w:val="en-US"/>
        </w:rPr>
      </w:pPr>
    </w:p>
    <w:p w14:paraId="444E137C" w14:textId="77777777" w:rsidR="0018642C" w:rsidRDefault="0018642C" w:rsidP="00296F3D">
      <w:pPr>
        <w:spacing w:line="360" w:lineRule="auto"/>
        <w:jc w:val="both"/>
        <w:rPr>
          <w:lang w:val="en-US"/>
        </w:rPr>
      </w:pPr>
    </w:p>
    <w:p w14:paraId="024E6480" w14:textId="77777777" w:rsidR="0018642C" w:rsidRDefault="0018642C" w:rsidP="00296F3D">
      <w:pPr>
        <w:spacing w:line="360" w:lineRule="auto"/>
        <w:jc w:val="both"/>
        <w:rPr>
          <w:lang w:val="en-US"/>
        </w:rPr>
      </w:pPr>
    </w:p>
    <w:p w14:paraId="377CF49A" w14:textId="77777777" w:rsidR="008871C4" w:rsidRDefault="008871C4" w:rsidP="00296F3D">
      <w:pPr>
        <w:spacing w:line="360" w:lineRule="auto"/>
        <w:jc w:val="both"/>
        <w:rPr>
          <w:lang w:val="en-US"/>
        </w:rPr>
      </w:pPr>
    </w:p>
    <w:p w14:paraId="4FC081F9" w14:textId="77777777" w:rsidR="008871C4" w:rsidRPr="00296F3D" w:rsidRDefault="008871C4" w:rsidP="00296F3D">
      <w:pPr>
        <w:spacing w:line="360" w:lineRule="auto"/>
        <w:jc w:val="both"/>
        <w:rPr>
          <w:lang w:val="en-US"/>
        </w:rPr>
      </w:pPr>
    </w:p>
    <w:tbl>
      <w:tblPr>
        <w:tblStyle w:val="TableGrid"/>
        <w:tblpPr w:leftFromText="180" w:rightFromText="180" w:vertAnchor="text" w:horzAnchor="margin"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84"/>
      </w:tblGrid>
      <w:tr w:rsidR="00296F3D" w:rsidRPr="00296F3D" w14:paraId="340AD82C" w14:textId="77777777" w:rsidTr="00402E30">
        <w:trPr>
          <w:trHeight w:hRule="exact" w:val="340"/>
        </w:trPr>
        <w:tc>
          <w:tcPr>
            <w:tcW w:w="9286" w:type="dxa"/>
            <w:gridSpan w:val="2"/>
          </w:tcPr>
          <w:p w14:paraId="16436F20" w14:textId="14CFCDCF" w:rsidR="00296F3D" w:rsidRPr="00296F3D" w:rsidRDefault="00402E30" w:rsidP="00296F3D">
            <w:pPr>
              <w:spacing w:after="200" w:line="360" w:lineRule="auto"/>
              <w:jc w:val="both"/>
              <w:rPr>
                <w:lang w:val="tr-TR"/>
              </w:rPr>
            </w:pPr>
            <w:r>
              <w:rPr>
                <w:b/>
                <w:lang w:val="tr-TR"/>
              </w:rPr>
              <w:t>Figure A4 -</w:t>
            </w:r>
            <w:r w:rsidR="00296F3D" w:rsidRPr="00296F3D">
              <w:rPr>
                <w:b/>
                <w:lang w:val="tr-TR"/>
              </w:rPr>
              <w:t xml:space="preserve"> Visual display of marginal effects </w:t>
            </w:r>
          </w:p>
        </w:tc>
      </w:tr>
      <w:tr w:rsidR="00296F3D" w:rsidRPr="00296F3D" w14:paraId="3D1B0688" w14:textId="77777777" w:rsidTr="00346B46">
        <w:trPr>
          <w:trHeight w:hRule="exact" w:val="340"/>
        </w:trPr>
        <w:tc>
          <w:tcPr>
            <w:tcW w:w="4602" w:type="dxa"/>
          </w:tcPr>
          <w:p w14:paraId="1F13D6A5" w14:textId="77777777" w:rsidR="00296F3D" w:rsidRPr="00296F3D" w:rsidRDefault="00296F3D" w:rsidP="00296F3D">
            <w:pPr>
              <w:spacing w:after="200" w:line="360" w:lineRule="auto"/>
              <w:jc w:val="both"/>
              <w:rPr>
                <w:lang w:val="tr-TR"/>
              </w:rPr>
            </w:pPr>
            <w:r w:rsidRPr="00296F3D">
              <w:rPr>
                <w:i/>
                <w:lang w:val="tr-TR"/>
              </w:rPr>
              <w:t>ESS-BSAS</w:t>
            </w:r>
            <w:r w:rsidRPr="00296F3D">
              <w:rPr>
                <w:lang w:val="tr-TR"/>
              </w:rPr>
              <w:t xml:space="preserve"> - Probit prediction </w:t>
            </w:r>
          </w:p>
        </w:tc>
        <w:tc>
          <w:tcPr>
            <w:tcW w:w="4684" w:type="dxa"/>
          </w:tcPr>
          <w:p w14:paraId="571E366E" w14:textId="77777777" w:rsidR="00296F3D" w:rsidRPr="00296F3D" w:rsidRDefault="00296F3D" w:rsidP="00296F3D">
            <w:pPr>
              <w:spacing w:after="200" w:line="360" w:lineRule="auto"/>
              <w:jc w:val="both"/>
              <w:rPr>
                <w:lang w:val="tr-TR"/>
              </w:rPr>
            </w:pPr>
            <w:r w:rsidRPr="00296F3D">
              <w:rPr>
                <w:i/>
                <w:lang w:val="tr-TR"/>
              </w:rPr>
              <w:t>BES</w:t>
            </w:r>
            <w:r w:rsidRPr="00296F3D">
              <w:rPr>
                <w:lang w:val="tr-TR"/>
              </w:rPr>
              <w:t xml:space="preserve"> - Probit prediction </w:t>
            </w:r>
          </w:p>
        </w:tc>
      </w:tr>
      <w:tr w:rsidR="00296F3D" w:rsidRPr="00296F3D" w14:paraId="4DB2BA7F" w14:textId="77777777" w:rsidTr="00402E30">
        <w:trPr>
          <w:trHeight w:hRule="exact" w:val="340"/>
        </w:trPr>
        <w:tc>
          <w:tcPr>
            <w:tcW w:w="9286" w:type="dxa"/>
            <w:gridSpan w:val="2"/>
          </w:tcPr>
          <w:p w14:paraId="50D670D0" w14:textId="77777777" w:rsidR="00296F3D" w:rsidRPr="00296F3D" w:rsidRDefault="00296F3D" w:rsidP="00296F3D">
            <w:pPr>
              <w:spacing w:after="200" w:line="360" w:lineRule="auto"/>
              <w:jc w:val="both"/>
              <w:rPr>
                <w:lang w:val="tr-TR"/>
              </w:rPr>
            </w:pPr>
            <w:r w:rsidRPr="00296F3D">
              <w:rPr>
                <w:lang w:val="tr-TR"/>
              </w:rPr>
              <w:t>...by age</w:t>
            </w:r>
          </w:p>
        </w:tc>
      </w:tr>
      <w:tr w:rsidR="00296F3D" w:rsidRPr="00296F3D" w14:paraId="308D8C67" w14:textId="77777777" w:rsidTr="00346B46">
        <w:tc>
          <w:tcPr>
            <w:tcW w:w="4602" w:type="dxa"/>
          </w:tcPr>
          <w:p w14:paraId="5CA9794B" w14:textId="77777777" w:rsidR="00296F3D" w:rsidRPr="00296F3D" w:rsidRDefault="00296F3D" w:rsidP="00296F3D">
            <w:pPr>
              <w:spacing w:after="200" w:line="360" w:lineRule="auto"/>
              <w:jc w:val="both"/>
              <w:rPr>
                <w:lang w:val="tr-TR"/>
              </w:rPr>
            </w:pPr>
            <w:r w:rsidRPr="00296F3D">
              <w:rPr>
                <w:noProof/>
                <w:lang w:val="en-US"/>
              </w:rPr>
              <w:drawing>
                <wp:inline distT="0" distB="0" distL="0" distR="0" wp14:anchorId="774917B5" wp14:editId="4A1F654D">
                  <wp:extent cx="2846738" cy="2083367"/>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861510" cy="2094178"/>
                          </a:xfrm>
                          <a:prstGeom prst="rect">
                            <a:avLst/>
                          </a:prstGeom>
                          <a:noFill/>
                        </pic:spPr>
                      </pic:pic>
                    </a:graphicData>
                  </a:graphic>
                </wp:inline>
              </w:drawing>
            </w:r>
          </w:p>
        </w:tc>
        <w:tc>
          <w:tcPr>
            <w:tcW w:w="4684" w:type="dxa"/>
          </w:tcPr>
          <w:p w14:paraId="6C9F264F" w14:textId="77777777" w:rsidR="00296F3D" w:rsidRPr="00296F3D" w:rsidRDefault="00296F3D" w:rsidP="00296F3D">
            <w:pPr>
              <w:spacing w:after="200" w:line="360" w:lineRule="auto"/>
              <w:jc w:val="both"/>
              <w:rPr>
                <w:lang w:val="tr-TR"/>
              </w:rPr>
            </w:pPr>
            <w:r w:rsidRPr="00296F3D">
              <w:rPr>
                <w:noProof/>
                <w:lang w:val="en-US"/>
              </w:rPr>
              <w:drawing>
                <wp:inline distT="0" distB="0" distL="0" distR="0" wp14:anchorId="317E200D" wp14:editId="4EA06DD6">
                  <wp:extent cx="2900267" cy="211991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919527" cy="2133988"/>
                          </a:xfrm>
                          <a:prstGeom prst="rect">
                            <a:avLst/>
                          </a:prstGeom>
                          <a:noFill/>
                        </pic:spPr>
                      </pic:pic>
                    </a:graphicData>
                  </a:graphic>
                </wp:inline>
              </w:drawing>
            </w:r>
          </w:p>
        </w:tc>
      </w:tr>
      <w:tr w:rsidR="00296F3D" w:rsidRPr="00296F3D" w14:paraId="37314F00" w14:textId="77777777" w:rsidTr="00402E30">
        <w:trPr>
          <w:trHeight w:hRule="exact" w:val="340"/>
        </w:trPr>
        <w:tc>
          <w:tcPr>
            <w:tcW w:w="9286" w:type="dxa"/>
            <w:gridSpan w:val="2"/>
          </w:tcPr>
          <w:p w14:paraId="41500DE1" w14:textId="77777777" w:rsidR="00296F3D" w:rsidRPr="00296F3D" w:rsidRDefault="00296F3D" w:rsidP="00296F3D">
            <w:pPr>
              <w:spacing w:after="200" w:line="360" w:lineRule="auto"/>
              <w:jc w:val="both"/>
              <w:rPr>
                <w:lang w:val="tr-TR"/>
              </w:rPr>
            </w:pPr>
            <w:r w:rsidRPr="00296F3D">
              <w:rPr>
                <w:lang w:val="tr-TR"/>
              </w:rPr>
              <w:t>...by cohort</w:t>
            </w:r>
          </w:p>
        </w:tc>
      </w:tr>
      <w:tr w:rsidR="00296F3D" w:rsidRPr="00296F3D" w14:paraId="16F9CC75" w14:textId="77777777" w:rsidTr="00346B46">
        <w:tc>
          <w:tcPr>
            <w:tcW w:w="4602" w:type="dxa"/>
          </w:tcPr>
          <w:p w14:paraId="79B079CE" w14:textId="77777777" w:rsidR="00296F3D" w:rsidRPr="00296F3D" w:rsidRDefault="00296F3D" w:rsidP="00296F3D">
            <w:pPr>
              <w:spacing w:after="200" w:line="360" w:lineRule="auto"/>
              <w:jc w:val="both"/>
              <w:rPr>
                <w:lang w:val="tr-TR"/>
              </w:rPr>
            </w:pPr>
            <w:r w:rsidRPr="00296F3D">
              <w:rPr>
                <w:noProof/>
                <w:lang w:val="en-US"/>
              </w:rPr>
              <w:drawing>
                <wp:inline distT="0" distB="0" distL="0" distR="0" wp14:anchorId="7BA27FC8" wp14:editId="240D2214">
                  <wp:extent cx="2810273" cy="2054431"/>
                  <wp:effectExtent l="0" t="0" r="9525" b="317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27976" cy="2067372"/>
                          </a:xfrm>
                          <a:prstGeom prst="rect">
                            <a:avLst/>
                          </a:prstGeom>
                          <a:noFill/>
                        </pic:spPr>
                      </pic:pic>
                    </a:graphicData>
                  </a:graphic>
                </wp:inline>
              </w:drawing>
            </w:r>
          </w:p>
        </w:tc>
        <w:tc>
          <w:tcPr>
            <w:tcW w:w="4684" w:type="dxa"/>
            <w:vAlign w:val="center"/>
          </w:tcPr>
          <w:p w14:paraId="023DC6A1" w14:textId="77777777" w:rsidR="00296F3D" w:rsidRPr="00296F3D" w:rsidRDefault="00296F3D" w:rsidP="00296F3D">
            <w:pPr>
              <w:spacing w:after="200" w:line="360" w:lineRule="auto"/>
              <w:jc w:val="both"/>
              <w:rPr>
                <w:lang w:val="tr-TR"/>
              </w:rPr>
            </w:pPr>
            <w:r w:rsidRPr="00296F3D">
              <w:rPr>
                <w:noProof/>
                <w:lang w:val="en-US"/>
              </w:rPr>
              <w:drawing>
                <wp:inline distT="0" distB="0" distL="0" distR="0" wp14:anchorId="26E12DDD" wp14:editId="27A92D89">
                  <wp:extent cx="2875673" cy="2101933"/>
                  <wp:effectExtent l="0" t="0" r="127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885813" cy="2109345"/>
                          </a:xfrm>
                          <a:prstGeom prst="rect">
                            <a:avLst/>
                          </a:prstGeom>
                          <a:noFill/>
                        </pic:spPr>
                      </pic:pic>
                    </a:graphicData>
                  </a:graphic>
                </wp:inline>
              </w:drawing>
            </w:r>
          </w:p>
        </w:tc>
      </w:tr>
      <w:tr w:rsidR="00296F3D" w:rsidRPr="00296F3D" w14:paraId="1CEC3281" w14:textId="77777777" w:rsidTr="00402E30">
        <w:trPr>
          <w:trHeight w:hRule="exact" w:val="340"/>
        </w:trPr>
        <w:tc>
          <w:tcPr>
            <w:tcW w:w="9286" w:type="dxa"/>
            <w:gridSpan w:val="2"/>
          </w:tcPr>
          <w:p w14:paraId="0825604E" w14:textId="77777777" w:rsidR="00296F3D" w:rsidRPr="00296F3D" w:rsidRDefault="00296F3D" w:rsidP="00296F3D">
            <w:pPr>
              <w:spacing w:after="200" w:line="360" w:lineRule="auto"/>
              <w:jc w:val="both"/>
              <w:rPr>
                <w:lang w:val="tr-TR"/>
              </w:rPr>
            </w:pPr>
            <w:r w:rsidRPr="00296F3D">
              <w:rPr>
                <w:lang w:val="tr-TR"/>
              </w:rPr>
              <w:t xml:space="preserve">...by year </w:t>
            </w:r>
          </w:p>
        </w:tc>
      </w:tr>
      <w:tr w:rsidR="00296F3D" w:rsidRPr="00296F3D" w14:paraId="2658AFD3" w14:textId="77777777" w:rsidTr="00346B46">
        <w:tc>
          <w:tcPr>
            <w:tcW w:w="4602" w:type="dxa"/>
          </w:tcPr>
          <w:p w14:paraId="2C5A521C" w14:textId="77777777" w:rsidR="00296F3D" w:rsidRPr="00296F3D" w:rsidRDefault="00296F3D" w:rsidP="00296F3D">
            <w:pPr>
              <w:spacing w:after="200" w:line="360" w:lineRule="auto"/>
              <w:jc w:val="both"/>
              <w:rPr>
                <w:lang w:val="tr-TR"/>
              </w:rPr>
            </w:pPr>
            <w:r w:rsidRPr="00296F3D">
              <w:rPr>
                <w:noProof/>
                <w:lang w:val="en-US"/>
              </w:rPr>
              <w:drawing>
                <wp:inline distT="0" distB="0" distL="0" distR="0" wp14:anchorId="2044A7BB" wp14:editId="04E364F0">
                  <wp:extent cx="2799237" cy="2048604"/>
                  <wp:effectExtent l="0" t="0" r="1270" b="889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822418" cy="2065569"/>
                          </a:xfrm>
                          <a:prstGeom prst="rect">
                            <a:avLst/>
                          </a:prstGeom>
                          <a:noFill/>
                        </pic:spPr>
                      </pic:pic>
                    </a:graphicData>
                  </a:graphic>
                </wp:inline>
              </w:drawing>
            </w:r>
          </w:p>
        </w:tc>
        <w:tc>
          <w:tcPr>
            <w:tcW w:w="4684" w:type="dxa"/>
          </w:tcPr>
          <w:p w14:paraId="200CCE72" w14:textId="77777777" w:rsidR="00296F3D" w:rsidRPr="00296F3D" w:rsidRDefault="00296F3D" w:rsidP="00296F3D">
            <w:pPr>
              <w:spacing w:after="200" w:line="360" w:lineRule="auto"/>
              <w:jc w:val="both"/>
              <w:rPr>
                <w:lang w:val="tr-TR"/>
              </w:rPr>
            </w:pPr>
            <w:r w:rsidRPr="00296F3D">
              <w:rPr>
                <w:noProof/>
                <w:lang w:val="en-US"/>
              </w:rPr>
              <w:drawing>
                <wp:inline distT="0" distB="0" distL="0" distR="0" wp14:anchorId="22A400EA" wp14:editId="08C3CD8E">
                  <wp:extent cx="2839600" cy="2054431"/>
                  <wp:effectExtent l="0" t="0" r="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63751" cy="2071904"/>
                          </a:xfrm>
                          <a:prstGeom prst="rect">
                            <a:avLst/>
                          </a:prstGeom>
                        </pic:spPr>
                      </pic:pic>
                    </a:graphicData>
                  </a:graphic>
                </wp:inline>
              </w:drawing>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F33E3A" w14:paraId="657FE0AF" w14:textId="77777777" w:rsidTr="00E970FF">
        <w:trPr>
          <w:trHeight w:hRule="exact" w:val="284"/>
        </w:trPr>
        <w:tc>
          <w:tcPr>
            <w:tcW w:w="9286" w:type="dxa"/>
          </w:tcPr>
          <w:p w14:paraId="7C445BBA" w14:textId="77777777" w:rsidR="00F33E3A" w:rsidRPr="00A472A8" w:rsidRDefault="00F33E3A" w:rsidP="00E970FF">
            <w:pPr>
              <w:spacing w:line="360" w:lineRule="auto"/>
              <w:jc w:val="both"/>
              <w:rPr>
                <w:b/>
                <w:lang w:val="tr-TR"/>
              </w:rPr>
            </w:pPr>
            <w:r>
              <w:rPr>
                <w:b/>
                <w:lang w:val="tr-TR"/>
              </w:rPr>
              <w:lastRenderedPageBreak/>
              <w:t>Table A2 -</w:t>
            </w:r>
            <w:r w:rsidRPr="00A472A8">
              <w:rPr>
                <w:b/>
                <w:lang w:val="tr-TR"/>
              </w:rPr>
              <w:t xml:space="preserve"> </w:t>
            </w:r>
            <w:r>
              <w:rPr>
                <w:b/>
                <w:lang w:val="tr-TR"/>
              </w:rPr>
              <w:t>BES panel data analysis with random and fixed effects based on ID code</w:t>
            </w:r>
          </w:p>
        </w:tc>
      </w:tr>
      <w:tr w:rsidR="00F33E3A" w14:paraId="029650C4" w14:textId="77777777" w:rsidTr="00E970FF">
        <w:tc>
          <w:tcPr>
            <w:tcW w:w="9286" w:type="dxa"/>
          </w:tcPr>
          <w:p w14:paraId="75DB8BFD" w14:textId="77777777" w:rsidR="00F33E3A" w:rsidRPr="00A472A8" w:rsidRDefault="00F33E3A" w:rsidP="00E970FF">
            <w:pPr>
              <w:spacing w:line="360" w:lineRule="auto"/>
              <w:jc w:val="both"/>
              <w:rPr>
                <w:b/>
                <w:lang w:val="tr-TR"/>
              </w:rPr>
            </w:pPr>
            <w:r w:rsidRPr="00CA3328">
              <w:rPr>
                <w:noProof/>
                <w:lang w:val="en-US"/>
              </w:rPr>
              <w:drawing>
                <wp:inline distT="0" distB="0" distL="0" distR="0" wp14:anchorId="5B209CB1" wp14:editId="0D281822">
                  <wp:extent cx="3966358" cy="3973360"/>
                  <wp:effectExtent l="0" t="0" r="0" b="825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77754" cy="3984776"/>
                          </a:xfrm>
                          <a:prstGeom prst="rect">
                            <a:avLst/>
                          </a:prstGeom>
                          <a:noFill/>
                          <a:ln>
                            <a:noFill/>
                          </a:ln>
                        </pic:spPr>
                      </pic:pic>
                    </a:graphicData>
                  </a:graphic>
                </wp:inline>
              </w:drawing>
            </w:r>
          </w:p>
        </w:tc>
      </w:tr>
      <w:tr w:rsidR="00F33E3A" w14:paraId="67C60F2E" w14:textId="77777777" w:rsidTr="00E970FF">
        <w:trPr>
          <w:trHeight w:hRule="exact" w:val="284"/>
        </w:trPr>
        <w:tc>
          <w:tcPr>
            <w:tcW w:w="9286" w:type="dxa"/>
          </w:tcPr>
          <w:p w14:paraId="5BA5193D" w14:textId="678B7B3D" w:rsidR="00F33E3A" w:rsidRPr="00CA3328" w:rsidRDefault="008871C4" w:rsidP="008871C4">
            <w:pPr>
              <w:spacing w:line="360" w:lineRule="auto"/>
              <w:jc w:val="both"/>
              <w:rPr>
                <w:noProof/>
                <w:lang w:eastAsia="en-GB"/>
              </w:rPr>
            </w:pPr>
            <w:r w:rsidRPr="00665358">
              <w:rPr>
                <w:b/>
                <w:lang w:val="en-US"/>
              </w:rPr>
              <w:t xml:space="preserve">Table A3 – Results </w:t>
            </w:r>
            <w:r w:rsidR="0018642C" w:rsidRPr="008871C4">
              <w:rPr>
                <w:b/>
                <w:lang w:val="en-US"/>
              </w:rPr>
              <w:t xml:space="preserve">with Data Limited to Post-1980 Period   </w:t>
            </w:r>
          </w:p>
        </w:tc>
      </w:tr>
      <w:tr w:rsidR="00F33E3A" w14:paraId="44CBD7BF" w14:textId="77777777" w:rsidTr="00E970FF">
        <w:tc>
          <w:tcPr>
            <w:tcW w:w="9286" w:type="dxa"/>
          </w:tcPr>
          <w:p w14:paraId="34413645" w14:textId="68E5C012" w:rsidR="00C15EE6" w:rsidRPr="00CA3328" w:rsidRDefault="0018642C" w:rsidP="00E970FF">
            <w:pPr>
              <w:spacing w:line="360" w:lineRule="auto"/>
              <w:jc w:val="both"/>
              <w:rPr>
                <w:noProof/>
                <w:lang w:eastAsia="en-GB"/>
              </w:rPr>
            </w:pPr>
            <w:r w:rsidRPr="00296F3D">
              <w:rPr>
                <w:noProof/>
                <w:lang w:val="en-US"/>
              </w:rPr>
              <w:drawing>
                <wp:inline distT="0" distB="0" distL="0" distR="0" wp14:anchorId="603B7524" wp14:editId="51065E36">
                  <wp:extent cx="4415927" cy="4238625"/>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1">
                            <a:extLst>
                              <a:ext uri="{28A0092B-C50C-407E-A947-70E740481C1C}">
                                <a14:useLocalDpi xmlns:a14="http://schemas.microsoft.com/office/drawing/2010/main" val="0"/>
                              </a:ext>
                            </a:extLst>
                          </a:blip>
                          <a:srcRect t="2198"/>
                          <a:stretch/>
                        </pic:blipFill>
                        <pic:spPr bwMode="auto">
                          <a:xfrm>
                            <a:off x="0" y="0"/>
                            <a:ext cx="4415927" cy="4238625"/>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BEBE553" w14:textId="77777777" w:rsidR="00B7461B" w:rsidRDefault="00B7461B" w:rsidP="00A2549F">
      <w:pPr>
        <w:spacing w:line="360" w:lineRule="auto"/>
        <w:jc w:val="both"/>
        <w:rPr>
          <w:lang w:val="tr-TR"/>
        </w:rPr>
      </w:pPr>
    </w:p>
    <w:sectPr w:rsidR="00B7461B" w:rsidSect="000B1825">
      <w:footerReference w:type="first" r:id="rId42"/>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70AD9" w14:textId="77777777" w:rsidR="00E621E0" w:rsidRDefault="00E621E0" w:rsidP="000B1825">
      <w:pPr>
        <w:spacing w:after="0" w:line="240" w:lineRule="auto"/>
      </w:pPr>
      <w:r>
        <w:separator/>
      </w:r>
    </w:p>
  </w:endnote>
  <w:endnote w:type="continuationSeparator" w:id="0">
    <w:p w14:paraId="2379C285" w14:textId="77777777" w:rsidR="00E621E0" w:rsidRDefault="00E621E0" w:rsidP="000B1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CA42D" w14:textId="14DF0530" w:rsidR="00577DD1" w:rsidRDefault="00577DD1">
    <w:pPr>
      <w:pStyle w:val="Footer"/>
    </w:pPr>
    <w:r>
      <w:ptab w:relativeTo="margin" w:alignment="center" w:leader="none"/>
    </w:r>
    <w:r>
      <w:t>Will Brexit Age Well?</w:t>
    </w:r>
    <w:r>
      <w:ptab w:relativeTo="margin" w:alignment="right" w:leader="none"/>
    </w:r>
    <w:r>
      <w:fldChar w:fldCharType="begin"/>
    </w:r>
    <w:r>
      <w:instrText xml:space="preserve"> PAGE   \* MERGEFORMAT </w:instrText>
    </w:r>
    <w:r>
      <w:fldChar w:fldCharType="separate"/>
    </w:r>
    <w:r w:rsidR="000765FB">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90468" w14:textId="4811B153" w:rsidR="00577DD1" w:rsidRDefault="00577DD1">
    <w:pPr>
      <w:pStyle w:val="Footer"/>
    </w:pPr>
    <w:r>
      <w:ptab w:relativeTo="margin" w:alignment="center" w:leader="none"/>
    </w:r>
    <w:r>
      <w:t>Will Brexit Age Well?</w:t>
    </w:r>
    <w:r>
      <w:ptab w:relativeTo="margin" w:alignment="right" w:leader="none"/>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E385E" w14:textId="77777777" w:rsidR="00577DD1" w:rsidRDefault="00577DD1">
    <w:pPr>
      <w:pStyle w:val="Footer"/>
    </w:pPr>
    <w:r>
      <w:ptab w:relativeTo="margin" w:alignment="center" w:leader="none"/>
    </w:r>
    <w:r>
      <w:t>Title</w:t>
    </w:r>
    <w:r>
      <w:ptab w:relativeTo="margin" w:alignment="right" w:leader="none"/>
    </w:r>
    <w:r>
      <w:t>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C618B" w14:textId="77777777" w:rsidR="00E621E0" w:rsidRDefault="00E621E0" w:rsidP="000B1825">
      <w:pPr>
        <w:spacing w:after="0" w:line="240" w:lineRule="auto"/>
      </w:pPr>
      <w:r>
        <w:separator/>
      </w:r>
    </w:p>
  </w:footnote>
  <w:footnote w:type="continuationSeparator" w:id="0">
    <w:p w14:paraId="6C3B0FC6" w14:textId="77777777" w:rsidR="00E621E0" w:rsidRDefault="00E621E0" w:rsidP="000B1825">
      <w:pPr>
        <w:spacing w:after="0" w:line="240" w:lineRule="auto"/>
      </w:pPr>
      <w:r>
        <w:continuationSeparator/>
      </w:r>
    </w:p>
  </w:footnote>
  <w:footnote w:id="1">
    <w:p w14:paraId="7F7764CD" w14:textId="77777777" w:rsidR="00577DD1" w:rsidRDefault="00577DD1" w:rsidP="008A0F1B">
      <w:pPr>
        <w:pStyle w:val="FootnoteText"/>
      </w:pPr>
    </w:p>
  </w:footnote>
  <w:footnote w:id="2">
    <w:p w14:paraId="2262FF7D" w14:textId="01B6F251" w:rsidR="00577DD1" w:rsidRPr="00AF6816" w:rsidRDefault="00577DD1">
      <w:pPr>
        <w:pStyle w:val="FootnoteText"/>
        <w:rPr>
          <w:rFonts w:cs="Times New Roman"/>
          <w:lang w:val="en-US"/>
        </w:rPr>
      </w:pPr>
      <w:r w:rsidRPr="00AF6816">
        <w:rPr>
          <w:rStyle w:val="FootnoteReference"/>
          <w:rFonts w:cs="Times New Roman"/>
        </w:rPr>
        <w:footnoteRef/>
      </w:r>
      <w:r w:rsidRPr="00AF6816">
        <w:rPr>
          <w:rFonts w:cs="Times New Roman"/>
        </w:rPr>
        <w:t xml:space="preserve"> </w:t>
      </w:r>
      <w:proofErr w:type="spellStart"/>
      <w:r w:rsidRPr="00AF6816">
        <w:rPr>
          <w:rFonts w:cs="Times New Roman"/>
          <w:lang w:val="en-US"/>
        </w:rPr>
        <w:t>Liberini</w:t>
      </w:r>
      <w:proofErr w:type="spellEnd"/>
      <w:r w:rsidRPr="00AF6816">
        <w:rPr>
          <w:rFonts w:cs="Times New Roman"/>
          <w:lang w:val="en-US"/>
        </w:rPr>
        <w:t xml:space="preserve">, Oswald, Proto and </w:t>
      </w:r>
      <w:proofErr w:type="spellStart"/>
      <w:r w:rsidRPr="00AF6816">
        <w:rPr>
          <w:rFonts w:cs="Times New Roman"/>
          <w:lang w:val="en-US"/>
        </w:rPr>
        <w:t>Redoano</w:t>
      </w:r>
      <w:proofErr w:type="spellEnd"/>
      <w:r w:rsidRPr="00AF6816">
        <w:rPr>
          <w:rFonts w:cs="Times New Roman"/>
          <w:lang w:val="en-US"/>
        </w:rPr>
        <w:t xml:space="preserve"> analyze not the referendum vote itself but</w:t>
      </w:r>
      <w:r>
        <w:rPr>
          <w:rFonts w:cs="Times New Roman"/>
          <w:lang w:val="en-US"/>
        </w:rPr>
        <w:t xml:space="preserve"> the Understanding Society data</w:t>
      </w:r>
      <w:r w:rsidRPr="00AF6816">
        <w:rPr>
          <w:rFonts w:cs="Times New Roman"/>
          <w:lang w:val="en-US"/>
        </w:rPr>
        <w:t xml:space="preserve">set, a UK household </w:t>
      </w:r>
      <w:r>
        <w:rPr>
          <w:rFonts w:cs="Times New Roman"/>
          <w:lang w:val="en-US"/>
        </w:rPr>
        <w:t>survey conducted between January 2016 and December 2017, which asked participant</w:t>
      </w:r>
      <w:r w:rsidRPr="00AF6816">
        <w:rPr>
          <w:rFonts w:cs="Times New Roman"/>
          <w:lang w:val="en-US"/>
        </w:rPr>
        <w:t xml:space="preserve">s questions about Brexit </w:t>
      </w:r>
      <w:r>
        <w:rPr>
          <w:rFonts w:cs="Times New Roman"/>
          <w:lang w:val="en-US"/>
        </w:rPr>
        <w:t>and found</w:t>
      </w:r>
      <w:r w:rsidRPr="00AF6816">
        <w:rPr>
          <w:rFonts w:cs="Times New Roman"/>
          <w:lang w:val="en-US"/>
        </w:rPr>
        <w:t xml:space="preserve"> little evidence of an age-opinion gradient.  According to their findings, only the very youngest voters were significantly more pro-EU; after the age of 24 they find little evidence of opinions changing between voters of different ages.  </w:t>
      </w:r>
      <w:r>
        <w:rPr>
          <w:rFonts w:cs="Times New Roman"/>
          <w:lang w:val="en-US"/>
        </w:rPr>
        <w:t>Here w</w:t>
      </w:r>
      <w:r w:rsidRPr="00AF6816">
        <w:rPr>
          <w:rFonts w:cs="Times New Roman"/>
          <w:lang w:val="en-US"/>
        </w:rPr>
        <w:t>e analyze a much l</w:t>
      </w:r>
      <w:r>
        <w:rPr>
          <w:rFonts w:cs="Times New Roman"/>
          <w:lang w:val="en-US"/>
        </w:rPr>
        <w:t>arger data</w:t>
      </w:r>
      <w:r w:rsidRPr="00AF6816">
        <w:rPr>
          <w:rFonts w:cs="Times New Roman"/>
          <w:lang w:val="en-US"/>
        </w:rPr>
        <w:t>set spanning a considerable longer period of time in an effort to establish robust patterns.</w:t>
      </w:r>
    </w:p>
  </w:footnote>
  <w:footnote w:id="3">
    <w:p w14:paraId="4AF0315B" w14:textId="01BFA92A" w:rsidR="00577DD1" w:rsidRDefault="00577DD1">
      <w:pPr>
        <w:pStyle w:val="FootnoteText"/>
      </w:pPr>
      <w:r>
        <w:rPr>
          <w:rStyle w:val="FootnoteReference"/>
        </w:rPr>
        <w:footnoteRef/>
      </w:r>
      <w:r>
        <w:t xml:space="preserve"> </w:t>
      </w:r>
      <w:r w:rsidRPr="003F0111">
        <w:t>When doing so they have found evidence of both ageing and cohort effects (see e.g. Tilley and Evans 2014</w:t>
      </w:r>
      <w:r>
        <w:t xml:space="preserve"> and </w:t>
      </w:r>
      <w:proofErr w:type="spellStart"/>
      <w:r>
        <w:t>Dohmen</w:t>
      </w:r>
      <w:proofErr w:type="spellEnd"/>
      <w:r>
        <w:t xml:space="preserve"> et al. 2017).</w:t>
      </w:r>
    </w:p>
  </w:footnote>
  <w:footnote w:id="4">
    <w:p w14:paraId="3EE45E1A" w14:textId="7C19794E" w:rsidR="00577DD1" w:rsidRPr="00E970FF" w:rsidRDefault="00577DD1">
      <w:pPr>
        <w:pStyle w:val="FootnoteText"/>
        <w:rPr>
          <w:lang w:val="en-US"/>
        </w:rPr>
      </w:pPr>
      <w:r>
        <w:rPr>
          <w:rStyle w:val="FootnoteReference"/>
        </w:rPr>
        <w:footnoteRef/>
      </w:r>
      <w:r>
        <w:t xml:space="preserve"> </w:t>
      </w:r>
      <w:proofErr w:type="spellStart"/>
      <w:r>
        <w:rPr>
          <w:lang w:val="en-US"/>
        </w:rPr>
        <w:t>Fetzer</w:t>
      </w:r>
      <w:proofErr w:type="spellEnd"/>
      <w:r>
        <w:rPr>
          <w:lang w:val="en-US"/>
        </w:rPr>
        <w:t xml:space="preserve"> in fact looks at the UKIP share of the popular vote in various elections, but this is highly correlated with the Leave vote in the EU referendum.</w:t>
      </w:r>
    </w:p>
  </w:footnote>
  <w:footnote w:id="5">
    <w:p w14:paraId="7BA24CD1" w14:textId="77777777" w:rsidR="00577DD1" w:rsidRPr="002F074F" w:rsidRDefault="00577DD1" w:rsidP="004407B9">
      <w:pPr>
        <w:pStyle w:val="FootnoteText"/>
        <w:rPr>
          <w:lang w:val="en-US"/>
        </w:rPr>
      </w:pPr>
      <w:r>
        <w:rPr>
          <w:rStyle w:val="FootnoteReference"/>
        </w:rPr>
        <w:footnoteRef/>
      </w:r>
      <w:r>
        <w:t xml:space="preserve"> </w:t>
      </w:r>
      <w:r>
        <w:rPr>
          <w:lang w:val="en-US"/>
        </w:rPr>
        <w:t>And since young voters may not have completed their schooling (or had the opportunity to obtain advanced education) at the time they are surveyed.</w:t>
      </w:r>
    </w:p>
  </w:footnote>
  <w:footnote w:id="6">
    <w:p w14:paraId="1C69E92F" w14:textId="77777777" w:rsidR="00577DD1" w:rsidRPr="00F37162" w:rsidRDefault="00577DD1" w:rsidP="007C4D56">
      <w:pPr>
        <w:pStyle w:val="FootnoteText"/>
        <w:rPr>
          <w:lang w:val="en-US"/>
        </w:rPr>
      </w:pPr>
      <w:r>
        <w:rPr>
          <w:rStyle w:val="FootnoteReference"/>
        </w:rPr>
        <w:footnoteRef/>
      </w:r>
      <w:r>
        <w:t xml:space="preserve"> The same may be true of members of cohorts reaching voting age in the 1950s, when the EU was seen as a solution to the age-old problem of war in Europe.  We return to this possibility below.</w:t>
      </w:r>
    </w:p>
  </w:footnote>
  <w:footnote w:id="7">
    <w:p w14:paraId="3B4974DF" w14:textId="365DEEF0" w:rsidR="00577DD1" w:rsidRPr="007C3A93" w:rsidRDefault="00577DD1">
      <w:pPr>
        <w:pStyle w:val="FootnoteText"/>
        <w:rPr>
          <w:lang w:val="en-US"/>
        </w:rPr>
      </w:pPr>
      <w:r w:rsidRPr="007C3A93">
        <w:rPr>
          <w:rStyle w:val="FootnoteReference"/>
        </w:rPr>
        <w:footnoteRef/>
      </w:r>
      <w:r w:rsidRPr="007C3A93">
        <w:t xml:space="preserve"> </w:t>
      </w:r>
      <w:r w:rsidRPr="007C3A93">
        <w:rPr>
          <w:lang w:val="en-US"/>
        </w:rPr>
        <w:t xml:space="preserve">In </w:t>
      </w:r>
      <w:r>
        <w:rPr>
          <w:lang w:val="en-US"/>
        </w:rPr>
        <w:t xml:space="preserve">the </w:t>
      </w:r>
      <w:r w:rsidRPr="007C3A93">
        <w:rPr>
          <w:lang w:val="en-US"/>
        </w:rPr>
        <w:t>BES, individuals are queried twice, and then replaced; it is an overlapping panel.  If they do</w:t>
      </w:r>
      <w:r>
        <w:rPr>
          <w:lang w:val="en-US"/>
        </w:rPr>
        <w:t xml:space="preserve"> </w:t>
      </w:r>
      <w:r w:rsidRPr="007C3A93">
        <w:rPr>
          <w:lang w:val="en-US"/>
        </w:rPr>
        <w:t>n</w:t>
      </w:r>
      <w:r>
        <w:rPr>
          <w:lang w:val="en-US"/>
        </w:rPr>
        <w:t>o</w:t>
      </w:r>
      <w:r w:rsidRPr="007C3A93">
        <w:rPr>
          <w:lang w:val="en-US"/>
        </w:rPr>
        <w:t>t respond the second time</w:t>
      </w:r>
      <w:r>
        <w:rPr>
          <w:lang w:val="en-US"/>
        </w:rPr>
        <w:t>,</w:t>
      </w:r>
      <w:r w:rsidRPr="007C3A93">
        <w:rPr>
          <w:lang w:val="en-US"/>
        </w:rPr>
        <w:t xml:space="preserve"> </w:t>
      </w:r>
      <w:r>
        <w:rPr>
          <w:lang w:val="en-US"/>
        </w:rPr>
        <w:t xml:space="preserve">then </w:t>
      </w:r>
      <w:r w:rsidRPr="007C3A93">
        <w:rPr>
          <w:lang w:val="en-US"/>
        </w:rPr>
        <w:t xml:space="preserve">they are replaced prematurely.  </w:t>
      </w:r>
      <w:r>
        <w:rPr>
          <w:lang w:val="en-US"/>
        </w:rPr>
        <w:t>T</w:t>
      </w:r>
      <w:r w:rsidRPr="007C3A93">
        <w:rPr>
          <w:lang w:val="en-US"/>
        </w:rPr>
        <w:t xml:space="preserve">his may bias our standard errors, but </w:t>
      </w:r>
      <w:r>
        <w:rPr>
          <w:lang w:val="en-US"/>
        </w:rPr>
        <w:t>only to a limited extent insofar as</w:t>
      </w:r>
      <w:r w:rsidRPr="007C3A93">
        <w:rPr>
          <w:lang w:val="en-US"/>
        </w:rPr>
        <w:t xml:space="preserve"> the sample is very large. </w:t>
      </w:r>
      <w:r w:rsidRPr="0010791B">
        <w:rPr>
          <w:lang w:val="en-US"/>
        </w:rPr>
        <w:t>Panel data estimates with fixed and random effects are shown in the appendix</w:t>
      </w:r>
      <w:r>
        <w:rPr>
          <w:lang w:val="en-US"/>
        </w:rPr>
        <w:t>.</w:t>
      </w:r>
    </w:p>
  </w:footnote>
  <w:footnote w:id="8">
    <w:p w14:paraId="248709D8" w14:textId="3401CEBC" w:rsidR="00577DD1" w:rsidRPr="00EA07CC" w:rsidRDefault="00577DD1">
      <w:pPr>
        <w:pStyle w:val="FootnoteText"/>
        <w:rPr>
          <w:lang w:val="en-US"/>
        </w:rPr>
      </w:pPr>
      <w:r>
        <w:rPr>
          <w:rStyle w:val="FootnoteReference"/>
        </w:rPr>
        <w:footnoteRef/>
      </w:r>
      <w:r>
        <w:t xml:space="preserve"> </w:t>
      </w:r>
      <w:r w:rsidRPr="009C38FB">
        <w:rPr>
          <w:lang w:val="en-US"/>
        </w:rPr>
        <w:t>Furthermore, they may introduce some bias in the estimates of the age and cohort effects. For example, the observed decrease in pro-European sentiment over time could be picking up the greater degree of integration in the European Union – i.e. a more demanding measure of pro-Europeanism.</w:t>
      </w:r>
    </w:p>
  </w:footnote>
  <w:footnote w:id="9">
    <w:p w14:paraId="2C13C87D" w14:textId="77777777" w:rsidR="00577DD1" w:rsidRPr="00811768" w:rsidRDefault="00577DD1">
      <w:pPr>
        <w:pStyle w:val="FootnoteText"/>
        <w:rPr>
          <w:lang w:val="en-US"/>
        </w:rPr>
      </w:pPr>
      <w:r>
        <w:rPr>
          <w:rStyle w:val="FootnoteReference"/>
        </w:rPr>
        <w:footnoteRef/>
      </w:r>
      <w:r>
        <w:t xml:space="preserve"> </w:t>
      </w:r>
      <w:r w:rsidRPr="00811768">
        <w:rPr>
          <w:lang w:val="en-US"/>
        </w:rPr>
        <w:t>We drop observations claiming more than 35 years of full-time education.</w:t>
      </w:r>
    </w:p>
  </w:footnote>
  <w:footnote w:id="10">
    <w:p w14:paraId="40784595" w14:textId="25A5718B" w:rsidR="00577DD1" w:rsidRPr="00E02F9D" w:rsidRDefault="00577DD1">
      <w:pPr>
        <w:pStyle w:val="FootnoteText"/>
        <w:rPr>
          <w:lang w:val="en-US"/>
        </w:rPr>
      </w:pPr>
      <w:r>
        <w:rPr>
          <w:rStyle w:val="FootnoteReference"/>
        </w:rPr>
        <w:footnoteRef/>
      </w:r>
      <w:r>
        <w:t xml:space="preserve"> </w:t>
      </w:r>
      <w:r w:rsidRPr="00E02F9D">
        <w:t>Both assumptions are unlikely to hold exactly – it is likely that seasoning effects will operate differently over time and across different households, for example.</w:t>
      </w:r>
    </w:p>
  </w:footnote>
  <w:footnote w:id="11">
    <w:p w14:paraId="293669AA" w14:textId="33E21AC0" w:rsidR="00577DD1" w:rsidRPr="00E02F9D" w:rsidRDefault="00577DD1">
      <w:pPr>
        <w:pStyle w:val="FootnoteText"/>
        <w:rPr>
          <w:lang w:val="en-US"/>
        </w:rPr>
      </w:pPr>
      <w:r>
        <w:rPr>
          <w:rStyle w:val="FootnoteReference"/>
        </w:rPr>
        <w:footnoteRef/>
      </w:r>
      <w:r>
        <w:t xml:space="preserve"> </w:t>
      </w:r>
      <w:r w:rsidRPr="00E02F9D">
        <w:t>Here, as below, there is broad agreement between the BES and the BSA/ESS.</w:t>
      </w:r>
    </w:p>
  </w:footnote>
  <w:footnote w:id="12">
    <w:p w14:paraId="7DECCB88" w14:textId="6662A936" w:rsidR="00577DD1" w:rsidRDefault="00577DD1" w:rsidP="00C63D88">
      <w:pPr>
        <w:pStyle w:val="FootnoteText"/>
      </w:pPr>
      <w:r>
        <w:rPr>
          <w:rStyle w:val="FootnoteReference"/>
        </w:rPr>
        <w:footnoteRef/>
      </w:r>
      <w:r>
        <w:t xml:space="preserve"> See Appendix 3 for a complementary approach using 5-year cohorts and established identification methods</w:t>
      </w:r>
    </w:p>
  </w:footnote>
  <w:footnote w:id="13">
    <w:p w14:paraId="0DFF3D1A" w14:textId="77777777" w:rsidR="00577DD1" w:rsidRDefault="00577DD1">
      <w:pPr>
        <w:pStyle w:val="FootnoteText"/>
      </w:pPr>
      <w:r>
        <w:rPr>
          <w:rStyle w:val="FootnoteReference"/>
        </w:rPr>
        <w:footnoteRef/>
      </w:r>
      <w:r>
        <w:t xml:space="preserve"> We relate this cohort effect to observable </w:t>
      </w:r>
      <w:proofErr w:type="spellStart"/>
      <w:r>
        <w:t>characteristcs</w:t>
      </w:r>
      <w:proofErr w:type="spellEnd"/>
      <w:r>
        <w:t xml:space="preserve"> – namely education - below.</w:t>
      </w:r>
    </w:p>
  </w:footnote>
  <w:footnote w:id="14">
    <w:p w14:paraId="13D7D22F" w14:textId="77777777" w:rsidR="00577DD1" w:rsidRDefault="00577DD1">
      <w:pPr>
        <w:pStyle w:val="FootnoteText"/>
      </w:pPr>
      <w:r>
        <w:rPr>
          <w:rStyle w:val="FootnoteReference"/>
        </w:rPr>
        <w:footnoteRef/>
      </w:r>
      <w:r>
        <w:t xml:space="preserve"> To obtain our confidence intervals we constructed 1000 synthetic samples of data by resampling with replacement from each year of data, keeping each year’s sample size the same. We ran our </w:t>
      </w:r>
      <w:proofErr w:type="spellStart"/>
      <w:r>
        <w:t>Kalman</w:t>
      </w:r>
      <w:proofErr w:type="spellEnd"/>
      <w:r>
        <w:t xml:space="preserve"> filter algorithm for each of these samples and then calculated centiles of the resulting distribution</w:t>
      </w:r>
    </w:p>
  </w:footnote>
  <w:footnote w:id="15">
    <w:p w14:paraId="72E6714D" w14:textId="6D5F9942" w:rsidR="00577DD1" w:rsidRPr="009A2C17" w:rsidRDefault="00577DD1">
      <w:pPr>
        <w:pStyle w:val="FootnoteText"/>
        <w:rPr>
          <w:lang w:val="en-US"/>
        </w:rPr>
      </w:pPr>
      <w:r>
        <w:rPr>
          <w:rStyle w:val="FootnoteReference"/>
        </w:rPr>
        <w:footnoteRef/>
      </w:r>
      <w:r>
        <w:t xml:space="preserve"> </w:t>
      </w:r>
      <w:r w:rsidRPr="009A2C17">
        <w:rPr>
          <w:rFonts w:eastAsiaTheme="minorEastAsia"/>
        </w:rPr>
        <w:t>Beyond age 80 there are few households in the sample, increasing sampling error.</w:t>
      </w:r>
    </w:p>
  </w:footnote>
  <w:footnote w:id="16">
    <w:p w14:paraId="59A71057" w14:textId="77777777" w:rsidR="00577DD1" w:rsidRDefault="00577DD1">
      <w:pPr>
        <w:pStyle w:val="FootnoteText"/>
      </w:pPr>
      <w:r>
        <w:rPr>
          <w:rStyle w:val="FootnoteReference"/>
        </w:rPr>
        <w:footnoteRef/>
      </w:r>
      <w:r>
        <w:t xml:space="preserve"> We omit period effects here in order to be able to identify and decompose age and cohort effects. Figure 5 above shows that this provides a reasonable approximation to our filtered model. </w:t>
      </w:r>
    </w:p>
  </w:footnote>
  <w:footnote w:id="17">
    <w:p w14:paraId="792ACD71" w14:textId="2A71B836" w:rsidR="00577DD1" w:rsidRDefault="00577DD1">
      <w:pPr>
        <w:pStyle w:val="FootnoteText"/>
      </w:pPr>
      <w:r>
        <w:rPr>
          <w:rStyle w:val="FootnoteReference"/>
        </w:rPr>
        <w:footnoteRef/>
      </w:r>
      <w:r>
        <w:t xml:space="preserve"> The kink in the chart is due to a discontinuity in the population </w:t>
      </w:r>
      <w:proofErr w:type="spellStart"/>
      <w:r>
        <w:t>backdata</w:t>
      </w:r>
      <w:proofErr w:type="spellEnd"/>
      <w:r>
        <w:t xml:space="preserve"> vis-a-vis the population projections.</w:t>
      </w:r>
    </w:p>
  </w:footnote>
  <w:footnote w:id="18">
    <w:p w14:paraId="14562385" w14:textId="77777777" w:rsidR="00577DD1" w:rsidRDefault="00577DD1" w:rsidP="0017737E">
      <w:pPr>
        <w:pStyle w:val="FootnoteText"/>
      </w:pPr>
      <w:r>
        <w:rPr>
          <w:rStyle w:val="FootnoteReference"/>
        </w:rPr>
        <w:footnoteRef/>
      </w:r>
      <w:r>
        <w:t xml:space="preserve"> Suppose the true </w:t>
      </w:r>
      <w:r>
        <w:rPr>
          <w:rFonts w:eastAsiaTheme="minorEastAsia"/>
        </w:rPr>
        <w:t xml:space="preserve">APC model is  </w:t>
      </w:r>
      <m:oMath>
        <m:r>
          <w:rPr>
            <w:rFonts w:ascii="Cambria Math" w:eastAsiaTheme="minorEastAsia" w:hAnsi="Cambria Math"/>
          </w:rPr>
          <m:t>y=</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m:t>
            </m:r>
          </m:sub>
        </m:sSub>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r>
          <w:rPr>
            <w:rFonts w:ascii="Cambria Math" w:eastAsiaTheme="minorEastAsia" w:hAnsi="Cambria Math"/>
          </w:rPr>
          <m:t>c+ε</m:t>
        </m:r>
      </m:oMath>
      <w:r>
        <w:rPr>
          <w:rFonts w:eastAsiaTheme="minorEastAsia"/>
        </w:rPr>
        <w:t xml:space="preserve"> where </w:t>
      </w:r>
      <m:oMath>
        <m:d>
          <m:dPr>
            <m:begChr m:val="{"/>
            <m:endChr m:val="}"/>
            <m:ctrlPr>
              <w:rPr>
                <w:rFonts w:ascii="Cambria Math" w:hAnsi="Cambria Math"/>
                <w:i/>
              </w:rPr>
            </m:ctrlPr>
          </m:dPr>
          <m:e>
            <m:r>
              <w:rPr>
                <w:rFonts w:ascii="Cambria Math" w:hAnsi="Cambria Math"/>
              </w:rPr>
              <m:t>a,p,c</m:t>
            </m:r>
          </m:e>
        </m:d>
      </m:oMath>
      <w:proofErr w:type="gramStart"/>
      <w:r>
        <w:rPr>
          <w:rFonts w:eastAsiaTheme="minorEastAsia"/>
        </w:rPr>
        <w:t xml:space="preserve"> are </w:t>
      </w:r>
      <w:r>
        <w:t>vectors of APC effects a</w:t>
      </w:r>
      <w:r>
        <w:rPr>
          <w:rFonts w:eastAsiaTheme="minorEastAsia"/>
        </w:rPr>
        <w:t xml:space="preserve">nd </w:t>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oMath>
      <w:r>
        <w:rPr>
          <w:rFonts w:eastAsiaTheme="minorEastAsia"/>
        </w:rPr>
        <w:t xml:space="preserve"> matrices of dummy variables</w:t>
      </w:r>
      <w:proofErr w:type="gramEnd"/>
      <w:r>
        <w:rPr>
          <w:rFonts w:eastAsiaTheme="minorEastAsia"/>
        </w:rPr>
        <w:t xml:space="preserve">. The bias in a bivariate model containing only age and cohort effects is given by </w:t>
      </w:r>
      <m:oMath>
        <m:r>
          <w:rPr>
            <w:rFonts w:ascii="Cambria Math" w:eastAsiaTheme="minorEastAsia" w:hAnsi="Cambria Math"/>
          </w:rPr>
          <m:t>E</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a</m:t>
                  </m:r>
                </m:e>
              </m:mr>
              <m:mr>
                <m:e>
                  <m:r>
                    <w:rPr>
                      <w:rFonts w:ascii="Cambria Math" w:eastAsiaTheme="minorEastAsia" w:hAnsi="Cambria Math"/>
                    </w:rPr>
                    <m:t>c</m:t>
                  </m:r>
                </m:e>
              </m:mr>
            </m:m>
          </m:e>
        </m:d>
        <m:r>
          <w:rPr>
            <w:rFonts w:ascii="Cambria Math" w:eastAsiaTheme="minorEastAsia" w:hAnsi="Cambria Math"/>
          </w:rPr>
          <m:t>=</m:t>
        </m:r>
        <m:d>
          <m:dPr>
            <m:begChr m:val="["/>
            <m:endChr m:val="]"/>
            <m:ctrlPr>
              <w:rPr>
                <w:rFonts w:ascii="Cambria Math" w:eastAsiaTheme="minorEastAsia" w:hAnsi="Cambria Math"/>
                <w:i/>
              </w:rPr>
            </m:ctrlPr>
          </m:dPr>
          <m:e>
            <m:m>
              <m:mPr>
                <m:mcs>
                  <m:mc>
                    <m:mcPr>
                      <m:count m:val="1"/>
                      <m:mcJc m:val="center"/>
                    </m:mcPr>
                  </m:mc>
                </m:mcs>
                <m:ctrlPr>
                  <w:rPr>
                    <w:rFonts w:ascii="Cambria Math" w:eastAsiaTheme="minorEastAsia" w:hAnsi="Cambria Math"/>
                    <w:i/>
                  </w:rPr>
                </m:ctrlPr>
              </m:mPr>
              <m:mr>
                <m:e>
                  <m:r>
                    <w:rPr>
                      <w:rFonts w:ascii="Cambria Math" w:eastAsiaTheme="minorEastAsia" w:hAnsi="Cambria Math"/>
                    </w:rPr>
                    <m:t>a</m:t>
                  </m:r>
                </m:e>
              </m:mr>
              <m:mr>
                <m:e>
                  <m:r>
                    <w:rPr>
                      <w:rFonts w:ascii="Cambria Math" w:eastAsiaTheme="minorEastAsia" w:hAnsi="Cambria Math"/>
                    </w:rPr>
                    <m:t>c</m:t>
                  </m:r>
                </m:e>
              </m:mr>
            </m:m>
          </m:e>
        </m:d>
        <m:r>
          <w:rPr>
            <w:rFonts w:ascii="Cambria Math" w:eastAsiaTheme="minorEastAsia" w:hAnsi="Cambria Math"/>
          </w:rPr>
          <m:t>+</m:t>
        </m:r>
        <m:sSup>
          <m:sSupPr>
            <m:ctrlPr>
              <w:rPr>
                <w:rFonts w:ascii="Cambria Math" w:eastAsiaTheme="minorEastAsia" w:hAnsi="Cambria Math"/>
                <w:i/>
              </w:rPr>
            </m:ctrlPr>
          </m:sSupPr>
          <m:e>
            <m:d>
              <m:dPr>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e>
            </m:d>
          </m:e>
          <m:sup>
            <m:r>
              <w:rPr>
                <w:rFonts w:ascii="Cambria Math" w:eastAsiaTheme="minorEastAsia" w:hAnsi="Cambria Math"/>
              </w:rPr>
              <m:t>-1</m:t>
            </m:r>
          </m:sup>
        </m:sSup>
        <m:d>
          <m:dPr>
            <m:ctrlPr>
              <w:rPr>
                <w:rFonts w:ascii="Cambria Math" w:eastAsiaTheme="minorEastAsia" w:hAnsi="Cambria Math"/>
                <w:i/>
              </w:rPr>
            </m:ctrlPr>
          </m:dPr>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a</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c</m:t>
                    </m:r>
                  </m:sub>
                </m:sSub>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p</m:t>
                </m:r>
              </m:sub>
            </m:sSub>
          </m:e>
        </m:d>
        <m:r>
          <w:rPr>
            <w:rFonts w:ascii="Cambria Math" w:eastAsiaTheme="minorEastAsia" w:hAnsi="Cambria Math"/>
          </w:rPr>
          <m:t xml:space="preserve"> p</m:t>
        </m:r>
      </m:oMath>
      <w:r>
        <w:rPr>
          <w:rFonts w:eastAsiaTheme="minorEastAsia"/>
        </w:rPr>
        <w:t>, and accordingly depends on the covariance of the period effects with age and cohort effects, and the size of the period effects</w:t>
      </w:r>
    </w:p>
  </w:footnote>
  <w:footnote w:id="19">
    <w:p w14:paraId="0F7C8C87" w14:textId="77777777" w:rsidR="00577DD1" w:rsidRDefault="00577DD1" w:rsidP="00E50811">
      <w:pPr>
        <w:pStyle w:val="FootnoteText"/>
      </w:pPr>
      <w:r>
        <w:rPr>
          <w:rStyle w:val="FootnoteReference"/>
        </w:rPr>
        <w:footnoteRef/>
      </w:r>
      <w:r>
        <w:t xml:space="preserve"> </w:t>
      </w:r>
      <w:r>
        <w:rPr>
          <w:lang w:val="en-US"/>
        </w:rPr>
        <w:t xml:space="preserve">The </w:t>
      </w:r>
      <w:r w:rsidRPr="009B3422">
        <w:rPr>
          <w:lang w:val="en-US"/>
        </w:rPr>
        <w:t>2016 wave was administered in July-October 2016 (small number of interviews in November)</w:t>
      </w:r>
      <w:r>
        <w:rPr>
          <w:lang w:val="en-US"/>
        </w:rPr>
        <w:t xml:space="preserve"> for the BSAS</w:t>
      </w:r>
      <w:r w:rsidRPr="009B3422">
        <w:rPr>
          <w:lang w:val="en-US"/>
        </w:rPr>
        <w:t>, in September 2016-March</w:t>
      </w:r>
      <w:r>
        <w:rPr>
          <w:lang w:val="en-US"/>
        </w:rPr>
        <w:t xml:space="preserve"> 2017</w:t>
      </w:r>
      <w:r w:rsidRPr="009B3422">
        <w:rPr>
          <w:lang w:val="en-US"/>
        </w:rPr>
        <w:t xml:space="preserve"> </w:t>
      </w:r>
      <w:r>
        <w:rPr>
          <w:lang w:val="en-US"/>
        </w:rPr>
        <w:t xml:space="preserve">for the </w:t>
      </w:r>
      <w:r w:rsidRPr="009B3422">
        <w:rPr>
          <w:lang w:val="en-US"/>
        </w:rPr>
        <w:t>ESS</w:t>
      </w:r>
      <w:r>
        <w:rPr>
          <w:lang w:val="en-US"/>
        </w:rPr>
        <w:t>, and in 24</w:t>
      </w:r>
      <w:r w:rsidRPr="009B3422">
        <w:rPr>
          <w:vertAlign w:val="superscript"/>
          <w:lang w:val="en-US"/>
        </w:rPr>
        <w:t>th</w:t>
      </w:r>
      <w:r>
        <w:rPr>
          <w:lang w:val="en-US"/>
        </w:rPr>
        <w:t xml:space="preserve"> June-4</w:t>
      </w:r>
      <w:r w:rsidRPr="009B3422">
        <w:rPr>
          <w:vertAlign w:val="superscript"/>
          <w:lang w:val="en-US"/>
        </w:rPr>
        <w:t>th</w:t>
      </w:r>
      <w:r>
        <w:rPr>
          <w:lang w:val="en-US"/>
        </w:rPr>
        <w:t xml:space="preserve"> July 2016</w:t>
      </w:r>
      <w:r w:rsidRPr="009B3422">
        <w:rPr>
          <w:lang w:val="en-US"/>
        </w:rPr>
        <w:t xml:space="preserve"> </w:t>
      </w:r>
      <w:r>
        <w:rPr>
          <w:lang w:val="en-US"/>
        </w:rPr>
        <w:t>for the BES.</w:t>
      </w:r>
    </w:p>
  </w:footnote>
  <w:footnote w:id="20">
    <w:p w14:paraId="15EF4F21" w14:textId="0FF928DE" w:rsidR="00577DD1" w:rsidRDefault="00577DD1">
      <w:pPr>
        <w:pStyle w:val="FootnoteText"/>
      </w:pPr>
      <w:r>
        <w:rPr>
          <w:rStyle w:val="FootnoteReference"/>
        </w:rPr>
        <w:footnoteRef/>
      </w:r>
      <w:r>
        <w:t xml:space="preserve"> In Table A2 we show that employing panel data techniques for BES analysis doesn’t add much value, it limits rather the comparability to the ESS-BSAS results.</w:t>
      </w:r>
    </w:p>
  </w:footnote>
  <w:footnote w:id="21">
    <w:p w14:paraId="7F818B7A" w14:textId="77777777" w:rsidR="00577DD1" w:rsidRPr="00877998" w:rsidRDefault="00577DD1" w:rsidP="00296F3D">
      <w:pPr>
        <w:pStyle w:val="FootnoteText"/>
        <w:rPr>
          <w:lang w:val="en-US"/>
        </w:rPr>
      </w:pPr>
      <w:r>
        <w:rPr>
          <w:rStyle w:val="FootnoteReference"/>
        </w:rPr>
        <w:footnoteRef/>
      </w:r>
      <w:r>
        <w:t xml:space="preserve"> </w:t>
      </w:r>
      <w:r>
        <w:rPr>
          <w:lang w:val="en-US"/>
        </w:rPr>
        <w:t>This last pattern is particularly evident in the BES dataset.</w:t>
      </w:r>
    </w:p>
  </w:footnote>
  <w:footnote w:id="22">
    <w:p w14:paraId="27D0CB0C" w14:textId="77777777" w:rsidR="00577DD1" w:rsidRPr="000674A9" w:rsidRDefault="00577DD1" w:rsidP="00296F3D">
      <w:pPr>
        <w:pStyle w:val="FootnoteText"/>
        <w:rPr>
          <w:lang w:val="en-US"/>
        </w:rPr>
      </w:pPr>
      <w:r>
        <w:rPr>
          <w:rStyle w:val="FootnoteReference"/>
        </w:rPr>
        <w:footnoteRef/>
      </w:r>
      <w:r>
        <w:t xml:space="preserve"> </w:t>
      </w:r>
      <w:r>
        <w:rPr>
          <w:lang w:val="en-US"/>
        </w:rPr>
        <w:t>There are of course questions related to the individual’s wealth, e.g. homeowner or tenant, employed or unemployed, size of house etc.  Conceivably, these could be used to construct a personal wealth index.  But insofar as our goal is to predict the evolution of sentiment toward the EU, forecasting the evolution of wealth would be difficult – even more difficult than forecasting demographic structure or educational attainment.</w:t>
      </w:r>
    </w:p>
  </w:footnote>
  <w:footnote w:id="23">
    <w:p w14:paraId="608C865B" w14:textId="329B3921" w:rsidR="00577DD1" w:rsidRPr="00850DB5" w:rsidRDefault="00577DD1">
      <w:pPr>
        <w:pStyle w:val="FootnoteText"/>
        <w:rPr>
          <w:lang w:val="en-US"/>
        </w:rPr>
      </w:pPr>
      <w:r>
        <w:rPr>
          <w:rStyle w:val="FootnoteReference"/>
        </w:rPr>
        <w:footnoteRef/>
      </w:r>
      <w:r>
        <w:t xml:space="preserve"> </w:t>
      </w:r>
      <w:r w:rsidRPr="00296F3D">
        <w:rPr>
          <w:lang w:val="en-US"/>
        </w:rPr>
        <w:t>This is why the estimated age effect is larger (in absolute value) in regression (2) than regressions (1).</w:t>
      </w:r>
      <w:r>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C91"/>
    <w:multiLevelType w:val="hybridMultilevel"/>
    <w:tmpl w:val="E556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4475E"/>
    <w:multiLevelType w:val="hybridMultilevel"/>
    <w:tmpl w:val="2EF24802"/>
    <w:lvl w:ilvl="0" w:tplc="FEC6A19A">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356"/>
    <w:rsid w:val="00005E33"/>
    <w:rsid w:val="00006D1B"/>
    <w:rsid w:val="0001245F"/>
    <w:rsid w:val="000137AF"/>
    <w:rsid w:val="00013E93"/>
    <w:rsid w:val="00016CF6"/>
    <w:rsid w:val="00017322"/>
    <w:rsid w:val="0002073A"/>
    <w:rsid w:val="000237DF"/>
    <w:rsid w:val="00024788"/>
    <w:rsid w:val="00034048"/>
    <w:rsid w:val="000360D1"/>
    <w:rsid w:val="00040D3D"/>
    <w:rsid w:val="00044F32"/>
    <w:rsid w:val="00045895"/>
    <w:rsid w:val="00051638"/>
    <w:rsid w:val="0005183A"/>
    <w:rsid w:val="000527B0"/>
    <w:rsid w:val="00055300"/>
    <w:rsid w:val="000553C1"/>
    <w:rsid w:val="00055F3D"/>
    <w:rsid w:val="0005723C"/>
    <w:rsid w:val="00057800"/>
    <w:rsid w:val="00057F4C"/>
    <w:rsid w:val="00062FA1"/>
    <w:rsid w:val="000674A9"/>
    <w:rsid w:val="00067B97"/>
    <w:rsid w:val="00070AE6"/>
    <w:rsid w:val="00071CEC"/>
    <w:rsid w:val="0007362B"/>
    <w:rsid w:val="000765FB"/>
    <w:rsid w:val="0009432D"/>
    <w:rsid w:val="000975EC"/>
    <w:rsid w:val="000A134A"/>
    <w:rsid w:val="000A1CF7"/>
    <w:rsid w:val="000A2342"/>
    <w:rsid w:val="000A6115"/>
    <w:rsid w:val="000A672A"/>
    <w:rsid w:val="000B1825"/>
    <w:rsid w:val="000B26B6"/>
    <w:rsid w:val="000B316A"/>
    <w:rsid w:val="000B571C"/>
    <w:rsid w:val="000C155D"/>
    <w:rsid w:val="000C3F8C"/>
    <w:rsid w:val="000C4E88"/>
    <w:rsid w:val="000D1B10"/>
    <w:rsid w:val="000D1B79"/>
    <w:rsid w:val="000D1D38"/>
    <w:rsid w:val="000D246A"/>
    <w:rsid w:val="000D3ECF"/>
    <w:rsid w:val="000D5A7D"/>
    <w:rsid w:val="000D70B7"/>
    <w:rsid w:val="000E111E"/>
    <w:rsid w:val="000E2A44"/>
    <w:rsid w:val="000E5BBA"/>
    <w:rsid w:val="000E5FC9"/>
    <w:rsid w:val="000E648E"/>
    <w:rsid w:val="00100561"/>
    <w:rsid w:val="00104194"/>
    <w:rsid w:val="001072D7"/>
    <w:rsid w:val="0010791B"/>
    <w:rsid w:val="001144D9"/>
    <w:rsid w:val="00114D45"/>
    <w:rsid w:val="00115519"/>
    <w:rsid w:val="00116D8D"/>
    <w:rsid w:val="00125D02"/>
    <w:rsid w:val="001303D9"/>
    <w:rsid w:val="00134F90"/>
    <w:rsid w:val="001357E9"/>
    <w:rsid w:val="00141A5A"/>
    <w:rsid w:val="00142040"/>
    <w:rsid w:val="00142246"/>
    <w:rsid w:val="00144775"/>
    <w:rsid w:val="0014575B"/>
    <w:rsid w:val="00153AE2"/>
    <w:rsid w:val="00165083"/>
    <w:rsid w:val="00165296"/>
    <w:rsid w:val="001652D9"/>
    <w:rsid w:val="00166267"/>
    <w:rsid w:val="001676F1"/>
    <w:rsid w:val="0017082B"/>
    <w:rsid w:val="00171583"/>
    <w:rsid w:val="00173689"/>
    <w:rsid w:val="0017737E"/>
    <w:rsid w:val="00184AE0"/>
    <w:rsid w:val="00185459"/>
    <w:rsid w:val="00186237"/>
    <w:rsid w:val="00186286"/>
    <w:rsid w:val="0018642C"/>
    <w:rsid w:val="0019354D"/>
    <w:rsid w:val="00195C52"/>
    <w:rsid w:val="001A2522"/>
    <w:rsid w:val="001A3469"/>
    <w:rsid w:val="001A60B7"/>
    <w:rsid w:val="001A62FA"/>
    <w:rsid w:val="001A69FE"/>
    <w:rsid w:val="001A6A45"/>
    <w:rsid w:val="001A7408"/>
    <w:rsid w:val="001A76E0"/>
    <w:rsid w:val="001B084E"/>
    <w:rsid w:val="001B3A40"/>
    <w:rsid w:val="001B4236"/>
    <w:rsid w:val="001C0694"/>
    <w:rsid w:val="001C6CBD"/>
    <w:rsid w:val="001D05CA"/>
    <w:rsid w:val="001D3DBE"/>
    <w:rsid w:val="001D4941"/>
    <w:rsid w:val="001D7775"/>
    <w:rsid w:val="001E031C"/>
    <w:rsid w:val="001E1209"/>
    <w:rsid w:val="001E5547"/>
    <w:rsid w:val="001E7CFE"/>
    <w:rsid w:val="001F01CE"/>
    <w:rsid w:val="001F4855"/>
    <w:rsid w:val="001F6E41"/>
    <w:rsid w:val="00211639"/>
    <w:rsid w:val="00213A3E"/>
    <w:rsid w:val="002160C5"/>
    <w:rsid w:val="00217D2C"/>
    <w:rsid w:val="002233E5"/>
    <w:rsid w:val="002326C1"/>
    <w:rsid w:val="002405F1"/>
    <w:rsid w:val="00241B09"/>
    <w:rsid w:val="00241DCD"/>
    <w:rsid w:val="00241EB6"/>
    <w:rsid w:val="00241EF7"/>
    <w:rsid w:val="002474D9"/>
    <w:rsid w:val="0025069F"/>
    <w:rsid w:val="00250F78"/>
    <w:rsid w:val="0025152D"/>
    <w:rsid w:val="00253D3F"/>
    <w:rsid w:val="002545A5"/>
    <w:rsid w:val="00255FB8"/>
    <w:rsid w:val="00262B4C"/>
    <w:rsid w:val="00263E1A"/>
    <w:rsid w:val="00267362"/>
    <w:rsid w:val="002712D9"/>
    <w:rsid w:val="00271DA9"/>
    <w:rsid w:val="00274FC1"/>
    <w:rsid w:val="0028067F"/>
    <w:rsid w:val="00280F21"/>
    <w:rsid w:val="0028148B"/>
    <w:rsid w:val="002831AF"/>
    <w:rsid w:val="0028635E"/>
    <w:rsid w:val="00287A49"/>
    <w:rsid w:val="002964D6"/>
    <w:rsid w:val="00296F3D"/>
    <w:rsid w:val="00297220"/>
    <w:rsid w:val="0029736B"/>
    <w:rsid w:val="002A4361"/>
    <w:rsid w:val="002B0999"/>
    <w:rsid w:val="002B24CD"/>
    <w:rsid w:val="002B38C3"/>
    <w:rsid w:val="002B69A1"/>
    <w:rsid w:val="002B6A07"/>
    <w:rsid w:val="002B74FD"/>
    <w:rsid w:val="002C27DB"/>
    <w:rsid w:val="002C30D9"/>
    <w:rsid w:val="002C53E8"/>
    <w:rsid w:val="002C72BF"/>
    <w:rsid w:val="002D1BAB"/>
    <w:rsid w:val="002E0184"/>
    <w:rsid w:val="002E07E8"/>
    <w:rsid w:val="002E472B"/>
    <w:rsid w:val="002E6150"/>
    <w:rsid w:val="002F074F"/>
    <w:rsid w:val="002F1E59"/>
    <w:rsid w:val="002F29CF"/>
    <w:rsid w:val="002F34D6"/>
    <w:rsid w:val="00301E75"/>
    <w:rsid w:val="00303877"/>
    <w:rsid w:val="003040B3"/>
    <w:rsid w:val="00304BE4"/>
    <w:rsid w:val="00306276"/>
    <w:rsid w:val="00311625"/>
    <w:rsid w:val="003158D8"/>
    <w:rsid w:val="00325527"/>
    <w:rsid w:val="00326DCC"/>
    <w:rsid w:val="00331775"/>
    <w:rsid w:val="00337349"/>
    <w:rsid w:val="003426D5"/>
    <w:rsid w:val="00346B46"/>
    <w:rsid w:val="0035112A"/>
    <w:rsid w:val="00354BB1"/>
    <w:rsid w:val="00356DB1"/>
    <w:rsid w:val="00362B5D"/>
    <w:rsid w:val="003641D4"/>
    <w:rsid w:val="00364B2F"/>
    <w:rsid w:val="00372D65"/>
    <w:rsid w:val="003743D5"/>
    <w:rsid w:val="00374DB3"/>
    <w:rsid w:val="00377434"/>
    <w:rsid w:val="00380553"/>
    <w:rsid w:val="0038232D"/>
    <w:rsid w:val="0038335F"/>
    <w:rsid w:val="003848FF"/>
    <w:rsid w:val="00392423"/>
    <w:rsid w:val="00392950"/>
    <w:rsid w:val="00392EA4"/>
    <w:rsid w:val="00393DD1"/>
    <w:rsid w:val="00394D51"/>
    <w:rsid w:val="00396E99"/>
    <w:rsid w:val="003A18D9"/>
    <w:rsid w:val="003A29EF"/>
    <w:rsid w:val="003A3D67"/>
    <w:rsid w:val="003B1284"/>
    <w:rsid w:val="003B3EA9"/>
    <w:rsid w:val="003C492D"/>
    <w:rsid w:val="003C6526"/>
    <w:rsid w:val="003D0531"/>
    <w:rsid w:val="003D3890"/>
    <w:rsid w:val="003D78EC"/>
    <w:rsid w:val="003E38F4"/>
    <w:rsid w:val="003E4B66"/>
    <w:rsid w:val="003E7925"/>
    <w:rsid w:val="003F0111"/>
    <w:rsid w:val="003F0ABA"/>
    <w:rsid w:val="003F1BF8"/>
    <w:rsid w:val="003F1D62"/>
    <w:rsid w:val="003F5BD6"/>
    <w:rsid w:val="003F5BFC"/>
    <w:rsid w:val="003F679D"/>
    <w:rsid w:val="00402E30"/>
    <w:rsid w:val="0041090A"/>
    <w:rsid w:val="00410A81"/>
    <w:rsid w:val="00410D5D"/>
    <w:rsid w:val="00417890"/>
    <w:rsid w:val="004221D0"/>
    <w:rsid w:val="00426630"/>
    <w:rsid w:val="004313A2"/>
    <w:rsid w:val="0043291B"/>
    <w:rsid w:val="00433FBC"/>
    <w:rsid w:val="00434CE4"/>
    <w:rsid w:val="004407B9"/>
    <w:rsid w:val="00443536"/>
    <w:rsid w:val="00444815"/>
    <w:rsid w:val="00447100"/>
    <w:rsid w:val="00447E5B"/>
    <w:rsid w:val="00454997"/>
    <w:rsid w:val="00455658"/>
    <w:rsid w:val="004631F0"/>
    <w:rsid w:val="00466867"/>
    <w:rsid w:val="004701A0"/>
    <w:rsid w:val="004703ED"/>
    <w:rsid w:val="00471CA0"/>
    <w:rsid w:val="00474502"/>
    <w:rsid w:val="00475035"/>
    <w:rsid w:val="00483661"/>
    <w:rsid w:val="00485A5E"/>
    <w:rsid w:val="00487C59"/>
    <w:rsid w:val="004925B1"/>
    <w:rsid w:val="0049302E"/>
    <w:rsid w:val="0049400B"/>
    <w:rsid w:val="00494118"/>
    <w:rsid w:val="00496CB9"/>
    <w:rsid w:val="004A0E0B"/>
    <w:rsid w:val="004A16B4"/>
    <w:rsid w:val="004A29E5"/>
    <w:rsid w:val="004A37DF"/>
    <w:rsid w:val="004A4EB9"/>
    <w:rsid w:val="004A506C"/>
    <w:rsid w:val="004A5D6A"/>
    <w:rsid w:val="004B1469"/>
    <w:rsid w:val="004B444A"/>
    <w:rsid w:val="004B504F"/>
    <w:rsid w:val="004B6077"/>
    <w:rsid w:val="004C15DB"/>
    <w:rsid w:val="004C77DC"/>
    <w:rsid w:val="004D1001"/>
    <w:rsid w:val="004D2086"/>
    <w:rsid w:val="004D220A"/>
    <w:rsid w:val="004D620D"/>
    <w:rsid w:val="004E3384"/>
    <w:rsid w:val="004E5EAC"/>
    <w:rsid w:val="004F0148"/>
    <w:rsid w:val="004F7975"/>
    <w:rsid w:val="00501144"/>
    <w:rsid w:val="00501EDE"/>
    <w:rsid w:val="005032A2"/>
    <w:rsid w:val="00504AC4"/>
    <w:rsid w:val="00505E4D"/>
    <w:rsid w:val="0050655A"/>
    <w:rsid w:val="0051094E"/>
    <w:rsid w:val="00512D81"/>
    <w:rsid w:val="005130AF"/>
    <w:rsid w:val="00515F82"/>
    <w:rsid w:val="005167D9"/>
    <w:rsid w:val="005169BE"/>
    <w:rsid w:val="00517409"/>
    <w:rsid w:val="0052179A"/>
    <w:rsid w:val="0052282A"/>
    <w:rsid w:val="005237FB"/>
    <w:rsid w:val="00524F5A"/>
    <w:rsid w:val="00527158"/>
    <w:rsid w:val="00534BA2"/>
    <w:rsid w:val="005374B6"/>
    <w:rsid w:val="00537EC5"/>
    <w:rsid w:val="005433E4"/>
    <w:rsid w:val="00543720"/>
    <w:rsid w:val="005453CC"/>
    <w:rsid w:val="00550D90"/>
    <w:rsid w:val="005638DC"/>
    <w:rsid w:val="00565A4C"/>
    <w:rsid w:val="0056719C"/>
    <w:rsid w:val="005674A8"/>
    <w:rsid w:val="00572959"/>
    <w:rsid w:val="00572A4D"/>
    <w:rsid w:val="005764F7"/>
    <w:rsid w:val="00576765"/>
    <w:rsid w:val="00576894"/>
    <w:rsid w:val="00577DD1"/>
    <w:rsid w:val="00590D56"/>
    <w:rsid w:val="005914E8"/>
    <w:rsid w:val="005A0722"/>
    <w:rsid w:val="005A0F5E"/>
    <w:rsid w:val="005A28B2"/>
    <w:rsid w:val="005A348F"/>
    <w:rsid w:val="005B7C2A"/>
    <w:rsid w:val="005B7EF4"/>
    <w:rsid w:val="005C2CAE"/>
    <w:rsid w:val="005C7233"/>
    <w:rsid w:val="005C7E96"/>
    <w:rsid w:val="005D0BF6"/>
    <w:rsid w:val="005D1104"/>
    <w:rsid w:val="005D2123"/>
    <w:rsid w:val="005D3D1E"/>
    <w:rsid w:val="005D75A4"/>
    <w:rsid w:val="005E0EC5"/>
    <w:rsid w:val="005E6ED6"/>
    <w:rsid w:val="005F2ACA"/>
    <w:rsid w:val="005F37D0"/>
    <w:rsid w:val="005F4AF2"/>
    <w:rsid w:val="005F4C37"/>
    <w:rsid w:val="00601BDD"/>
    <w:rsid w:val="00605B6C"/>
    <w:rsid w:val="00611690"/>
    <w:rsid w:val="00611927"/>
    <w:rsid w:val="00613153"/>
    <w:rsid w:val="00613F6C"/>
    <w:rsid w:val="006214C9"/>
    <w:rsid w:val="00623836"/>
    <w:rsid w:val="006269BF"/>
    <w:rsid w:val="00630FE0"/>
    <w:rsid w:val="00633098"/>
    <w:rsid w:val="00633CBE"/>
    <w:rsid w:val="00637563"/>
    <w:rsid w:val="0064037C"/>
    <w:rsid w:val="00643F0C"/>
    <w:rsid w:val="006452C3"/>
    <w:rsid w:val="00645900"/>
    <w:rsid w:val="00646A05"/>
    <w:rsid w:val="006502A1"/>
    <w:rsid w:val="00656560"/>
    <w:rsid w:val="00662409"/>
    <w:rsid w:val="00665358"/>
    <w:rsid w:val="00670173"/>
    <w:rsid w:val="00670EC8"/>
    <w:rsid w:val="00672BE8"/>
    <w:rsid w:val="006736B9"/>
    <w:rsid w:val="00673E9B"/>
    <w:rsid w:val="00680ED2"/>
    <w:rsid w:val="006873F3"/>
    <w:rsid w:val="00690F76"/>
    <w:rsid w:val="006A6399"/>
    <w:rsid w:val="006A65AD"/>
    <w:rsid w:val="006A699E"/>
    <w:rsid w:val="006B2DE9"/>
    <w:rsid w:val="006C5CE2"/>
    <w:rsid w:val="006C5CF9"/>
    <w:rsid w:val="006D1D22"/>
    <w:rsid w:val="006D4465"/>
    <w:rsid w:val="006D48D1"/>
    <w:rsid w:val="006D4A45"/>
    <w:rsid w:val="006D5EB5"/>
    <w:rsid w:val="006D712C"/>
    <w:rsid w:val="006D72CE"/>
    <w:rsid w:val="006D788C"/>
    <w:rsid w:val="006D7954"/>
    <w:rsid w:val="006E25B6"/>
    <w:rsid w:val="006E4166"/>
    <w:rsid w:val="006E4F3A"/>
    <w:rsid w:val="006F290A"/>
    <w:rsid w:val="00701992"/>
    <w:rsid w:val="00701F90"/>
    <w:rsid w:val="00703A29"/>
    <w:rsid w:val="007056FE"/>
    <w:rsid w:val="007059BD"/>
    <w:rsid w:val="007169D8"/>
    <w:rsid w:val="00716A88"/>
    <w:rsid w:val="00720B64"/>
    <w:rsid w:val="00721CF7"/>
    <w:rsid w:val="00722C9A"/>
    <w:rsid w:val="0072313F"/>
    <w:rsid w:val="00723A88"/>
    <w:rsid w:val="00726848"/>
    <w:rsid w:val="007300B0"/>
    <w:rsid w:val="00732F42"/>
    <w:rsid w:val="00740FF3"/>
    <w:rsid w:val="00747F6A"/>
    <w:rsid w:val="007500FF"/>
    <w:rsid w:val="00752F4D"/>
    <w:rsid w:val="007548A4"/>
    <w:rsid w:val="00760CEE"/>
    <w:rsid w:val="007748F3"/>
    <w:rsid w:val="0077616F"/>
    <w:rsid w:val="00793EBC"/>
    <w:rsid w:val="00796685"/>
    <w:rsid w:val="007A042B"/>
    <w:rsid w:val="007A1DBC"/>
    <w:rsid w:val="007A61B3"/>
    <w:rsid w:val="007A6293"/>
    <w:rsid w:val="007B3E55"/>
    <w:rsid w:val="007C3A93"/>
    <w:rsid w:val="007C498F"/>
    <w:rsid w:val="007C4D56"/>
    <w:rsid w:val="007C6D89"/>
    <w:rsid w:val="007D2A87"/>
    <w:rsid w:val="007D4035"/>
    <w:rsid w:val="007D4F24"/>
    <w:rsid w:val="007D7F76"/>
    <w:rsid w:val="007E0DFC"/>
    <w:rsid w:val="007E3A2F"/>
    <w:rsid w:val="007E4833"/>
    <w:rsid w:val="007F104F"/>
    <w:rsid w:val="007F3163"/>
    <w:rsid w:val="007F5D8D"/>
    <w:rsid w:val="007F5FB5"/>
    <w:rsid w:val="00811768"/>
    <w:rsid w:val="00813E73"/>
    <w:rsid w:val="0081508A"/>
    <w:rsid w:val="00815365"/>
    <w:rsid w:val="00821991"/>
    <w:rsid w:val="00824FB4"/>
    <w:rsid w:val="00830D10"/>
    <w:rsid w:val="008325C9"/>
    <w:rsid w:val="0083261E"/>
    <w:rsid w:val="00834442"/>
    <w:rsid w:val="00835AAC"/>
    <w:rsid w:val="00836E58"/>
    <w:rsid w:val="00837F3B"/>
    <w:rsid w:val="008468C3"/>
    <w:rsid w:val="008471F0"/>
    <w:rsid w:val="00850DB5"/>
    <w:rsid w:val="0085206B"/>
    <w:rsid w:val="008606E8"/>
    <w:rsid w:val="00861FB3"/>
    <w:rsid w:val="0086364F"/>
    <w:rsid w:val="00863D64"/>
    <w:rsid w:val="00864BFB"/>
    <w:rsid w:val="0086512B"/>
    <w:rsid w:val="00871C7D"/>
    <w:rsid w:val="008722AD"/>
    <w:rsid w:val="008727FA"/>
    <w:rsid w:val="00873186"/>
    <w:rsid w:val="00873FFF"/>
    <w:rsid w:val="00875179"/>
    <w:rsid w:val="00876AC6"/>
    <w:rsid w:val="0087707E"/>
    <w:rsid w:val="00877998"/>
    <w:rsid w:val="008812A9"/>
    <w:rsid w:val="008826DD"/>
    <w:rsid w:val="008834F2"/>
    <w:rsid w:val="008852CC"/>
    <w:rsid w:val="008868A9"/>
    <w:rsid w:val="008871C4"/>
    <w:rsid w:val="00891E63"/>
    <w:rsid w:val="00894E52"/>
    <w:rsid w:val="008950BF"/>
    <w:rsid w:val="008A063A"/>
    <w:rsid w:val="008A0DC3"/>
    <w:rsid w:val="008A0F1B"/>
    <w:rsid w:val="008A15B6"/>
    <w:rsid w:val="008A16DF"/>
    <w:rsid w:val="008A1849"/>
    <w:rsid w:val="008A39F7"/>
    <w:rsid w:val="008A5E2F"/>
    <w:rsid w:val="008B3020"/>
    <w:rsid w:val="008C4D5F"/>
    <w:rsid w:val="008C534D"/>
    <w:rsid w:val="008C7E9F"/>
    <w:rsid w:val="008D4784"/>
    <w:rsid w:val="008D5AEB"/>
    <w:rsid w:val="008E0CCC"/>
    <w:rsid w:val="008E1A0B"/>
    <w:rsid w:val="008E217D"/>
    <w:rsid w:val="008E2BB5"/>
    <w:rsid w:val="008E6B1B"/>
    <w:rsid w:val="008F32A3"/>
    <w:rsid w:val="008F602B"/>
    <w:rsid w:val="009041BA"/>
    <w:rsid w:val="009076AC"/>
    <w:rsid w:val="00911D47"/>
    <w:rsid w:val="00912DB9"/>
    <w:rsid w:val="00914F9D"/>
    <w:rsid w:val="00916B20"/>
    <w:rsid w:val="00920BE2"/>
    <w:rsid w:val="009231D9"/>
    <w:rsid w:val="00923DB6"/>
    <w:rsid w:val="00923E33"/>
    <w:rsid w:val="00924BBD"/>
    <w:rsid w:val="00925BC2"/>
    <w:rsid w:val="009270BC"/>
    <w:rsid w:val="009272F4"/>
    <w:rsid w:val="0093028F"/>
    <w:rsid w:val="00931E71"/>
    <w:rsid w:val="00933603"/>
    <w:rsid w:val="00935870"/>
    <w:rsid w:val="00937255"/>
    <w:rsid w:val="00937688"/>
    <w:rsid w:val="009428CE"/>
    <w:rsid w:val="00942AD7"/>
    <w:rsid w:val="00942F87"/>
    <w:rsid w:val="00945073"/>
    <w:rsid w:val="00945519"/>
    <w:rsid w:val="00946AC6"/>
    <w:rsid w:val="00947587"/>
    <w:rsid w:val="0095665C"/>
    <w:rsid w:val="00956836"/>
    <w:rsid w:val="00961868"/>
    <w:rsid w:val="009629F9"/>
    <w:rsid w:val="00962CDD"/>
    <w:rsid w:val="00963CA7"/>
    <w:rsid w:val="00966202"/>
    <w:rsid w:val="00966879"/>
    <w:rsid w:val="00973B44"/>
    <w:rsid w:val="00974EAB"/>
    <w:rsid w:val="00980AEB"/>
    <w:rsid w:val="009861C4"/>
    <w:rsid w:val="0098651C"/>
    <w:rsid w:val="009872E0"/>
    <w:rsid w:val="00987B21"/>
    <w:rsid w:val="00987EFF"/>
    <w:rsid w:val="0099067B"/>
    <w:rsid w:val="00992BA0"/>
    <w:rsid w:val="009942B6"/>
    <w:rsid w:val="00996035"/>
    <w:rsid w:val="009A02FB"/>
    <w:rsid w:val="009A04F6"/>
    <w:rsid w:val="009A1B28"/>
    <w:rsid w:val="009A2C17"/>
    <w:rsid w:val="009A5212"/>
    <w:rsid w:val="009B3422"/>
    <w:rsid w:val="009C38FB"/>
    <w:rsid w:val="009C4834"/>
    <w:rsid w:val="009C5F91"/>
    <w:rsid w:val="009C6260"/>
    <w:rsid w:val="009C7E9A"/>
    <w:rsid w:val="009D2988"/>
    <w:rsid w:val="009D4749"/>
    <w:rsid w:val="009D512B"/>
    <w:rsid w:val="009D5B87"/>
    <w:rsid w:val="009D70B6"/>
    <w:rsid w:val="009D7AEE"/>
    <w:rsid w:val="009E01E1"/>
    <w:rsid w:val="009E7315"/>
    <w:rsid w:val="009F090D"/>
    <w:rsid w:val="00A01447"/>
    <w:rsid w:val="00A02B2F"/>
    <w:rsid w:val="00A07434"/>
    <w:rsid w:val="00A07D4E"/>
    <w:rsid w:val="00A1459C"/>
    <w:rsid w:val="00A158F9"/>
    <w:rsid w:val="00A15AC1"/>
    <w:rsid w:val="00A210C2"/>
    <w:rsid w:val="00A246A9"/>
    <w:rsid w:val="00A2549F"/>
    <w:rsid w:val="00A27D77"/>
    <w:rsid w:val="00A333B8"/>
    <w:rsid w:val="00A35056"/>
    <w:rsid w:val="00A35E0A"/>
    <w:rsid w:val="00A3736E"/>
    <w:rsid w:val="00A42E82"/>
    <w:rsid w:val="00A44AF3"/>
    <w:rsid w:val="00A44DB6"/>
    <w:rsid w:val="00A472A8"/>
    <w:rsid w:val="00A50E92"/>
    <w:rsid w:val="00A53029"/>
    <w:rsid w:val="00A56062"/>
    <w:rsid w:val="00A6206B"/>
    <w:rsid w:val="00A6408E"/>
    <w:rsid w:val="00A659DF"/>
    <w:rsid w:val="00A6677F"/>
    <w:rsid w:val="00A67171"/>
    <w:rsid w:val="00A67608"/>
    <w:rsid w:val="00A7220A"/>
    <w:rsid w:val="00A7694B"/>
    <w:rsid w:val="00A80F24"/>
    <w:rsid w:val="00A813E0"/>
    <w:rsid w:val="00A81F7A"/>
    <w:rsid w:val="00A8497A"/>
    <w:rsid w:val="00A976FC"/>
    <w:rsid w:val="00AA0E65"/>
    <w:rsid w:val="00AA1382"/>
    <w:rsid w:val="00AA248C"/>
    <w:rsid w:val="00AA50A7"/>
    <w:rsid w:val="00AA56A9"/>
    <w:rsid w:val="00AB3C9B"/>
    <w:rsid w:val="00AC2AC0"/>
    <w:rsid w:val="00AC32EE"/>
    <w:rsid w:val="00AC5B08"/>
    <w:rsid w:val="00AE2465"/>
    <w:rsid w:val="00AE4756"/>
    <w:rsid w:val="00AE4BFB"/>
    <w:rsid w:val="00AF3699"/>
    <w:rsid w:val="00AF37DF"/>
    <w:rsid w:val="00AF6816"/>
    <w:rsid w:val="00AF79A1"/>
    <w:rsid w:val="00B01651"/>
    <w:rsid w:val="00B06270"/>
    <w:rsid w:val="00B06A60"/>
    <w:rsid w:val="00B116BD"/>
    <w:rsid w:val="00B14919"/>
    <w:rsid w:val="00B152B0"/>
    <w:rsid w:val="00B1644E"/>
    <w:rsid w:val="00B175E3"/>
    <w:rsid w:val="00B17FFA"/>
    <w:rsid w:val="00B24012"/>
    <w:rsid w:val="00B24509"/>
    <w:rsid w:val="00B25795"/>
    <w:rsid w:val="00B30ED4"/>
    <w:rsid w:val="00B31873"/>
    <w:rsid w:val="00B333A8"/>
    <w:rsid w:val="00B4227C"/>
    <w:rsid w:val="00B42B8F"/>
    <w:rsid w:val="00B44DCD"/>
    <w:rsid w:val="00B519C2"/>
    <w:rsid w:val="00B5554C"/>
    <w:rsid w:val="00B601CE"/>
    <w:rsid w:val="00B670B2"/>
    <w:rsid w:val="00B70C38"/>
    <w:rsid w:val="00B70EF1"/>
    <w:rsid w:val="00B721C6"/>
    <w:rsid w:val="00B7461B"/>
    <w:rsid w:val="00B76D12"/>
    <w:rsid w:val="00B77684"/>
    <w:rsid w:val="00B80B80"/>
    <w:rsid w:val="00B87CA3"/>
    <w:rsid w:val="00B915AE"/>
    <w:rsid w:val="00B938C7"/>
    <w:rsid w:val="00B93E96"/>
    <w:rsid w:val="00BA2482"/>
    <w:rsid w:val="00BA6728"/>
    <w:rsid w:val="00BA6C55"/>
    <w:rsid w:val="00BA7376"/>
    <w:rsid w:val="00BB17E1"/>
    <w:rsid w:val="00BB191F"/>
    <w:rsid w:val="00BB51C4"/>
    <w:rsid w:val="00BC730A"/>
    <w:rsid w:val="00BE31B7"/>
    <w:rsid w:val="00BE4364"/>
    <w:rsid w:val="00BE6370"/>
    <w:rsid w:val="00BE7027"/>
    <w:rsid w:val="00BF36FE"/>
    <w:rsid w:val="00BF767B"/>
    <w:rsid w:val="00C0080F"/>
    <w:rsid w:val="00C0374A"/>
    <w:rsid w:val="00C0630A"/>
    <w:rsid w:val="00C0640C"/>
    <w:rsid w:val="00C07F4F"/>
    <w:rsid w:val="00C14BE1"/>
    <w:rsid w:val="00C15EE6"/>
    <w:rsid w:val="00C1733D"/>
    <w:rsid w:val="00C23E50"/>
    <w:rsid w:val="00C2507E"/>
    <w:rsid w:val="00C25834"/>
    <w:rsid w:val="00C26159"/>
    <w:rsid w:val="00C30E0A"/>
    <w:rsid w:val="00C321F7"/>
    <w:rsid w:val="00C33006"/>
    <w:rsid w:val="00C35B7F"/>
    <w:rsid w:val="00C40AE7"/>
    <w:rsid w:val="00C43732"/>
    <w:rsid w:val="00C4493F"/>
    <w:rsid w:val="00C4765C"/>
    <w:rsid w:val="00C50CF7"/>
    <w:rsid w:val="00C54BB1"/>
    <w:rsid w:val="00C6124D"/>
    <w:rsid w:val="00C62F66"/>
    <w:rsid w:val="00C63D88"/>
    <w:rsid w:val="00C72CD2"/>
    <w:rsid w:val="00C73789"/>
    <w:rsid w:val="00C7460C"/>
    <w:rsid w:val="00C74A2F"/>
    <w:rsid w:val="00C75FE2"/>
    <w:rsid w:val="00C83592"/>
    <w:rsid w:val="00C841FE"/>
    <w:rsid w:val="00C9023A"/>
    <w:rsid w:val="00C902EE"/>
    <w:rsid w:val="00C90AC9"/>
    <w:rsid w:val="00C911D8"/>
    <w:rsid w:val="00C9508E"/>
    <w:rsid w:val="00C954E2"/>
    <w:rsid w:val="00CA388A"/>
    <w:rsid w:val="00CA5E50"/>
    <w:rsid w:val="00CA5FFF"/>
    <w:rsid w:val="00CB40F3"/>
    <w:rsid w:val="00CB7F8F"/>
    <w:rsid w:val="00CC03BF"/>
    <w:rsid w:val="00CC1627"/>
    <w:rsid w:val="00CC24CA"/>
    <w:rsid w:val="00CC5FDB"/>
    <w:rsid w:val="00CC6D4A"/>
    <w:rsid w:val="00CE349E"/>
    <w:rsid w:val="00CE4106"/>
    <w:rsid w:val="00CE5899"/>
    <w:rsid w:val="00CF4FAC"/>
    <w:rsid w:val="00CF791F"/>
    <w:rsid w:val="00D00603"/>
    <w:rsid w:val="00D00993"/>
    <w:rsid w:val="00D01531"/>
    <w:rsid w:val="00D01D48"/>
    <w:rsid w:val="00D03066"/>
    <w:rsid w:val="00D03766"/>
    <w:rsid w:val="00D0410A"/>
    <w:rsid w:val="00D1056C"/>
    <w:rsid w:val="00D17380"/>
    <w:rsid w:val="00D24E60"/>
    <w:rsid w:val="00D25A6A"/>
    <w:rsid w:val="00D30B4E"/>
    <w:rsid w:val="00D3436E"/>
    <w:rsid w:val="00D40CA6"/>
    <w:rsid w:val="00D44B8E"/>
    <w:rsid w:val="00D45472"/>
    <w:rsid w:val="00D457DA"/>
    <w:rsid w:val="00D463F2"/>
    <w:rsid w:val="00D47AE8"/>
    <w:rsid w:val="00D55E3A"/>
    <w:rsid w:val="00D56AC0"/>
    <w:rsid w:val="00D61168"/>
    <w:rsid w:val="00D6580A"/>
    <w:rsid w:val="00D704F4"/>
    <w:rsid w:val="00D740A5"/>
    <w:rsid w:val="00D742C7"/>
    <w:rsid w:val="00D85F61"/>
    <w:rsid w:val="00D91246"/>
    <w:rsid w:val="00D93AE1"/>
    <w:rsid w:val="00D96513"/>
    <w:rsid w:val="00DA5FB6"/>
    <w:rsid w:val="00DB45C5"/>
    <w:rsid w:val="00DB64DF"/>
    <w:rsid w:val="00DC2F3F"/>
    <w:rsid w:val="00DC7A13"/>
    <w:rsid w:val="00DD1379"/>
    <w:rsid w:val="00DD187A"/>
    <w:rsid w:val="00DD4356"/>
    <w:rsid w:val="00DE1939"/>
    <w:rsid w:val="00DE5A74"/>
    <w:rsid w:val="00DF1E1B"/>
    <w:rsid w:val="00DF43B3"/>
    <w:rsid w:val="00DF54D4"/>
    <w:rsid w:val="00DF6DC9"/>
    <w:rsid w:val="00E02B6F"/>
    <w:rsid w:val="00E02F9D"/>
    <w:rsid w:val="00E07FD1"/>
    <w:rsid w:val="00E103CD"/>
    <w:rsid w:val="00E11CE0"/>
    <w:rsid w:val="00E16D9E"/>
    <w:rsid w:val="00E1758F"/>
    <w:rsid w:val="00E17834"/>
    <w:rsid w:val="00E2049D"/>
    <w:rsid w:val="00E26239"/>
    <w:rsid w:val="00E27974"/>
    <w:rsid w:val="00E332E9"/>
    <w:rsid w:val="00E335A3"/>
    <w:rsid w:val="00E37B6A"/>
    <w:rsid w:val="00E425F5"/>
    <w:rsid w:val="00E443B5"/>
    <w:rsid w:val="00E50811"/>
    <w:rsid w:val="00E5191C"/>
    <w:rsid w:val="00E537B6"/>
    <w:rsid w:val="00E55ABE"/>
    <w:rsid w:val="00E56237"/>
    <w:rsid w:val="00E61851"/>
    <w:rsid w:val="00E621E0"/>
    <w:rsid w:val="00E63A91"/>
    <w:rsid w:val="00E64757"/>
    <w:rsid w:val="00E66DCC"/>
    <w:rsid w:val="00E67C86"/>
    <w:rsid w:val="00E80EB9"/>
    <w:rsid w:val="00E83361"/>
    <w:rsid w:val="00E87652"/>
    <w:rsid w:val="00E87BDD"/>
    <w:rsid w:val="00E90ADE"/>
    <w:rsid w:val="00E90C7E"/>
    <w:rsid w:val="00E92845"/>
    <w:rsid w:val="00E93604"/>
    <w:rsid w:val="00E963C6"/>
    <w:rsid w:val="00E970FF"/>
    <w:rsid w:val="00EA07CC"/>
    <w:rsid w:val="00EA106B"/>
    <w:rsid w:val="00EA3EFE"/>
    <w:rsid w:val="00EA71B2"/>
    <w:rsid w:val="00EC3F6D"/>
    <w:rsid w:val="00EC62A1"/>
    <w:rsid w:val="00EC6FB1"/>
    <w:rsid w:val="00ED2002"/>
    <w:rsid w:val="00ED66BA"/>
    <w:rsid w:val="00EE12F3"/>
    <w:rsid w:val="00EE295F"/>
    <w:rsid w:val="00EE4252"/>
    <w:rsid w:val="00EE4371"/>
    <w:rsid w:val="00EF39CA"/>
    <w:rsid w:val="00EF4082"/>
    <w:rsid w:val="00EF67D0"/>
    <w:rsid w:val="00EF6969"/>
    <w:rsid w:val="00F039E1"/>
    <w:rsid w:val="00F048DB"/>
    <w:rsid w:val="00F0533C"/>
    <w:rsid w:val="00F077CF"/>
    <w:rsid w:val="00F07F10"/>
    <w:rsid w:val="00F13D3C"/>
    <w:rsid w:val="00F16359"/>
    <w:rsid w:val="00F2111F"/>
    <w:rsid w:val="00F22CB2"/>
    <w:rsid w:val="00F2378E"/>
    <w:rsid w:val="00F24F4D"/>
    <w:rsid w:val="00F25F19"/>
    <w:rsid w:val="00F2671A"/>
    <w:rsid w:val="00F31146"/>
    <w:rsid w:val="00F33DA8"/>
    <w:rsid w:val="00F33E3A"/>
    <w:rsid w:val="00F350DB"/>
    <w:rsid w:val="00F37162"/>
    <w:rsid w:val="00F54580"/>
    <w:rsid w:val="00F550AB"/>
    <w:rsid w:val="00F55487"/>
    <w:rsid w:val="00F57CE8"/>
    <w:rsid w:val="00F604E8"/>
    <w:rsid w:val="00F661EA"/>
    <w:rsid w:val="00F736B0"/>
    <w:rsid w:val="00F73EDD"/>
    <w:rsid w:val="00F74F53"/>
    <w:rsid w:val="00F83945"/>
    <w:rsid w:val="00F84579"/>
    <w:rsid w:val="00F8593A"/>
    <w:rsid w:val="00F87338"/>
    <w:rsid w:val="00F91F2B"/>
    <w:rsid w:val="00F96106"/>
    <w:rsid w:val="00F968D9"/>
    <w:rsid w:val="00F9756A"/>
    <w:rsid w:val="00FA1B80"/>
    <w:rsid w:val="00FB31E2"/>
    <w:rsid w:val="00FC25BE"/>
    <w:rsid w:val="00FC521F"/>
    <w:rsid w:val="00FC5B58"/>
    <w:rsid w:val="00FD0F28"/>
    <w:rsid w:val="00FD2D13"/>
    <w:rsid w:val="00FD4CDA"/>
    <w:rsid w:val="00FE015C"/>
    <w:rsid w:val="00FE32FD"/>
    <w:rsid w:val="00FE3D9C"/>
    <w:rsid w:val="00FE4649"/>
    <w:rsid w:val="00FE4AD1"/>
    <w:rsid w:val="00FE4D9E"/>
    <w:rsid w:val="00FF15CB"/>
    <w:rsid w:val="00FF25E9"/>
    <w:rsid w:val="00FF2F10"/>
    <w:rsid w:val="00FF58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B4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825"/>
  </w:style>
  <w:style w:type="paragraph" w:styleId="Footer">
    <w:name w:val="footer"/>
    <w:basedOn w:val="Normal"/>
    <w:link w:val="FooterChar"/>
    <w:uiPriority w:val="99"/>
    <w:unhideWhenUsed/>
    <w:rsid w:val="000B1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825"/>
  </w:style>
  <w:style w:type="paragraph" w:styleId="BalloonText">
    <w:name w:val="Balloon Text"/>
    <w:basedOn w:val="Normal"/>
    <w:link w:val="BalloonTextChar"/>
    <w:uiPriority w:val="99"/>
    <w:semiHidden/>
    <w:unhideWhenUsed/>
    <w:rsid w:val="000B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25"/>
    <w:rPr>
      <w:rFonts w:ascii="Tahoma" w:hAnsi="Tahoma" w:cs="Tahoma"/>
      <w:sz w:val="16"/>
      <w:szCs w:val="16"/>
    </w:rPr>
  </w:style>
  <w:style w:type="paragraph" w:styleId="Title">
    <w:name w:val="Title"/>
    <w:basedOn w:val="Normal"/>
    <w:next w:val="Normal"/>
    <w:link w:val="TitleChar"/>
    <w:uiPriority w:val="10"/>
    <w:qFormat/>
    <w:rsid w:val="000B18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825"/>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B18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B1825"/>
    <w:rPr>
      <w:b/>
      <w:bCs/>
      <w:i/>
      <w:iCs/>
      <w:color w:val="4F81BD" w:themeColor="accent1"/>
    </w:rPr>
  </w:style>
  <w:style w:type="paragraph" w:styleId="NoSpacing">
    <w:name w:val="No Spacing"/>
    <w:link w:val="NoSpacingChar"/>
    <w:uiPriority w:val="1"/>
    <w:qFormat/>
    <w:rsid w:val="000B182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B1825"/>
    <w:rPr>
      <w:rFonts w:eastAsiaTheme="minorEastAsia"/>
      <w:lang w:val="en-US" w:eastAsia="ja-JP"/>
    </w:rPr>
  </w:style>
  <w:style w:type="character" w:styleId="Hyperlink">
    <w:name w:val="Hyperlink"/>
    <w:basedOn w:val="DefaultParagraphFont"/>
    <w:uiPriority w:val="99"/>
    <w:unhideWhenUsed/>
    <w:rsid w:val="000B1825"/>
    <w:rPr>
      <w:color w:val="0000FF" w:themeColor="hyperlink"/>
      <w:u w:val="single"/>
    </w:rPr>
  </w:style>
  <w:style w:type="paragraph" w:styleId="BodyText2">
    <w:name w:val="Body Text 2"/>
    <w:basedOn w:val="Normal"/>
    <w:link w:val="BodyText2Char"/>
    <w:rsid w:val="000B1825"/>
    <w:pPr>
      <w:spacing w:after="120" w:line="480" w:lineRule="auto"/>
    </w:pPr>
    <w:rPr>
      <w:rFonts w:ascii="Times New Roman" w:eastAsia="Times New Roman" w:hAnsi="Times New Roman" w:cs="Times New Roman"/>
      <w:szCs w:val="24"/>
      <w:lang w:val="en-US"/>
    </w:rPr>
  </w:style>
  <w:style w:type="character" w:customStyle="1" w:styleId="BodyText2Char">
    <w:name w:val="Body Text 2 Char"/>
    <w:basedOn w:val="DefaultParagraphFont"/>
    <w:link w:val="BodyText2"/>
    <w:rsid w:val="000B1825"/>
    <w:rPr>
      <w:rFonts w:ascii="Times New Roman" w:eastAsia="Times New Roman" w:hAnsi="Times New Roman" w:cs="Times New Roman"/>
      <w:szCs w:val="24"/>
      <w:lang w:val="en-US"/>
    </w:rPr>
  </w:style>
  <w:style w:type="table" w:styleId="TableGrid">
    <w:name w:val="Table Grid"/>
    <w:basedOn w:val="TableNormal"/>
    <w:uiPriority w:val="59"/>
    <w:rsid w:val="000B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519"/>
    <w:rPr>
      <w:color w:val="808080"/>
    </w:rPr>
  </w:style>
  <w:style w:type="paragraph" w:styleId="FootnoteText">
    <w:name w:val="footnote text"/>
    <w:basedOn w:val="Normal"/>
    <w:link w:val="FootnoteTextChar"/>
    <w:uiPriority w:val="99"/>
    <w:unhideWhenUsed/>
    <w:rsid w:val="00F37162"/>
    <w:pPr>
      <w:spacing w:after="0" w:line="240" w:lineRule="auto"/>
    </w:pPr>
    <w:rPr>
      <w:sz w:val="20"/>
      <w:szCs w:val="20"/>
    </w:rPr>
  </w:style>
  <w:style w:type="character" w:customStyle="1" w:styleId="FootnoteTextChar">
    <w:name w:val="Footnote Text Char"/>
    <w:basedOn w:val="DefaultParagraphFont"/>
    <w:link w:val="FootnoteText"/>
    <w:uiPriority w:val="99"/>
    <w:rsid w:val="00F37162"/>
    <w:rPr>
      <w:sz w:val="20"/>
      <w:szCs w:val="20"/>
    </w:rPr>
  </w:style>
  <w:style w:type="character" w:styleId="FootnoteReference">
    <w:name w:val="footnote reference"/>
    <w:basedOn w:val="DefaultParagraphFont"/>
    <w:uiPriority w:val="99"/>
    <w:unhideWhenUsed/>
    <w:rsid w:val="00F37162"/>
    <w:rPr>
      <w:vertAlign w:val="superscript"/>
    </w:rPr>
  </w:style>
  <w:style w:type="table" w:customStyle="1" w:styleId="TableGrid1">
    <w:name w:val="Table Grid1"/>
    <w:basedOn w:val="TableNormal"/>
    <w:next w:val="TableGrid"/>
    <w:uiPriority w:val="59"/>
    <w:rsid w:val="0098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246A9"/>
    <w:pPr>
      <w:spacing w:line="240" w:lineRule="auto"/>
    </w:pPr>
    <w:rPr>
      <w:b/>
      <w:bCs/>
      <w:color w:val="4F81BD" w:themeColor="accent1"/>
      <w:sz w:val="18"/>
      <w:szCs w:val="18"/>
    </w:rPr>
  </w:style>
  <w:style w:type="paragraph" w:styleId="ListParagraph">
    <w:name w:val="List Paragraph"/>
    <w:basedOn w:val="Normal"/>
    <w:uiPriority w:val="34"/>
    <w:qFormat/>
    <w:rsid w:val="00EE4371"/>
    <w:pPr>
      <w:ind w:left="720"/>
      <w:contextualSpacing/>
    </w:pPr>
  </w:style>
  <w:style w:type="character" w:styleId="CommentReference">
    <w:name w:val="annotation reference"/>
    <w:basedOn w:val="DefaultParagraphFont"/>
    <w:uiPriority w:val="99"/>
    <w:semiHidden/>
    <w:unhideWhenUsed/>
    <w:rsid w:val="00F550AB"/>
    <w:rPr>
      <w:sz w:val="16"/>
      <w:szCs w:val="16"/>
    </w:rPr>
  </w:style>
  <w:style w:type="paragraph" w:styleId="CommentText">
    <w:name w:val="annotation text"/>
    <w:basedOn w:val="Normal"/>
    <w:link w:val="CommentTextChar"/>
    <w:uiPriority w:val="99"/>
    <w:semiHidden/>
    <w:unhideWhenUsed/>
    <w:rsid w:val="00F550AB"/>
    <w:pPr>
      <w:spacing w:line="240" w:lineRule="auto"/>
    </w:pPr>
    <w:rPr>
      <w:sz w:val="20"/>
      <w:szCs w:val="20"/>
    </w:rPr>
  </w:style>
  <w:style w:type="character" w:customStyle="1" w:styleId="CommentTextChar">
    <w:name w:val="Comment Text Char"/>
    <w:basedOn w:val="DefaultParagraphFont"/>
    <w:link w:val="CommentText"/>
    <w:uiPriority w:val="99"/>
    <w:semiHidden/>
    <w:rsid w:val="00F550AB"/>
    <w:rPr>
      <w:sz w:val="20"/>
      <w:szCs w:val="20"/>
    </w:rPr>
  </w:style>
  <w:style w:type="paragraph" w:styleId="CommentSubject">
    <w:name w:val="annotation subject"/>
    <w:basedOn w:val="CommentText"/>
    <w:next w:val="CommentText"/>
    <w:link w:val="CommentSubjectChar"/>
    <w:uiPriority w:val="99"/>
    <w:semiHidden/>
    <w:unhideWhenUsed/>
    <w:rsid w:val="00F550AB"/>
    <w:rPr>
      <w:b/>
      <w:bCs/>
    </w:rPr>
  </w:style>
  <w:style w:type="character" w:customStyle="1" w:styleId="CommentSubjectChar">
    <w:name w:val="Comment Subject Char"/>
    <w:basedOn w:val="CommentTextChar"/>
    <w:link w:val="CommentSubject"/>
    <w:uiPriority w:val="99"/>
    <w:semiHidden/>
    <w:rsid w:val="00F550AB"/>
    <w:rPr>
      <w:b/>
      <w:bCs/>
      <w:sz w:val="20"/>
      <w:szCs w:val="20"/>
    </w:rPr>
  </w:style>
  <w:style w:type="paragraph" w:styleId="Revision">
    <w:name w:val="Revision"/>
    <w:hidden/>
    <w:uiPriority w:val="99"/>
    <w:semiHidden/>
    <w:rsid w:val="00633098"/>
    <w:pPr>
      <w:spacing w:after="0" w:line="240" w:lineRule="auto"/>
    </w:pPr>
  </w:style>
  <w:style w:type="character" w:styleId="FollowedHyperlink">
    <w:name w:val="FollowedHyperlink"/>
    <w:basedOn w:val="DefaultParagraphFont"/>
    <w:uiPriority w:val="99"/>
    <w:semiHidden/>
    <w:unhideWhenUsed/>
    <w:rsid w:val="00D457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8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825"/>
  </w:style>
  <w:style w:type="paragraph" w:styleId="Footer">
    <w:name w:val="footer"/>
    <w:basedOn w:val="Normal"/>
    <w:link w:val="FooterChar"/>
    <w:uiPriority w:val="99"/>
    <w:unhideWhenUsed/>
    <w:rsid w:val="000B18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825"/>
  </w:style>
  <w:style w:type="paragraph" w:styleId="BalloonText">
    <w:name w:val="Balloon Text"/>
    <w:basedOn w:val="Normal"/>
    <w:link w:val="BalloonTextChar"/>
    <w:uiPriority w:val="99"/>
    <w:semiHidden/>
    <w:unhideWhenUsed/>
    <w:rsid w:val="000B1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1825"/>
    <w:rPr>
      <w:rFonts w:ascii="Tahoma" w:hAnsi="Tahoma" w:cs="Tahoma"/>
      <w:sz w:val="16"/>
      <w:szCs w:val="16"/>
    </w:rPr>
  </w:style>
  <w:style w:type="paragraph" w:styleId="Title">
    <w:name w:val="Title"/>
    <w:basedOn w:val="Normal"/>
    <w:next w:val="Normal"/>
    <w:link w:val="TitleChar"/>
    <w:uiPriority w:val="10"/>
    <w:qFormat/>
    <w:rsid w:val="000B18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1825"/>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0B182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B1825"/>
    <w:rPr>
      <w:b/>
      <w:bCs/>
      <w:i/>
      <w:iCs/>
      <w:color w:val="4F81BD" w:themeColor="accent1"/>
    </w:rPr>
  </w:style>
  <w:style w:type="paragraph" w:styleId="NoSpacing">
    <w:name w:val="No Spacing"/>
    <w:link w:val="NoSpacingChar"/>
    <w:uiPriority w:val="1"/>
    <w:qFormat/>
    <w:rsid w:val="000B182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0B1825"/>
    <w:rPr>
      <w:rFonts w:eastAsiaTheme="minorEastAsia"/>
      <w:lang w:val="en-US" w:eastAsia="ja-JP"/>
    </w:rPr>
  </w:style>
  <w:style w:type="character" w:styleId="Hyperlink">
    <w:name w:val="Hyperlink"/>
    <w:basedOn w:val="DefaultParagraphFont"/>
    <w:uiPriority w:val="99"/>
    <w:unhideWhenUsed/>
    <w:rsid w:val="000B1825"/>
    <w:rPr>
      <w:color w:val="0000FF" w:themeColor="hyperlink"/>
      <w:u w:val="single"/>
    </w:rPr>
  </w:style>
  <w:style w:type="paragraph" w:styleId="BodyText2">
    <w:name w:val="Body Text 2"/>
    <w:basedOn w:val="Normal"/>
    <w:link w:val="BodyText2Char"/>
    <w:rsid w:val="000B1825"/>
    <w:pPr>
      <w:spacing w:after="120" w:line="480" w:lineRule="auto"/>
    </w:pPr>
    <w:rPr>
      <w:rFonts w:ascii="Times New Roman" w:eastAsia="Times New Roman" w:hAnsi="Times New Roman" w:cs="Times New Roman"/>
      <w:szCs w:val="24"/>
      <w:lang w:val="en-US"/>
    </w:rPr>
  </w:style>
  <w:style w:type="character" w:customStyle="1" w:styleId="BodyText2Char">
    <w:name w:val="Body Text 2 Char"/>
    <w:basedOn w:val="DefaultParagraphFont"/>
    <w:link w:val="BodyText2"/>
    <w:rsid w:val="000B1825"/>
    <w:rPr>
      <w:rFonts w:ascii="Times New Roman" w:eastAsia="Times New Roman" w:hAnsi="Times New Roman" w:cs="Times New Roman"/>
      <w:szCs w:val="24"/>
      <w:lang w:val="en-US"/>
    </w:rPr>
  </w:style>
  <w:style w:type="table" w:styleId="TableGrid">
    <w:name w:val="Table Grid"/>
    <w:basedOn w:val="TableNormal"/>
    <w:uiPriority w:val="59"/>
    <w:rsid w:val="000B1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45519"/>
    <w:rPr>
      <w:color w:val="808080"/>
    </w:rPr>
  </w:style>
  <w:style w:type="paragraph" w:styleId="FootnoteText">
    <w:name w:val="footnote text"/>
    <w:basedOn w:val="Normal"/>
    <w:link w:val="FootnoteTextChar"/>
    <w:uiPriority w:val="99"/>
    <w:unhideWhenUsed/>
    <w:rsid w:val="00F37162"/>
    <w:pPr>
      <w:spacing w:after="0" w:line="240" w:lineRule="auto"/>
    </w:pPr>
    <w:rPr>
      <w:sz w:val="20"/>
      <w:szCs w:val="20"/>
    </w:rPr>
  </w:style>
  <w:style w:type="character" w:customStyle="1" w:styleId="FootnoteTextChar">
    <w:name w:val="Footnote Text Char"/>
    <w:basedOn w:val="DefaultParagraphFont"/>
    <w:link w:val="FootnoteText"/>
    <w:uiPriority w:val="99"/>
    <w:rsid w:val="00F37162"/>
    <w:rPr>
      <w:sz w:val="20"/>
      <w:szCs w:val="20"/>
    </w:rPr>
  </w:style>
  <w:style w:type="character" w:styleId="FootnoteReference">
    <w:name w:val="footnote reference"/>
    <w:basedOn w:val="DefaultParagraphFont"/>
    <w:uiPriority w:val="99"/>
    <w:unhideWhenUsed/>
    <w:rsid w:val="00F37162"/>
    <w:rPr>
      <w:vertAlign w:val="superscript"/>
    </w:rPr>
  </w:style>
  <w:style w:type="table" w:customStyle="1" w:styleId="TableGrid1">
    <w:name w:val="Table Grid1"/>
    <w:basedOn w:val="TableNormal"/>
    <w:next w:val="TableGrid"/>
    <w:uiPriority w:val="59"/>
    <w:rsid w:val="00987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246A9"/>
    <w:pPr>
      <w:spacing w:line="240" w:lineRule="auto"/>
    </w:pPr>
    <w:rPr>
      <w:b/>
      <w:bCs/>
      <w:color w:val="4F81BD" w:themeColor="accent1"/>
      <w:sz w:val="18"/>
      <w:szCs w:val="18"/>
    </w:rPr>
  </w:style>
  <w:style w:type="paragraph" w:styleId="ListParagraph">
    <w:name w:val="List Paragraph"/>
    <w:basedOn w:val="Normal"/>
    <w:uiPriority w:val="34"/>
    <w:qFormat/>
    <w:rsid w:val="00EE4371"/>
    <w:pPr>
      <w:ind w:left="720"/>
      <w:contextualSpacing/>
    </w:pPr>
  </w:style>
  <w:style w:type="character" w:styleId="CommentReference">
    <w:name w:val="annotation reference"/>
    <w:basedOn w:val="DefaultParagraphFont"/>
    <w:uiPriority w:val="99"/>
    <w:semiHidden/>
    <w:unhideWhenUsed/>
    <w:rsid w:val="00F550AB"/>
    <w:rPr>
      <w:sz w:val="16"/>
      <w:szCs w:val="16"/>
    </w:rPr>
  </w:style>
  <w:style w:type="paragraph" w:styleId="CommentText">
    <w:name w:val="annotation text"/>
    <w:basedOn w:val="Normal"/>
    <w:link w:val="CommentTextChar"/>
    <w:uiPriority w:val="99"/>
    <w:semiHidden/>
    <w:unhideWhenUsed/>
    <w:rsid w:val="00F550AB"/>
    <w:pPr>
      <w:spacing w:line="240" w:lineRule="auto"/>
    </w:pPr>
    <w:rPr>
      <w:sz w:val="20"/>
      <w:szCs w:val="20"/>
    </w:rPr>
  </w:style>
  <w:style w:type="character" w:customStyle="1" w:styleId="CommentTextChar">
    <w:name w:val="Comment Text Char"/>
    <w:basedOn w:val="DefaultParagraphFont"/>
    <w:link w:val="CommentText"/>
    <w:uiPriority w:val="99"/>
    <w:semiHidden/>
    <w:rsid w:val="00F550AB"/>
    <w:rPr>
      <w:sz w:val="20"/>
      <w:szCs w:val="20"/>
    </w:rPr>
  </w:style>
  <w:style w:type="paragraph" w:styleId="CommentSubject">
    <w:name w:val="annotation subject"/>
    <w:basedOn w:val="CommentText"/>
    <w:next w:val="CommentText"/>
    <w:link w:val="CommentSubjectChar"/>
    <w:uiPriority w:val="99"/>
    <w:semiHidden/>
    <w:unhideWhenUsed/>
    <w:rsid w:val="00F550AB"/>
    <w:rPr>
      <w:b/>
      <w:bCs/>
    </w:rPr>
  </w:style>
  <w:style w:type="character" w:customStyle="1" w:styleId="CommentSubjectChar">
    <w:name w:val="Comment Subject Char"/>
    <w:basedOn w:val="CommentTextChar"/>
    <w:link w:val="CommentSubject"/>
    <w:uiPriority w:val="99"/>
    <w:semiHidden/>
    <w:rsid w:val="00F550AB"/>
    <w:rPr>
      <w:b/>
      <w:bCs/>
      <w:sz w:val="20"/>
      <w:szCs w:val="20"/>
    </w:rPr>
  </w:style>
  <w:style w:type="paragraph" w:styleId="Revision">
    <w:name w:val="Revision"/>
    <w:hidden/>
    <w:uiPriority w:val="99"/>
    <w:semiHidden/>
    <w:rsid w:val="00633098"/>
    <w:pPr>
      <w:spacing w:after="0" w:line="240" w:lineRule="auto"/>
    </w:pPr>
  </w:style>
  <w:style w:type="character" w:styleId="FollowedHyperlink">
    <w:name w:val="FollowedHyperlink"/>
    <w:basedOn w:val="DefaultParagraphFont"/>
    <w:uiPriority w:val="99"/>
    <w:semiHidden/>
    <w:unhideWhenUsed/>
    <w:rsid w:val="00D45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30374">
      <w:bodyDiv w:val="1"/>
      <w:marLeft w:val="0"/>
      <w:marRight w:val="0"/>
      <w:marTop w:val="0"/>
      <w:marBottom w:val="0"/>
      <w:divBdr>
        <w:top w:val="none" w:sz="0" w:space="0" w:color="auto"/>
        <w:left w:val="none" w:sz="0" w:space="0" w:color="auto"/>
        <w:bottom w:val="none" w:sz="0" w:space="0" w:color="auto"/>
        <w:right w:val="none" w:sz="0" w:space="0" w:color="auto"/>
      </w:divBdr>
    </w:div>
    <w:div w:id="1050768131">
      <w:bodyDiv w:val="1"/>
      <w:marLeft w:val="0"/>
      <w:marRight w:val="0"/>
      <w:marTop w:val="0"/>
      <w:marBottom w:val="0"/>
      <w:divBdr>
        <w:top w:val="none" w:sz="0" w:space="0" w:color="auto"/>
        <w:left w:val="none" w:sz="0" w:space="0" w:color="auto"/>
        <w:bottom w:val="none" w:sz="0" w:space="0" w:color="auto"/>
        <w:right w:val="none" w:sz="0" w:space="0" w:color="auto"/>
      </w:divBdr>
    </w:div>
    <w:div w:id="1250045982">
      <w:bodyDiv w:val="1"/>
      <w:marLeft w:val="0"/>
      <w:marRight w:val="0"/>
      <w:marTop w:val="0"/>
      <w:marBottom w:val="0"/>
      <w:divBdr>
        <w:top w:val="none" w:sz="0" w:space="0" w:color="auto"/>
        <w:left w:val="none" w:sz="0" w:space="0" w:color="auto"/>
        <w:bottom w:val="none" w:sz="0" w:space="0" w:color="auto"/>
        <w:right w:val="none" w:sz="0" w:space="0" w:color="auto"/>
      </w:divBdr>
    </w:div>
    <w:div w:id="1417746574">
      <w:bodyDiv w:val="1"/>
      <w:marLeft w:val="0"/>
      <w:marRight w:val="0"/>
      <w:marTop w:val="0"/>
      <w:marBottom w:val="0"/>
      <w:divBdr>
        <w:top w:val="none" w:sz="0" w:space="0" w:color="auto"/>
        <w:left w:val="none" w:sz="0" w:space="0" w:color="auto"/>
        <w:bottom w:val="none" w:sz="0" w:space="0" w:color="auto"/>
        <w:right w:val="none" w:sz="0" w:space="0" w:color="auto"/>
      </w:divBdr>
    </w:div>
    <w:div w:id="1757708224">
      <w:bodyDiv w:val="1"/>
      <w:marLeft w:val="0"/>
      <w:marRight w:val="0"/>
      <w:marTop w:val="0"/>
      <w:marBottom w:val="0"/>
      <w:divBdr>
        <w:top w:val="none" w:sz="0" w:space="0" w:color="auto"/>
        <w:left w:val="none" w:sz="0" w:space="0" w:color="auto"/>
        <w:bottom w:val="none" w:sz="0" w:space="0" w:color="auto"/>
        <w:right w:val="none" w:sz="0" w:space="0" w:color="auto"/>
      </w:divBdr>
    </w:div>
    <w:div w:id="177605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1.xml"/><Relationship Id="rId18" Type="http://schemas.openxmlformats.org/officeDocument/2006/relationships/chart" Target="charts/chart2.xml"/><Relationship Id="rId26" Type="http://schemas.openxmlformats.org/officeDocument/2006/relationships/footer" Target="footer1.xml"/><Relationship Id="rId39" Type="http://schemas.openxmlformats.org/officeDocument/2006/relationships/image" Target="media/image19.png"/><Relationship Id="rId3" Type="http://schemas.openxmlformats.org/officeDocument/2006/relationships/numbering" Target="numbering.xml"/><Relationship Id="rId21" Type="http://schemas.openxmlformats.org/officeDocument/2006/relationships/chart" Target="charts/chart4.xml"/><Relationship Id="rId34" Type="http://schemas.openxmlformats.org/officeDocument/2006/relationships/image" Target="media/image14.png"/><Relationship Id="rId42"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g.d.thwaites@lse.ac.uk" TargetMode="External"/><Relationship Id="rId17" Type="http://schemas.openxmlformats.org/officeDocument/2006/relationships/image" Target="media/image4.emf"/><Relationship Id="rId25" Type="http://schemas.openxmlformats.org/officeDocument/2006/relationships/image" Target="media/image9.emf"/><Relationship Id="rId33" Type="http://schemas.openxmlformats.org/officeDocument/2006/relationships/chart" Target="charts/chart5.xml"/><Relationship Id="rId38" Type="http://schemas.openxmlformats.org/officeDocument/2006/relationships/image" Target="media/image18.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chart" Target="charts/chart3.xml"/><Relationship Id="rId29" Type="http://schemas.openxmlformats.org/officeDocument/2006/relationships/image" Target="media/image10.emf"/><Relationship Id="rId41" Type="http://schemas.openxmlformats.org/officeDocument/2006/relationships/image" Target="media/image21.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beccamariamari@gmail.com" TargetMode="External"/><Relationship Id="rId24" Type="http://schemas.openxmlformats.org/officeDocument/2006/relationships/image" Target="media/image8.emf"/><Relationship Id="rId32" Type="http://schemas.openxmlformats.org/officeDocument/2006/relationships/image" Target="media/image13.png"/><Relationship Id="rId37" Type="http://schemas.openxmlformats.org/officeDocument/2006/relationships/image" Target="media/image17.png"/><Relationship Id="rId40" Type="http://schemas.openxmlformats.org/officeDocument/2006/relationships/image" Target="media/image20.emf"/><Relationship Id="rId5" Type="http://schemas.microsoft.com/office/2007/relationships/stylesWithEffects" Target="stylesWithEffects.xml"/><Relationship Id="rId15" Type="http://schemas.openxmlformats.org/officeDocument/2006/relationships/image" Target="media/image2.emf"/><Relationship Id="rId23" Type="http://schemas.openxmlformats.org/officeDocument/2006/relationships/image" Target="media/image7.emf"/><Relationship Id="rId28" Type="http://schemas.openxmlformats.org/officeDocument/2006/relationships/hyperlink" Target="https://www.theatlantic.com/international/archive/2016/06/brexit-vote-statistics-united-kingdom-european-union/488780/" TargetMode="External"/><Relationship Id="rId36" Type="http://schemas.openxmlformats.org/officeDocument/2006/relationships/image" Target="media/image16.png"/><Relationship Id="rId10" Type="http://schemas.openxmlformats.org/officeDocument/2006/relationships/hyperlink" Target="mailto:eichengr@econ.berkeley.edu" TargetMode="External"/><Relationship Id="rId19" Type="http://schemas.openxmlformats.org/officeDocument/2006/relationships/image" Target="media/image5.emf"/><Relationship Id="rId31" Type="http://schemas.openxmlformats.org/officeDocument/2006/relationships/image" Target="media/image12.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6.emf"/><Relationship Id="rId27" Type="http://schemas.openxmlformats.org/officeDocument/2006/relationships/footer" Target="footer2.xml"/><Relationship Id="rId30" Type="http://schemas.openxmlformats.org/officeDocument/2006/relationships/image" Target="media/image11.emf"/><Relationship Id="rId35" Type="http://schemas.openxmlformats.org/officeDocument/2006/relationships/image" Target="media/image15.png"/><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327562\Documents\EMTresearch\Charts%20final%20pr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929976\Desktop\regression_cross%20resul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Users\gregorythwaites\Dropbox\economics\research\eichengreen%20mari%20thwaites\education%20regression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Users\gregorythwaites\Dropbox\economics\research\eichengreen%20mari%20thwaites\education%20regressions.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327562\Documents\EMTresearch\Final%20regression%20tab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stacked"/>
        <c:varyColors val="0"/>
        <c:ser>
          <c:idx val="0"/>
          <c:order val="0"/>
          <c:tx>
            <c:v>Remain</c:v>
          </c:tx>
          <c:spPr>
            <a:solidFill>
              <a:schemeClr val="accent5">
                <a:lumMod val="60000"/>
                <a:lumOff val="40000"/>
              </a:schemeClr>
            </a:solidFill>
          </c:spPr>
          <c:invertIfNegative val="0"/>
          <c:dLbls>
            <c:dLbl>
              <c:idx val="0"/>
              <c:tx>
                <c:rich>
                  <a:bodyPr/>
                  <a:lstStyle/>
                  <a:p>
                    <a:r>
                      <a:rPr lang="en-US">
                        <a:solidFill>
                          <a:schemeClr val="tx2"/>
                        </a:solidFill>
                      </a:rPr>
                      <a:t>75%</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solidFill>
                          <a:schemeClr val="tx2"/>
                        </a:solidFill>
                      </a:rPr>
                      <a:t>56%</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solidFill>
                          <a:schemeClr val="tx2"/>
                        </a:solidFill>
                      </a:rPr>
                      <a:t>44%</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solidFill>
                          <a:schemeClr val="tx2"/>
                        </a:solidFill>
                      </a:rPr>
                      <a:t>39%</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Sheet1!$B$5:$E$5</c:f>
              <c:strCache>
                <c:ptCount val="4"/>
                <c:pt idx="0">
                  <c:v>18-24</c:v>
                </c:pt>
                <c:pt idx="1">
                  <c:v>25-49</c:v>
                </c:pt>
                <c:pt idx="2">
                  <c:v>50-64</c:v>
                </c:pt>
                <c:pt idx="3">
                  <c:v>65+</c:v>
                </c:pt>
              </c:strCache>
            </c:strRef>
          </c:cat>
          <c:val>
            <c:numRef>
              <c:f>Sheet1!$B$4:$E$4</c:f>
              <c:numCache>
                <c:formatCode>General</c:formatCode>
                <c:ptCount val="4"/>
                <c:pt idx="0">
                  <c:v>75</c:v>
                </c:pt>
                <c:pt idx="1">
                  <c:v>56.000000000000007</c:v>
                </c:pt>
                <c:pt idx="2">
                  <c:v>44</c:v>
                </c:pt>
                <c:pt idx="3">
                  <c:v>39</c:v>
                </c:pt>
              </c:numCache>
            </c:numRef>
          </c:val>
        </c:ser>
        <c:ser>
          <c:idx val="1"/>
          <c:order val="1"/>
          <c:tx>
            <c:v>Leave</c:v>
          </c:tx>
          <c:spPr>
            <a:solidFill>
              <a:schemeClr val="accent2">
                <a:lumMod val="60000"/>
                <a:lumOff val="40000"/>
              </a:schemeClr>
            </a:solidFill>
            <a:ln w="25400">
              <a:noFill/>
            </a:ln>
          </c:spPr>
          <c:invertIfNegative val="0"/>
          <c:dLbls>
            <c:dLbl>
              <c:idx val="0"/>
              <c:tx>
                <c:rich>
                  <a:bodyPr/>
                  <a:lstStyle/>
                  <a:p>
                    <a:r>
                      <a:rPr lang="en-US">
                        <a:solidFill>
                          <a:schemeClr val="tx2"/>
                        </a:solidFill>
                      </a:rPr>
                      <a:t>25%</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1"/>
              <c:tx>
                <c:rich>
                  <a:bodyPr/>
                  <a:lstStyle/>
                  <a:p>
                    <a:r>
                      <a:rPr lang="en-US">
                        <a:solidFill>
                          <a:schemeClr val="tx2"/>
                        </a:solidFill>
                      </a:rPr>
                      <a:t>44%</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2"/>
              <c:tx>
                <c:rich>
                  <a:bodyPr/>
                  <a:lstStyle/>
                  <a:p>
                    <a:r>
                      <a:rPr lang="en-US">
                        <a:solidFill>
                          <a:schemeClr val="tx2"/>
                        </a:solidFill>
                      </a:rPr>
                      <a:t>56%</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solidFill>
                          <a:schemeClr val="tx2"/>
                        </a:solidFill>
                      </a:rPr>
                      <a:t>61%</a:t>
                    </a:r>
                    <a:endParaRPr lang="en-US"/>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Sheet1!$B$5:$E$5</c:f>
              <c:strCache>
                <c:ptCount val="4"/>
                <c:pt idx="0">
                  <c:v>18-24</c:v>
                </c:pt>
                <c:pt idx="1">
                  <c:v>25-49</c:v>
                </c:pt>
                <c:pt idx="2">
                  <c:v>50-64</c:v>
                </c:pt>
                <c:pt idx="3">
                  <c:v>65+</c:v>
                </c:pt>
              </c:strCache>
            </c:strRef>
          </c:cat>
          <c:val>
            <c:numRef>
              <c:f>Sheet1!$B$3:$E$3</c:f>
              <c:numCache>
                <c:formatCode>General</c:formatCode>
                <c:ptCount val="4"/>
                <c:pt idx="0">
                  <c:v>25</c:v>
                </c:pt>
                <c:pt idx="1">
                  <c:v>44</c:v>
                </c:pt>
                <c:pt idx="2">
                  <c:v>56.000000000000007</c:v>
                </c:pt>
                <c:pt idx="3">
                  <c:v>61</c:v>
                </c:pt>
              </c:numCache>
            </c:numRef>
          </c:val>
        </c:ser>
        <c:dLbls>
          <c:showLegendKey val="0"/>
          <c:showVal val="0"/>
          <c:showCatName val="0"/>
          <c:showSerName val="0"/>
          <c:showPercent val="0"/>
          <c:showBubbleSize val="0"/>
        </c:dLbls>
        <c:gapWidth val="0"/>
        <c:overlap val="100"/>
        <c:axId val="130373120"/>
        <c:axId val="130374656"/>
      </c:barChart>
      <c:catAx>
        <c:axId val="130373120"/>
        <c:scaling>
          <c:orientation val="minMax"/>
        </c:scaling>
        <c:delete val="0"/>
        <c:axPos val="b"/>
        <c:numFmt formatCode="General" sourceLinked="0"/>
        <c:majorTickMark val="out"/>
        <c:minorTickMark val="none"/>
        <c:tickLblPos val="nextTo"/>
        <c:crossAx val="130374656"/>
        <c:crosses val="autoZero"/>
        <c:auto val="1"/>
        <c:lblAlgn val="ctr"/>
        <c:lblOffset val="100"/>
        <c:noMultiLvlLbl val="0"/>
      </c:catAx>
      <c:valAx>
        <c:axId val="130374656"/>
        <c:scaling>
          <c:orientation val="minMax"/>
          <c:max val="100"/>
        </c:scaling>
        <c:delete val="0"/>
        <c:axPos val="l"/>
        <c:numFmt formatCode="General" sourceLinked="0"/>
        <c:majorTickMark val="out"/>
        <c:minorTickMark val="none"/>
        <c:tickLblPos val="nextTo"/>
        <c:crossAx val="130373120"/>
        <c:crosses val="autoZero"/>
        <c:crossBetween val="between"/>
        <c:majorUnit val="20"/>
      </c:valAx>
    </c:plotArea>
    <c:legend>
      <c:legendPos val="b"/>
      <c:overlay val="0"/>
    </c:legend>
    <c:plotVisOnly val="1"/>
    <c:dispBlanksAs val="zero"/>
    <c:showDLblsOverMax val="0"/>
  </c:chart>
  <c:spPr>
    <a:ln>
      <a:noFill/>
    </a:ln>
  </c:spPr>
  <c:txPr>
    <a:bodyPr/>
    <a:lstStyle/>
    <a:p>
      <a:pPr>
        <a:defRPr sz="8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544888619692"/>
          <c:y val="3.2999364926146399E-2"/>
          <c:w val="0.83181539807523996"/>
          <c:h val="0.67328800144227796"/>
        </c:manualLayout>
      </c:layout>
      <c:lineChart>
        <c:grouping val="standard"/>
        <c:varyColors val="0"/>
        <c:ser>
          <c:idx val="4"/>
          <c:order val="0"/>
          <c:tx>
            <c:strRef>
              <c:f>'[regression_cross results.xlsx]Data (2)'!$B$11</c:f>
              <c:strCache>
                <c:ptCount val="1"/>
                <c:pt idx="0">
                  <c:v>1900</c:v>
                </c:pt>
              </c:strCache>
            </c:strRef>
          </c:tx>
          <c:spPr>
            <a:ln>
              <a:solidFill>
                <a:schemeClr val="accent6">
                  <a:lumMod val="60000"/>
                  <a:lumOff val="40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(2)'!$C$11:$O$11</c:f>
              <c:numCache>
                <c:formatCode>General</c:formatCode>
                <c:ptCount val="13"/>
                <c:pt idx="7">
                  <c:v>-6.6339899999999993E-2</c:v>
                </c:pt>
                <c:pt idx="8">
                  <c:v>-9.1698199999999994E-2</c:v>
                </c:pt>
                <c:pt idx="9">
                  <c:v>-6.8276000000000003E-2</c:v>
                </c:pt>
                <c:pt idx="10">
                  <c:v>4.8235100000000003E-2</c:v>
                </c:pt>
                <c:pt idx="11">
                  <c:v>-2.0596400000000001E-2</c:v>
                </c:pt>
                <c:pt idx="12">
                  <c:v>-2.0801900000000002E-2</c:v>
                </c:pt>
              </c:numCache>
            </c:numRef>
          </c:val>
          <c:smooth val="1"/>
        </c:ser>
        <c:ser>
          <c:idx val="6"/>
          <c:order val="1"/>
          <c:tx>
            <c:strRef>
              <c:f>'[regression_cross results.xlsx]Data (2)'!$B$13</c:f>
              <c:strCache>
                <c:ptCount val="1"/>
                <c:pt idx="0">
                  <c:v>1910</c:v>
                </c:pt>
              </c:strCache>
            </c:strRef>
          </c:tx>
          <c:spPr>
            <a:ln>
              <a:solidFill>
                <a:schemeClr val="accent6">
                  <a:lumMod val="75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(2)'!$C$13:$O$13</c:f>
              <c:numCache>
                <c:formatCode>General</c:formatCode>
                <c:ptCount val="13"/>
                <c:pt idx="5">
                  <c:v>-2.109E-4</c:v>
                </c:pt>
                <c:pt idx="6">
                  <c:v>-1.9650500000000001E-2</c:v>
                </c:pt>
                <c:pt idx="7">
                  <c:v>-7.8153899999999998E-2</c:v>
                </c:pt>
                <c:pt idx="8">
                  <c:v>-1.7130800000000002E-2</c:v>
                </c:pt>
                <c:pt idx="9">
                  <c:v>-1.34758E-2</c:v>
                </c:pt>
                <c:pt idx="10">
                  <c:v>-6.4269000000000001E-3</c:v>
                </c:pt>
                <c:pt idx="11">
                  <c:v>3.4638200000000001E-2</c:v>
                </c:pt>
                <c:pt idx="12">
                  <c:v>-1.24431E-2</c:v>
                </c:pt>
              </c:numCache>
            </c:numRef>
          </c:val>
          <c:smooth val="1"/>
        </c:ser>
        <c:ser>
          <c:idx val="8"/>
          <c:order val="2"/>
          <c:tx>
            <c:strRef>
              <c:f>'[regression_cross results.xlsx]Data (2)'!$B$15</c:f>
              <c:strCache>
                <c:ptCount val="1"/>
                <c:pt idx="0">
                  <c:v>1920</c:v>
                </c:pt>
              </c:strCache>
            </c:strRef>
          </c:tx>
          <c:spPr>
            <a:ln>
              <a:solidFill>
                <a:schemeClr val="accent4">
                  <a:lumMod val="40000"/>
                  <a:lumOff val="60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(2)'!$C$15:$O$15</c:f>
              <c:numCache>
                <c:formatCode>General</c:formatCode>
                <c:ptCount val="13"/>
                <c:pt idx="3">
                  <c:v>-0.18300659999999999</c:v>
                </c:pt>
                <c:pt idx="4">
                  <c:v>6.6880000000000004E-3</c:v>
                </c:pt>
                <c:pt idx="5">
                  <c:v>-1.55351E-2</c:v>
                </c:pt>
                <c:pt idx="6">
                  <c:v>3.0589399999999999E-2</c:v>
                </c:pt>
                <c:pt idx="7">
                  <c:v>4.7813999999999999E-3</c:v>
                </c:pt>
                <c:pt idx="8">
                  <c:v>-6.3096000000000003E-3</c:v>
                </c:pt>
                <c:pt idx="9">
                  <c:v>3.72906E-2</c:v>
                </c:pt>
                <c:pt idx="10">
                  <c:v>-2.0552899999999999E-2</c:v>
                </c:pt>
                <c:pt idx="11">
                  <c:v>-0.10687290000000001</c:v>
                </c:pt>
                <c:pt idx="12">
                  <c:v>-4.5530599999999997E-2</c:v>
                </c:pt>
              </c:numCache>
            </c:numRef>
          </c:val>
          <c:smooth val="1"/>
        </c:ser>
        <c:ser>
          <c:idx val="10"/>
          <c:order val="3"/>
          <c:tx>
            <c:strRef>
              <c:f>'[regression_cross results.xlsx]Data (2)'!$B$17</c:f>
              <c:strCache>
                <c:ptCount val="1"/>
                <c:pt idx="0">
                  <c:v>1930</c:v>
                </c:pt>
              </c:strCache>
            </c:strRef>
          </c:tx>
          <c:spPr>
            <a:ln>
              <a:solidFill>
                <a:schemeClr val="accent4"/>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(2)'!$C$17:$O$17</c:f>
              <c:numCache>
                <c:formatCode>General</c:formatCode>
                <c:ptCount val="13"/>
                <c:pt idx="1">
                  <c:v>9.47712E-2</c:v>
                </c:pt>
                <c:pt idx="2">
                  <c:v>3.4846099999999998E-2</c:v>
                </c:pt>
                <c:pt idx="3">
                  <c:v>7.4760300000000002E-2</c:v>
                </c:pt>
                <c:pt idx="4">
                  <c:v>2.6123000000000001E-3</c:v>
                </c:pt>
                <c:pt idx="5">
                  <c:v>1.15189E-2</c:v>
                </c:pt>
                <c:pt idx="6">
                  <c:v>4.6292399999999997E-2</c:v>
                </c:pt>
                <c:pt idx="7">
                  <c:v>6.4750799999999997E-2</c:v>
                </c:pt>
                <c:pt idx="8">
                  <c:v>6.6115000000000002E-3</c:v>
                </c:pt>
                <c:pt idx="9">
                  <c:v>-0.1022132</c:v>
                </c:pt>
                <c:pt idx="10">
                  <c:v>-0.1071037</c:v>
                </c:pt>
                <c:pt idx="11">
                  <c:v>-4.6037300000000003E-2</c:v>
                </c:pt>
                <c:pt idx="12">
                  <c:v>-0.11944730000000001</c:v>
                </c:pt>
              </c:numCache>
            </c:numRef>
          </c:val>
          <c:smooth val="1"/>
        </c:ser>
        <c:ser>
          <c:idx val="12"/>
          <c:order val="4"/>
          <c:tx>
            <c:strRef>
              <c:f>'[regression_cross results.xlsx]Data (2)'!$B$19</c:f>
              <c:strCache>
                <c:ptCount val="1"/>
                <c:pt idx="0">
                  <c:v>1940</c:v>
                </c:pt>
              </c:strCache>
            </c:strRef>
          </c:tx>
          <c:spPr>
            <a:ln>
              <a:solidFill>
                <a:schemeClr val="accent5">
                  <a:lumMod val="60000"/>
                  <a:lumOff val="40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(2)'!$C$19:$O$19</c:f>
              <c:numCache>
                <c:formatCode>General</c:formatCode>
                <c:ptCount val="13"/>
                <c:pt idx="0">
                  <c:v>5.94523E-2</c:v>
                </c:pt>
                <c:pt idx="1">
                  <c:v>4.98276E-2</c:v>
                </c:pt>
                <c:pt idx="2">
                  <c:v>3.5674200000000003E-2</c:v>
                </c:pt>
                <c:pt idx="3">
                  <c:v>6.1292600000000003E-2</c:v>
                </c:pt>
                <c:pt idx="4">
                  <c:v>2.3661100000000001E-2</c:v>
                </c:pt>
                <c:pt idx="5">
                  <c:v>8.1115300000000001E-2</c:v>
                </c:pt>
                <c:pt idx="6">
                  <c:v>-1.03298E-2</c:v>
                </c:pt>
                <c:pt idx="7">
                  <c:v>-3.6193200000000002E-2</c:v>
                </c:pt>
                <c:pt idx="8">
                  <c:v>-2.62026E-2</c:v>
                </c:pt>
                <c:pt idx="9">
                  <c:v>-4.5093599999999998E-2</c:v>
                </c:pt>
                <c:pt idx="10">
                  <c:v>-0.1293562</c:v>
                </c:pt>
                <c:pt idx="11">
                  <c:v>-0.18212100000000001</c:v>
                </c:pt>
              </c:numCache>
            </c:numRef>
          </c:val>
          <c:smooth val="1"/>
        </c:ser>
        <c:ser>
          <c:idx val="14"/>
          <c:order val="5"/>
          <c:tx>
            <c:strRef>
              <c:f>'[regression_cross results.xlsx]Data (2)'!$B$21</c:f>
              <c:strCache>
                <c:ptCount val="1"/>
                <c:pt idx="0">
                  <c:v>1950</c:v>
                </c:pt>
              </c:strCache>
            </c:strRef>
          </c:tx>
          <c:spPr>
            <a:ln>
              <a:solidFill>
                <a:srgbClr val="0070C0"/>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(2)'!$C$21:$O$21</c:f>
              <c:numCache>
                <c:formatCode>General</c:formatCode>
                <c:ptCount val="13"/>
                <c:pt idx="0">
                  <c:v>-3.18605E-2</c:v>
                </c:pt>
                <c:pt idx="1">
                  <c:v>-5.4153E-2</c:v>
                </c:pt>
                <c:pt idx="2">
                  <c:v>5.0100400000000003E-2</c:v>
                </c:pt>
                <c:pt idx="3">
                  <c:v>0.14853520000000001</c:v>
                </c:pt>
                <c:pt idx="4">
                  <c:v>7.7833700000000006E-2</c:v>
                </c:pt>
                <c:pt idx="5">
                  <c:v>1.4160600000000001E-2</c:v>
                </c:pt>
                <c:pt idx="6">
                  <c:v>-5.5692899999999997E-2</c:v>
                </c:pt>
                <c:pt idx="7">
                  <c:v>-5.1037300000000001E-2</c:v>
                </c:pt>
                <c:pt idx="8">
                  <c:v>-7.5538999999999995E-2</c:v>
                </c:pt>
                <c:pt idx="9">
                  <c:v>-9.1873499999999997E-2</c:v>
                </c:pt>
              </c:numCache>
            </c:numRef>
          </c:val>
          <c:smooth val="1"/>
        </c:ser>
        <c:ser>
          <c:idx val="16"/>
          <c:order val="6"/>
          <c:tx>
            <c:strRef>
              <c:f>'[regression_cross results.xlsx]Data (2)'!$B$23</c:f>
              <c:strCache>
                <c:ptCount val="1"/>
                <c:pt idx="0">
                  <c:v>1960</c:v>
                </c:pt>
              </c:strCache>
            </c:strRef>
          </c:tx>
          <c:spPr>
            <a:ln>
              <a:solidFill>
                <a:schemeClr val="accent1">
                  <a:lumMod val="50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(2)'!$C$23:$O$23</c:f>
              <c:numCache>
                <c:formatCode>General</c:formatCode>
                <c:ptCount val="13"/>
                <c:pt idx="0">
                  <c:v>6.1191700000000002E-2</c:v>
                </c:pt>
                <c:pt idx="1">
                  <c:v>0.16893250000000001</c:v>
                </c:pt>
                <c:pt idx="2">
                  <c:v>8.4638400000000003E-2</c:v>
                </c:pt>
                <c:pt idx="3">
                  <c:v>1.588E-3</c:v>
                </c:pt>
                <c:pt idx="4">
                  <c:v>3.0863000000000002E-3</c:v>
                </c:pt>
                <c:pt idx="5">
                  <c:v>-3.6546999999999999E-3</c:v>
                </c:pt>
                <c:pt idx="6">
                  <c:v>-3.4592199999999997E-2</c:v>
                </c:pt>
                <c:pt idx="7">
                  <c:v>-5.6523400000000001E-2</c:v>
                </c:pt>
              </c:numCache>
            </c:numRef>
          </c:val>
          <c:smooth val="1"/>
        </c:ser>
        <c:ser>
          <c:idx val="18"/>
          <c:order val="7"/>
          <c:tx>
            <c:strRef>
              <c:f>'[regression_cross results.xlsx]Data (2)'!$B$25</c:f>
              <c:strCache>
                <c:ptCount val="1"/>
                <c:pt idx="0">
                  <c:v>1970</c:v>
                </c:pt>
              </c:strCache>
            </c:strRef>
          </c:tx>
          <c:spPr>
            <a:ln>
              <a:solidFill>
                <a:schemeClr val="accent2">
                  <a:lumMod val="60000"/>
                  <a:lumOff val="40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(2)'!$C$25:$O$25</c:f>
              <c:numCache>
                <c:formatCode>General</c:formatCode>
                <c:ptCount val="13"/>
                <c:pt idx="0">
                  <c:v>0.152064</c:v>
                </c:pt>
                <c:pt idx="1">
                  <c:v>9.2062500000000005E-2</c:v>
                </c:pt>
                <c:pt idx="2">
                  <c:v>5.5312699999999999E-2</c:v>
                </c:pt>
                <c:pt idx="3">
                  <c:v>5.0277599999999999E-2</c:v>
                </c:pt>
                <c:pt idx="4">
                  <c:v>3.7618199999999997E-2</c:v>
                </c:pt>
                <c:pt idx="5">
                  <c:v>-8.2603999999999993E-3</c:v>
                </c:pt>
              </c:numCache>
            </c:numRef>
          </c:val>
          <c:smooth val="1"/>
        </c:ser>
        <c:ser>
          <c:idx val="20"/>
          <c:order val="8"/>
          <c:tx>
            <c:strRef>
              <c:f>'[regression_cross results.xlsx]Data (2)'!$B$27</c:f>
              <c:strCache>
                <c:ptCount val="1"/>
                <c:pt idx="0">
                  <c:v>1980</c:v>
                </c:pt>
              </c:strCache>
            </c:strRef>
          </c:tx>
          <c:spPr>
            <a:ln>
              <a:solidFill>
                <a:schemeClr val="accent2">
                  <a:lumMod val="75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(2)'!$C$27:$O$27</c:f>
              <c:numCache>
                <c:formatCode>General</c:formatCode>
                <c:ptCount val="13"/>
                <c:pt idx="0">
                  <c:v>8.6624000000000007E-2</c:v>
                </c:pt>
                <c:pt idx="1">
                  <c:v>0.1131506</c:v>
                </c:pt>
                <c:pt idx="2">
                  <c:v>0.1282508</c:v>
                </c:pt>
                <c:pt idx="3">
                  <c:v>0.11287179999999999</c:v>
                </c:pt>
              </c:numCache>
            </c:numRef>
          </c:val>
          <c:smooth val="1"/>
        </c:ser>
        <c:ser>
          <c:idx val="22"/>
          <c:order val="9"/>
          <c:tx>
            <c:strRef>
              <c:f>'[regression_cross results.xlsx]Data (2)'!$B$29</c:f>
              <c:strCache>
                <c:ptCount val="1"/>
                <c:pt idx="0">
                  <c:v>1990</c:v>
                </c:pt>
              </c:strCache>
            </c:strRef>
          </c:tx>
          <c:spPr>
            <a:ln>
              <a:solidFill>
                <a:schemeClr val="accent3">
                  <a:lumMod val="75000"/>
                </a:schemeClr>
              </a:solidFill>
            </a:ln>
          </c:spPr>
          <c:marker>
            <c:symbol val="none"/>
          </c:marker>
          <c:cat>
            <c:numRef>
              <c:f>'[regression_cross results.xlsx]Data (2)'!$C$6:$O$6</c:f>
              <c:numCache>
                <c:formatCode>General</c:formatCode>
                <c:ptCount val="13"/>
                <c:pt idx="0">
                  <c:v>20</c:v>
                </c:pt>
                <c:pt idx="1">
                  <c:v>25</c:v>
                </c:pt>
                <c:pt idx="2">
                  <c:v>30</c:v>
                </c:pt>
                <c:pt idx="3">
                  <c:v>35</c:v>
                </c:pt>
                <c:pt idx="4">
                  <c:v>40</c:v>
                </c:pt>
                <c:pt idx="5">
                  <c:v>45</c:v>
                </c:pt>
                <c:pt idx="6">
                  <c:v>50</c:v>
                </c:pt>
                <c:pt idx="7">
                  <c:v>55</c:v>
                </c:pt>
                <c:pt idx="8">
                  <c:v>60</c:v>
                </c:pt>
                <c:pt idx="9">
                  <c:v>65</c:v>
                </c:pt>
                <c:pt idx="10">
                  <c:v>70</c:v>
                </c:pt>
                <c:pt idx="11">
                  <c:v>75</c:v>
                </c:pt>
                <c:pt idx="12">
                  <c:v>80</c:v>
                </c:pt>
              </c:numCache>
            </c:numRef>
          </c:cat>
          <c:val>
            <c:numRef>
              <c:f>'[regression_cross results.xlsx]Data (2)'!$C$29:$O$29</c:f>
              <c:numCache>
                <c:formatCode>General</c:formatCode>
                <c:ptCount val="13"/>
                <c:pt idx="0">
                  <c:v>0.22367409999999999</c:v>
                </c:pt>
                <c:pt idx="1">
                  <c:v>0.21078</c:v>
                </c:pt>
              </c:numCache>
            </c:numRef>
          </c:val>
          <c:smooth val="1"/>
        </c:ser>
        <c:dLbls>
          <c:showLegendKey val="0"/>
          <c:showVal val="0"/>
          <c:showCatName val="0"/>
          <c:showSerName val="0"/>
          <c:showPercent val="0"/>
          <c:showBubbleSize val="0"/>
        </c:dLbls>
        <c:marker val="1"/>
        <c:smooth val="0"/>
        <c:axId val="126626432"/>
        <c:axId val="126636800"/>
      </c:lineChart>
      <c:catAx>
        <c:axId val="126626432"/>
        <c:scaling>
          <c:orientation val="minMax"/>
        </c:scaling>
        <c:delete val="0"/>
        <c:axPos val="b"/>
        <c:title>
          <c:tx>
            <c:rich>
              <a:bodyPr/>
              <a:lstStyle/>
              <a:p>
                <a:pPr>
                  <a:defRPr sz="1100"/>
                </a:pPr>
                <a:r>
                  <a:rPr lang="en-US" sz="1100"/>
                  <a:t>Age</a:t>
                </a:r>
              </a:p>
            </c:rich>
          </c:tx>
          <c:overlay val="0"/>
        </c:title>
        <c:numFmt formatCode="General" sourceLinked="1"/>
        <c:majorTickMark val="out"/>
        <c:minorTickMark val="none"/>
        <c:tickLblPos val="low"/>
        <c:txPr>
          <a:bodyPr/>
          <a:lstStyle/>
          <a:p>
            <a:pPr>
              <a:defRPr sz="1100"/>
            </a:pPr>
            <a:endParaRPr lang="en-US"/>
          </a:p>
        </c:txPr>
        <c:crossAx val="126636800"/>
        <c:crosses val="autoZero"/>
        <c:auto val="1"/>
        <c:lblAlgn val="ctr"/>
        <c:lblOffset val="100"/>
        <c:noMultiLvlLbl val="0"/>
      </c:catAx>
      <c:valAx>
        <c:axId val="126636800"/>
        <c:scaling>
          <c:orientation val="minMax"/>
        </c:scaling>
        <c:delete val="0"/>
        <c:axPos val="l"/>
        <c:title>
          <c:tx>
            <c:rich>
              <a:bodyPr rot="-5400000" vert="horz"/>
              <a:lstStyle/>
              <a:p>
                <a:pPr>
                  <a:defRPr sz="1100"/>
                </a:pPr>
                <a:r>
                  <a:rPr lang="en-US" sz="1100"/>
                  <a:t>Normalised European sentiment</a:t>
                </a:r>
              </a:p>
            </c:rich>
          </c:tx>
          <c:layout>
            <c:manualLayout>
              <c:xMode val="edge"/>
              <c:yMode val="edge"/>
              <c:x val="2.3461874957937948E-2"/>
              <c:y val="8.4006173246870833E-2"/>
            </c:manualLayout>
          </c:layout>
          <c:overlay val="0"/>
        </c:title>
        <c:numFmt formatCode="General" sourceLinked="1"/>
        <c:majorTickMark val="out"/>
        <c:minorTickMark val="none"/>
        <c:tickLblPos val="nextTo"/>
        <c:txPr>
          <a:bodyPr/>
          <a:lstStyle/>
          <a:p>
            <a:pPr>
              <a:defRPr sz="1100"/>
            </a:pPr>
            <a:endParaRPr lang="en-US"/>
          </a:p>
        </c:txPr>
        <c:crossAx val="126626432"/>
        <c:crosses val="autoZero"/>
        <c:crossBetween val="between"/>
      </c:valAx>
    </c:plotArea>
    <c:legend>
      <c:legendPos val="r"/>
      <c:layout>
        <c:manualLayout>
          <c:xMode val="edge"/>
          <c:yMode val="edge"/>
          <c:x val="0.23745026797663199"/>
          <c:y val="0.83875803249458702"/>
          <c:w val="0.59945110680432301"/>
          <c:h val="0.140257700748567"/>
        </c:manualLayout>
      </c:layout>
      <c:overlay val="0"/>
      <c:txPr>
        <a:bodyPr/>
        <a:lstStyle/>
        <a:p>
          <a:pPr>
            <a:defRPr sz="1100"/>
          </a:pPr>
          <a:endParaRPr lang="en-US"/>
        </a:p>
      </c:txPr>
    </c:legend>
    <c:plotVisOnly val="1"/>
    <c:dispBlanksAs val="gap"/>
    <c:showDLblsOverMax val="0"/>
  </c:chart>
  <c:spPr>
    <a:ln>
      <a:noFill/>
    </a:ln>
  </c:spPr>
  <c:txPr>
    <a:bodyPr/>
    <a:lstStyle/>
    <a:p>
      <a:pPr>
        <a:defRPr sz="1400"/>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cat>
            <c:numRef>
              <c:f>'Sheet2 (2)'!$B$45:$B$132</c:f>
              <c:numCache>
                <c:formatCode>General</c:formatCode>
                <c:ptCount val="88"/>
                <c:pt idx="0">
                  <c:v>1904</c:v>
                </c:pt>
                <c:pt idx="1">
                  <c:v>1905</c:v>
                </c:pt>
                <c:pt idx="2">
                  <c:v>1906</c:v>
                </c:pt>
                <c:pt idx="3">
                  <c:v>1907</c:v>
                </c:pt>
                <c:pt idx="4">
                  <c:v>1908</c:v>
                </c:pt>
                <c:pt idx="5">
                  <c:v>1909</c:v>
                </c:pt>
                <c:pt idx="6">
                  <c:v>1910</c:v>
                </c:pt>
                <c:pt idx="7">
                  <c:v>1911</c:v>
                </c:pt>
                <c:pt idx="8">
                  <c:v>1912</c:v>
                </c:pt>
                <c:pt idx="9">
                  <c:v>1913</c:v>
                </c:pt>
                <c:pt idx="10">
                  <c:v>1914</c:v>
                </c:pt>
                <c:pt idx="11">
                  <c:v>1915</c:v>
                </c:pt>
                <c:pt idx="12">
                  <c:v>1916</c:v>
                </c:pt>
                <c:pt idx="13">
                  <c:v>1917</c:v>
                </c:pt>
                <c:pt idx="14">
                  <c:v>1918</c:v>
                </c:pt>
                <c:pt idx="15">
                  <c:v>1919</c:v>
                </c:pt>
                <c:pt idx="16">
                  <c:v>1920</c:v>
                </c:pt>
                <c:pt idx="17">
                  <c:v>1921</c:v>
                </c:pt>
                <c:pt idx="18">
                  <c:v>1922</c:v>
                </c:pt>
                <c:pt idx="19">
                  <c:v>1923</c:v>
                </c:pt>
                <c:pt idx="20">
                  <c:v>1924</c:v>
                </c:pt>
                <c:pt idx="21">
                  <c:v>1925</c:v>
                </c:pt>
                <c:pt idx="22">
                  <c:v>1926</c:v>
                </c:pt>
                <c:pt idx="23">
                  <c:v>1927</c:v>
                </c:pt>
                <c:pt idx="24">
                  <c:v>1928</c:v>
                </c:pt>
                <c:pt idx="25">
                  <c:v>1929</c:v>
                </c:pt>
                <c:pt idx="26">
                  <c:v>1930</c:v>
                </c:pt>
                <c:pt idx="27">
                  <c:v>1931</c:v>
                </c:pt>
                <c:pt idx="28">
                  <c:v>1932</c:v>
                </c:pt>
                <c:pt idx="29">
                  <c:v>1933</c:v>
                </c:pt>
                <c:pt idx="30">
                  <c:v>1934</c:v>
                </c:pt>
                <c:pt idx="31">
                  <c:v>1935</c:v>
                </c:pt>
                <c:pt idx="32">
                  <c:v>1936</c:v>
                </c:pt>
                <c:pt idx="33">
                  <c:v>1937</c:v>
                </c:pt>
                <c:pt idx="34">
                  <c:v>1938</c:v>
                </c:pt>
                <c:pt idx="35">
                  <c:v>1939</c:v>
                </c:pt>
                <c:pt idx="36">
                  <c:v>1940</c:v>
                </c:pt>
                <c:pt idx="37">
                  <c:v>1941</c:v>
                </c:pt>
                <c:pt idx="38">
                  <c:v>1942</c:v>
                </c:pt>
                <c:pt idx="39">
                  <c:v>1943</c:v>
                </c:pt>
                <c:pt idx="40">
                  <c:v>1944</c:v>
                </c:pt>
                <c:pt idx="41">
                  <c:v>1945</c:v>
                </c:pt>
                <c:pt idx="42">
                  <c:v>1946</c:v>
                </c:pt>
                <c:pt idx="43">
                  <c:v>1947</c:v>
                </c:pt>
                <c:pt idx="44">
                  <c:v>1948</c:v>
                </c:pt>
                <c:pt idx="45">
                  <c:v>1949</c:v>
                </c:pt>
                <c:pt idx="46">
                  <c:v>1950</c:v>
                </c:pt>
                <c:pt idx="47">
                  <c:v>1951</c:v>
                </c:pt>
                <c:pt idx="48">
                  <c:v>1952</c:v>
                </c:pt>
                <c:pt idx="49">
                  <c:v>1953</c:v>
                </c:pt>
                <c:pt idx="50">
                  <c:v>1954</c:v>
                </c:pt>
                <c:pt idx="51">
                  <c:v>1955</c:v>
                </c:pt>
                <c:pt idx="52">
                  <c:v>1956</c:v>
                </c:pt>
                <c:pt idx="53">
                  <c:v>1957</c:v>
                </c:pt>
                <c:pt idx="54">
                  <c:v>1958</c:v>
                </c:pt>
                <c:pt idx="55">
                  <c:v>1959</c:v>
                </c:pt>
                <c:pt idx="56">
                  <c:v>1960</c:v>
                </c:pt>
                <c:pt idx="57">
                  <c:v>1961</c:v>
                </c:pt>
                <c:pt idx="58">
                  <c:v>1962</c:v>
                </c:pt>
                <c:pt idx="59">
                  <c:v>1963</c:v>
                </c:pt>
                <c:pt idx="60">
                  <c:v>1964</c:v>
                </c:pt>
                <c:pt idx="61">
                  <c:v>1965</c:v>
                </c:pt>
                <c:pt idx="62">
                  <c:v>1966</c:v>
                </c:pt>
                <c:pt idx="63">
                  <c:v>1967</c:v>
                </c:pt>
                <c:pt idx="64">
                  <c:v>1968</c:v>
                </c:pt>
                <c:pt idx="65">
                  <c:v>1969</c:v>
                </c:pt>
                <c:pt idx="66">
                  <c:v>1970</c:v>
                </c:pt>
                <c:pt idx="67">
                  <c:v>1971</c:v>
                </c:pt>
                <c:pt idx="68">
                  <c:v>1972</c:v>
                </c:pt>
                <c:pt idx="69">
                  <c:v>1973</c:v>
                </c:pt>
                <c:pt idx="70">
                  <c:v>1974</c:v>
                </c:pt>
                <c:pt idx="71">
                  <c:v>1975</c:v>
                </c:pt>
                <c:pt idx="72">
                  <c:v>1976</c:v>
                </c:pt>
                <c:pt idx="73">
                  <c:v>1977</c:v>
                </c:pt>
                <c:pt idx="74">
                  <c:v>1978</c:v>
                </c:pt>
                <c:pt idx="75">
                  <c:v>1979</c:v>
                </c:pt>
                <c:pt idx="76">
                  <c:v>1980</c:v>
                </c:pt>
                <c:pt idx="77">
                  <c:v>1981</c:v>
                </c:pt>
                <c:pt idx="78">
                  <c:v>1982</c:v>
                </c:pt>
                <c:pt idx="79">
                  <c:v>1983</c:v>
                </c:pt>
                <c:pt idx="80">
                  <c:v>1984</c:v>
                </c:pt>
                <c:pt idx="81">
                  <c:v>1985</c:v>
                </c:pt>
                <c:pt idx="82">
                  <c:v>1986</c:v>
                </c:pt>
                <c:pt idx="83">
                  <c:v>1987</c:v>
                </c:pt>
                <c:pt idx="84">
                  <c:v>1988</c:v>
                </c:pt>
                <c:pt idx="85">
                  <c:v>1989</c:v>
                </c:pt>
                <c:pt idx="86">
                  <c:v>1990</c:v>
                </c:pt>
                <c:pt idx="87">
                  <c:v>1991</c:v>
                </c:pt>
              </c:numCache>
            </c:numRef>
          </c:cat>
          <c:val>
            <c:numRef>
              <c:f>'Sheet2 (2)'!$I$45:$I$132</c:f>
              <c:numCache>
                <c:formatCode>General</c:formatCode>
                <c:ptCount val="88"/>
                <c:pt idx="0">
                  <c:v>5.9589200000000004E-3</c:v>
                </c:pt>
                <c:pt idx="1">
                  <c:v>1.0064760000000001E-2</c:v>
                </c:pt>
                <c:pt idx="2">
                  <c:v>7.5503799999999998E-3</c:v>
                </c:pt>
                <c:pt idx="3">
                  <c:v>9.1961200000000003E-3</c:v>
                </c:pt>
                <c:pt idx="4">
                  <c:v>1.2147E-2</c:v>
                </c:pt>
                <c:pt idx="5">
                  <c:v>1.06271E-2</c:v>
                </c:pt>
                <c:pt idx="6">
                  <c:v>1.354504E-2</c:v>
                </c:pt>
                <c:pt idx="7">
                  <c:v>1.646912E-2</c:v>
                </c:pt>
                <c:pt idx="8">
                  <c:v>1.6601600000000001E-2</c:v>
                </c:pt>
                <c:pt idx="9">
                  <c:v>1.4013360000000001E-2</c:v>
                </c:pt>
                <c:pt idx="10">
                  <c:v>1.4042260000000001E-2</c:v>
                </c:pt>
                <c:pt idx="11">
                  <c:v>1.307606E-2</c:v>
                </c:pt>
                <c:pt idx="12">
                  <c:v>9.3881199999999998E-3</c:v>
                </c:pt>
                <c:pt idx="13">
                  <c:v>1.1078599999999999E-2</c:v>
                </c:pt>
                <c:pt idx="14">
                  <c:v>1.643462E-2</c:v>
                </c:pt>
                <c:pt idx="15">
                  <c:v>1.47244E-2</c:v>
                </c:pt>
                <c:pt idx="16">
                  <c:v>1.4400420000000001E-2</c:v>
                </c:pt>
                <c:pt idx="17">
                  <c:v>1.4834679999999999E-2</c:v>
                </c:pt>
                <c:pt idx="18">
                  <c:v>1.5127659999999999E-2</c:v>
                </c:pt>
                <c:pt idx="19">
                  <c:v>1.4877720000000001E-2</c:v>
                </c:pt>
                <c:pt idx="20">
                  <c:v>1.646982E-2</c:v>
                </c:pt>
                <c:pt idx="21">
                  <c:v>1.5926659999999999E-2</c:v>
                </c:pt>
                <c:pt idx="22">
                  <c:v>1.6456499999999999E-2</c:v>
                </c:pt>
                <c:pt idx="23">
                  <c:v>1.7871600000000001E-2</c:v>
                </c:pt>
                <c:pt idx="24">
                  <c:v>1.8726659999999999E-2</c:v>
                </c:pt>
                <c:pt idx="25">
                  <c:v>1.8789219999999999E-2</c:v>
                </c:pt>
                <c:pt idx="26">
                  <c:v>2.0192359999999999E-2</c:v>
                </c:pt>
                <c:pt idx="27">
                  <c:v>1.8135100000000001E-2</c:v>
                </c:pt>
                <c:pt idx="28">
                  <c:v>1.745822E-2</c:v>
                </c:pt>
                <c:pt idx="29">
                  <c:v>1.7200900000000002E-2</c:v>
                </c:pt>
                <c:pt idx="30">
                  <c:v>1.637276E-2</c:v>
                </c:pt>
                <c:pt idx="31">
                  <c:v>1.8386980000000001E-2</c:v>
                </c:pt>
                <c:pt idx="32">
                  <c:v>2.2706219999999999E-2</c:v>
                </c:pt>
                <c:pt idx="33">
                  <c:v>2.5685340000000001E-2</c:v>
                </c:pt>
                <c:pt idx="34">
                  <c:v>2.6766580000000002E-2</c:v>
                </c:pt>
                <c:pt idx="35">
                  <c:v>2.8919279999999999E-2</c:v>
                </c:pt>
                <c:pt idx="36">
                  <c:v>2.8762280000000001E-2</c:v>
                </c:pt>
                <c:pt idx="37">
                  <c:v>2.8180279999999999E-2</c:v>
                </c:pt>
                <c:pt idx="38">
                  <c:v>2.9407240000000001E-2</c:v>
                </c:pt>
                <c:pt idx="39">
                  <c:v>3.298864E-2</c:v>
                </c:pt>
                <c:pt idx="40">
                  <c:v>3.658082E-2</c:v>
                </c:pt>
                <c:pt idx="41">
                  <c:v>4.0131500000000001E-2</c:v>
                </c:pt>
                <c:pt idx="42">
                  <c:v>4.275868E-2</c:v>
                </c:pt>
                <c:pt idx="43">
                  <c:v>4.3636340000000003E-2</c:v>
                </c:pt>
                <c:pt idx="44">
                  <c:v>4.4759319999999998E-2</c:v>
                </c:pt>
                <c:pt idx="45">
                  <c:v>4.6918300000000003E-2</c:v>
                </c:pt>
                <c:pt idx="46">
                  <c:v>4.7894039999999999E-2</c:v>
                </c:pt>
                <c:pt idx="47">
                  <c:v>5.0887660000000001E-2</c:v>
                </c:pt>
                <c:pt idx="48">
                  <c:v>5.3875819999999998E-2</c:v>
                </c:pt>
                <c:pt idx="49">
                  <c:v>5.5129119999999997E-2</c:v>
                </c:pt>
                <c:pt idx="50">
                  <c:v>5.479962E-2</c:v>
                </c:pt>
                <c:pt idx="51">
                  <c:v>5.555504E-2</c:v>
                </c:pt>
                <c:pt idx="52">
                  <c:v>5.6059779999999997E-2</c:v>
                </c:pt>
                <c:pt idx="53">
                  <c:v>5.1863480000000003E-2</c:v>
                </c:pt>
                <c:pt idx="54">
                  <c:v>5.1684639999999997E-2</c:v>
                </c:pt>
                <c:pt idx="55">
                  <c:v>5.3778960000000001E-2</c:v>
                </c:pt>
                <c:pt idx="56">
                  <c:v>5.4787280000000001E-2</c:v>
                </c:pt>
                <c:pt idx="57">
                  <c:v>5.3341840000000001E-2</c:v>
                </c:pt>
                <c:pt idx="58">
                  <c:v>5.5809539999999998E-2</c:v>
                </c:pt>
                <c:pt idx="59">
                  <c:v>5.5428819999999997E-2</c:v>
                </c:pt>
                <c:pt idx="60">
                  <c:v>5.2520120000000003E-2</c:v>
                </c:pt>
                <c:pt idx="61">
                  <c:v>5.0827240000000003E-2</c:v>
                </c:pt>
                <c:pt idx="62">
                  <c:v>4.8203200000000002E-2</c:v>
                </c:pt>
                <c:pt idx="63">
                  <c:v>4.5707959999999999E-2</c:v>
                </c:pt>
                <c:pt idx="64">
                  <c:v>4.4364859999999999E-2</c:v>
                </c:pt>
                <c:pt idx="65">
                  <c:v>4.5910899999999998E-2</c:v>
                </c:pt>
                <c:pt idx="66">
                  <c:v>4.545594E-2</c:v>
                </c:pt>
                <c:pt idx="67">
                  <c:v>4.9237400000000001E-2</c:v>
                </c:pt>
                <c:pt idx="68">
                  <c:v>5.2613680000000003E-2</c:v>
                </c:pt>
                <c:pt idx="69">
                  <c:v>5.2280819999999999E-2</c:v>
                </c:pt>
                <c:pt idx="70">
                  <c:v>4.917498E-2</c:v>
                </c:pt>
                <c:pt idx="71">
                  <c:v>4.6559879999999998E-2</c:v>
                </c:pt>
                <c:pt idx="72">
                  <c:v>4.0221960000000001E-2</c:v>
                </c:pt>
                <c:pt idx="73">
                  <c:v>3.4380719999999997E-2</c:v>
                </c:pt>
                <c:pt idx="74">
                  <c:v>3.0363660000000001E-2</c:v>
                </c:pt>
                <c:pt idx="75">
                  <c:v>2.8190779999999999E-2</c:v>
                </c:pt>
                <c:pt idx="76">
                  <c:v>2.7656239999999999E-2</c:v>
                </c:pt>
                <c:pt idx="77">
                  <c:v>2.5704640000000001E-2</c:v>
                </c:pt>
                <c:pt idx="78">
                  <c:v>2.6119440000000001E-2</c:v>
                </c:pt>
                <c:pt idx="79">
                  <c:v>2.7935339999999999E-2</c:v>
                </c:pt>
                <c:pt idx="80">
                  <c:v>3.2069319999999998E-2</c:v>
                </c:pt>
                <c:pt idx="81">
                  <c:v>3.2091019999999998E-2</c:v>
                </c:pt>
                <c:pt idx="82">
                  <c:v>3.5714360000000001E-2</c:v>
                </c:pt>
                <c:pt idx="83">
                  <c:v>3.5426600000000003E-2</c:v>
                </c:pt>
                <c:pt idx="84">
                  <c:v>3.5925579999999999E-2</c:v>
                </c:pt>
                <c:pt idx="85">
                  <c:v>3.3195799999999998E-2</c:v>
                </c:pt>
                <c:pt idx="86">
                  <c:v>3.2948999999999999E-2</c:v>
                </c:pt>
                <c:pt idx="87">
                  <c:v>3.3812040000000002E-2</c:v>
                </c:pt>
              </c:numCache>
            </c:numRef>
          </c:val>
          <c:smooth val="0"/>
        </c:ser>
        <c:ser>
          <c:idx val="1"/>
          <c:order val="1"/>
          <c:spPr>
            <a:ln w="28575" cap="rnd">
              <a:solidFill>
                <a:schemeClr val="accent1">
                  <a:lumMod val="40000"/>
                  <a:lumOff val="60000"/>
                </a:schemeClr>
              </a:solidFill>
              <a:round/>
            </a:ln>
            <a:effectLst/>
          </c:spPr>
          <c:marker>
            <c:symbol val="none"/>
          </c:marker>
          <c:cat>
            <c:numRef>
              <c:f>'Sheet2 (2)'!$B$45:$B$132</c:f>
              <c:numCache>
                <c:formatCode>General</c:formatCode>
                <c:ptCount val="88"/>
                <c:pt idx="0">
                  <c:v>1904</c:v>
                </c:pt>
                <c:pt idx="1">
                  <c:v>1905</c:v>
                </c:pt>
                <c:pt idx="2">
                  <c:v>1906</c:v>
                </c:pt>
                <c:pt idx="3">
                  <c:v>1907</c:v>
                </c:pt>
                <c:pt idx="4">
                  <c:v>1908</c:v>
                </c:pt>
                <c:pt idx="5">
                  <c:v>1909</c:v>
                </c:pt>
                <c:pt idx="6">
                  <c:v>1910</c:v>
                </c:pt>
                <c:pt idx="7">
                  <c:v>1911</c:v>
                </c:pt>
                <c:pt idx="8">
                  <c:v>1912</c:v>
                </c:pt>
                <c:pt idx="9">
                  <c:v>1913</c:v>
                </c:pt>
                <c:pt idx="10">
                  <c:v>1914</c:v>
                </c:pt>
                <c:pt idx="11">
                  <c:v>1915</c:v>
                </c:pt>
                <c:pt idx="12">
                  <c:v>1916</c:v>
                </c:pt>
                <c:pt idx="13">
                  <c:v>1917</c:v>
                </c:pt>
                <c:pt idx="14">
                  <c:v>1918</c:v>
                </c:pt>
                <c:pt idx="15">
                  <c:v>1919</c:v>
                </c:pt>
                <c:pt idx="16">
                  <c:v>1920</c:v>
                </c:pt>
                <c:pt idx="17">
                  <c:v>1921</c:v>
                </c:pt>
                <c:pt idx="18">
                  <c:v>1922</c:v>
                </c:pt>
                <c:pt idx="19">
                  <c:v>1923</c:v>
                </c:pt>
                <c:pt idx="20">
                  <c:v>1924</c:v>
                </c:pt>
                <c:pt idx="21">
                  <c:v>1925</c:v>
                </c:pt>
                <c:pt idx="22">
                  <c:v>1926</c:v>
                </c:pt>
                <c:pt idx="23">
                  <c:v>1927</c:v>
                </c:pt>
                <c:pt idx="24">
                  <c:v>1928</c:v>
                </c:pt>
                <c:pt idx="25">
                  <c:v>1929</c:v>
                </c:pt>
                <c:pt idx="26">
                  <c:v>1930</c:v>
                </c:pt>
                <c:pt idx="27">
                  <c:v>1931</c:v>
                </c:pt>
                <c:pt idx="28">
                  <c:v>1932</c:v>
                </c:pt>
                <c:pt idx="29">
                  <c:v>1933</c:v>
                </c:pt>
                <c:pt idx="30">
                  <c:v>1934</c:v>
                </c:pt>
                <c:pt idx="31">
                  <c:v>1935</c:v>
                </c:pt>
                <c:pt idx="32">
                  <c:v>1936</c:v>
                </c:pt>
                <c:pt idx="33">
                  <c:v>1937</c:v>
                </c:pt>
                <c:pt idx="34">
                  <c:v>1938</c:v>
                </c:pt>
                <c:pt idx="35">
                  <c:v>1939</c:v>
                </c:pt>
                <c:pt idx="36">
                  <c:v>1940</c:v>
                </c:pt>
                <c:pt idx="37">
                  <c:v>1941</c:v>
                </c:pt>
                <c:pt idx="38">
                  <c:v>1942</c:v>
                </c:pt>
                <c:pt idx="39">
                  <c:v>1943</c:v>
                </c:pt>
                <c:pt idx="40">
                  <c:v>1944</c:v>
                </c:pt>
                <c:pt idx="41">
                  <c:v>1945</c:v>
                </c:pt>
                <c:pt idx="42">
                  <c:v>1946</c:v>
                </c:pt>
                <c:pt idx="43">
                  <c:v>1947</c:v>
                </c:pt>
                <c:pt idx="44">
                  <c:v>1948</c:v>
                </c:pt>
                <c:pt idx="45">
                  <c:v>1949</c:v>
                </c:pt>
                <c:pt idx="46">
                  <c:v>1950</c:v>
                </c:pt>
                <c:pt idx="47">
                  <c:v>1951</c:v>
                </c:pt>
                <c:pt idx="48">
                  <c:v>1952</c:v>
                </c:pt>
                <c:pt idx="49">
                  <c:v>1953</c:v>
                </c:pt>
                <c:pt idx="50">
                  <c:v>1954</c:v>
                </c:pt>
                <c:pt idx="51">
                  <c:v>1955</c:v>
                </c:pt>
                <c:pt idx="52">
                  <c:v>1956</c:v>
                </c:pt>
                <c:pt idx="53">
                  <c:v>1957</c:v>
                </c:pt>
                <c:pt idx="54">
                  <c:v>1958</c:v>
                </c:pt>
                <c:pt idx="55">
                  <c:v>1959</c:v>
                </c:pt>
                <c:pt idx="56">
                  <c:v>1960</c:v>
                </c:pt>
                <c:pt idx="57">
                  <c:v>1961</c:v>
                </c:pt>
                <c:pt idx="58">
                  <c:v>1962</c:v>
                </c:pt>
                <c:pt idx="59">
                  <c:v>1963</c:v>
                </c:pt>
                <c:pt idx="60">
                  <c:v>1964</c:v>
                </c:pt>
                <c:pt idx="61">
                  <c:v>1965</c:v>
                </c:pt>
                <c:pt idx="62">
                  <c:v>1966</c:v>
                </c:pt>
                <c:pt idx="63">
                  <c:v>1967</c:v>
                </c:pt>
                <c:pt idx="64">
                  <c:v>1968</c:v>
                </c:pt>
                <c:pt idx="65">
                  <c:v>1969</c:v>
                </c:pt>
                <c:pt idx="66">
                  <c:v>1970</c:v>
                </c:pt>
                <c:pt idx="67">
                  <c:v>1971</c:v>
                </c:pt>
                <c:pt idx="68">
                  <c:v>1972</c:v>
                </c:pt>
                <c:pt idx="69">
                  <c:v>1973</c:v>
                </c:pt>
                <c:pt idx="70">
                  <c:v>1974</c:v>
                </c:pt>
                <c:pt idx="71">
                  <c:v>1975</c:v>
                </c:pt>
                <c:pt idx="72">
                  <c:v>1976</c:v>
                </c:pt>
                <c:pt idx="73">
                  <c:v>1977</c:v>
                </c:pt>
                <c:pt idx="74">
                  <c:v>1978</c:v>
                </c:pt>
                <c:pt idx="75">
                  <c:v>1979</c:v>
                </c:pt>
                <c:pt idx="76">
                  <c:v>1980</c:v>
                </c:pt>
                <c:pt idx="77">
                  <c:v>1981</c:v>
                </c:pt>
                <c:pt idx="78">
                  <c:v>1982</c:v>
                </c:pt>
                <c:pt idx="79">
                  <c:v>1983</c:v>
                </c:pt>
                <c:pt idx="80">
                  <c:v>1984</c:v>
                </c:pt>
                <c:pt idx="81">
                  <c:v>1985</c:v>
                </c:pt>
                <c:pt idx="82">
                  <c:v>1986</c:v>
                </c:pt>
                <c:pt idx="83">
                  <c:v>1987</c:v>
                </c:pt>
                <c:pt idx="84">
                  <c:v>1988</c:v>
                </c:pt>
                <c:pt idx="85">
                  <c:v>1989</c:v>
                </c:pt>
                <c:pt idx="86">
                  <c:v>1990</c:v>
                </c:pt>
                <c:pt idx="87">
                  <c:v>1991</c:v>
                </c:pt>
              </c:numCache>
            </c:numRef>
          </c:cat>
          <c:val>
            <c:numRef>
              <c:f>'Sheet2 (2)'!$J$45:$J$132</c:f>
              <c:numCache>
                <c:formatCode>General</c:formatCode>
                <c:ptCount val="88"/>
                <c:pt idx="0">
                  <c:v>-1.340214E-2</c:v>
                </c:pt>
                <c:pt idx="1">
                  <c:v>-9.5293400000000007E-3</c:v>
                </c:pt>
                <c:pt idx="2">
                  <c:v>-1.175562E-2</c:v>
                </c:pt>
                <c:pt idx="3">
                  <c:v>-9.5212000000000005E-3</c:v>
                </c:pt>
                <c:pt idx="4">
                  <c:v>-5.6886000000000003E-3</c:v>
                </c:pt>
                <c:pt idx="5">
                  <c:v>-4.4202E-3</c:v>
                </c:pt>
                <c:pt idx="6">
                  <c:v>-9.4649999999999899E-4</c:v>
                </c:pt>
                <c:pt idx="7">
                  <c:v>2.9977599999999999E-3</c:v>
                </c:pt>
                <c:pt idx="8">
                  <c:v>4.0119600000000002E-3</c:v>
                </c:pt>
                <c:pt idx="9">
                  <c:v>1.2031800000000001E-3</c:v>
                </c:pt>
                <c:pt idx="10">
                  <c:v>2.7483999999999999E-4</c:v>
                </c:pt>
                <c:pt idx="11">
                  <c:v>-8.8387999999999997E-4</c:v>
                </c:pt>
                <c:pt idx="12">
                  <c:v>-4.0586199999999998E-3</c:v>
                </c:pt>
                <c:pt idx="13">
                  <c:v>-3.0688400000000002E-3</c:v>
                </c:pt>
                <c:pt idx="14">
                  <c:v>8.1714000000000005E-4</c:v>
                </c:pt>
                <c:pt idx="15">
                  <c:v>-6.7082000000000003E-4</c:v>
                </c:pt>
                <c:pt idx="16">
                  <c:v>1.384E-4</c:v>
                </c:pt>
                <c:pt idx="17">
                  <c:v>1.0036000000000001E-3</c:v>
                </c:pt>
                <c:pt idx="18">
                  <c:v>1.2385600000000001E-3</c:v>
                </c:pt>
                <c:pt idx="19">
                  <c:v>2.0448200000000001E-3</c:v>
                </c:pt>
                <c:pt idx="20">
                  <c:v>3.6445800000000001E-3</c:v>
                </c:pt>
                <c:pt idx="21">
                  <c:v>2.0362599999999998E-3</c:v>
                </c:pt>
                <c:pt idx="22">
                  <c:v>2.7490599999999998E-3</c:v>
                </c:pt>
                <c:pt idx="23">
                  <c:v>5.1986599999999999E-3</c:v>
                </c:pt>
                <c:pt idx="24">
                  <c:v>5.8490199999999999E-3</c:v>
                </c:pt>
                <c:pt idx="25">
                  <c:v>7.0835799999999999E-3</c:v>
                </c:pt>
                <c:pt idx="26">
                  <c:v>1.08308E-2</c:v>
                </c:pt>
                <c:pt idx="27">
                  <c:v>9.6135600000000002E-3</c:v>
                </c:pt>
                <c:pt idx="28">
                  <c:v>1.111258E-2</c:v>
                </c:pt>
                <c:pt idx="29">
                  <c:v>1.311298E-2</c:v>
                </c:pt>
                <c:pt idx="30">
                  <c:v>1.1624860000000001E-2</c:v>
                </c:pt>
                <c:pt idx="31">
                  <c:v>1.289714E-2</c:v>
                </c:pt>
                <c:pt idx="32">
                  <c:v>1.6842739999999998E-2</c:v>
                </c:pt>
                <c:pt idx="33">
                  <c:v>1.820304E-2</c:v>
                </c:pt>
                <c:pt idx="34">
                  <c:v>1.7630860000000002E-2</c:v>
                </c:pt>
                <c:pt idx="35">
                  <c:v>2.020336E-2</c:v>
                </c:pt>
                <c:pt idx="36">
                  <c:v>2.0067600000000001E-2</c:v>
                </c:pt>
                <c:pt idx="37">
                  <c:v>1.9850679999999999E-2</c:v>
                </c:pt>
                <c:pt idx="38">
                  <c:v>2.19946E-2</c:v>
                </c:pt>
                <c:pt idx="39">
                  <c:v>2.66045E-2</c:v>
                </c:pt>
                <c:pt idx="40">
                  <c:v>3.0506539999999999E-2</c:v>
                </c:pt>
                <c:pt idx="41">
                  <c:v>3.4199180000000003E-2</c:v>
                </c:pt>
                <c:pt idx="42">
                  <c:v>3.7373660000000003E-2</c:v>
                </c:pt>
                <c:pt idx="43">
                  <c:v>3.8810699999999997E-2</c:v>
                </c:pt>
                <c:pt idx="44">
                  <c:v>4.0311659999999999E-2</c:v>
                </c:pt>
                <c:pt idx="45">
                  <c:v>4.2611940000000001E-2</c:v>
                </c:pt>
                <c:pt idx="46">
                  <c:v>4.3506980000000001E-2</c:v>
                </c:pt>
                <c:pt idx="47">
                  <c:v>4.637666E-2</c:v>
                </c:pt>
                <c:pt idx="48">
                  <c:v>4.9003079999999997E-2</c:v>
                </c:pt>
                <c:pt idx="49">
                  <c:v>5.0070959999999998E-2</c:v>
                </c:pt>
                <c:pt idx="50">
                  <c:v>4.9772999999999998E-2</c:v>
                </c:pt>
                <c:pt idx="51">
                  <c:v>5.0873040000000001E-2</c:v>
                </c:pt>
                <c:pt idx="52">
                  <c:v>5.1306659999999997E-2</c:v>
                </c:pt>
                <c:pt idx="53">
                  <c:v>4.7159220000000002E-2</c:v>
                </c:pt>
                <c:pt idx="54">
                  <c:v>4.7008880000000003E-2</c:v>
                </c:pt>
                <c:pt idx="55">
                  <c:v>4.8664499999999999E-2</c:v>
                </c:pt>
                <c:pt idx="56">
                  <c:v>4.9584620000000003E-2</c:v>
                </c:pt>
                <c:pt idx="57">
                  <c:v>4.806962E-2</c:v>
                </c:pt>
                <c:pt idx="58">
                  <c:v>5.0572579999999999E-2</c:v>
                </c:pt>
                <c:pt idx="59">
                  <c:v>4.9986419999999997E-2</c:v>
                </c:pt>
                <c:pt idx="60">
                  <c:v>4.7528439999999998E-2</c:v>
                </c:pt>
                <c:pt idx="61">
                  <c:v>4.609456E-2</c:v>
                </c:pt>
                <c:pt idx="62">
                  <c:v>4.4017540000000001E-2</c:v>
                </c:pt>
                <c:pt idx="63">
                  <c:v>4.1853000000000001E-2</c:v>
                </c:pt>
                <c:pt idx="64">
                  <c:v>4.0595100000000002E-2</c:v>
                </c:pt>
                <c:pt idx="65">
                  <c:v>4.2191359999999997E-2</c:v>
                </c:pt>
                <c:pt idx="66">
                  <c:v>4.1499800000000003E-2</c:v>
                </c:pt>
                <c:pt idx="67">
                  <c:v>4.4772560000000003E-2</c:v>
                </c:pt>
                <c:pt idx="68">
                  <c:v>4.8092620000000003E-2</c:v>
                </c:pt>
                <c:pt idx="69">
                  <c:v>4.8583580000000001E-2</c:v>
                </c:pt>
                <c:pt idx="70">
                  <c:v>4.59351E-2</c:v>
                </c:pt>
                <c:pt idx="71">
                  <c:v>4.3190039999999999E-2</c:v>
                </c:pt>
                <c:pt idx="72">
                  <c:v>3.6950360000000002E-2</c:v>
                </c:pt>
                <c:pt idx="73">
                  <c:v>3.091756E-2</c:v>
                </c:pt>
                <c:pt idx="74">
                  <c:v>2.6517619999999999E-2</c:v>
                </c:pt>
                <c:pt idx="75">
                  <c:v>2.365474E-2</c:v>
                </c:pt>
                <c:pt idx="76">
                  <c:v>2.275462E-2</c:v>
                </c:pt>
                <c:pt idx="77">
                  <c:v>2.061866E-2</c:v>
                </c:pt>
                <c:pt idx="78">
                  <c:v>2.0183199999999998E-2</c:v>
                </c:pt>
                <c:pt idx="79">
                  <c:v>2.1060760000000001E-2</c:v>
                </c:pt>
                <c:pt idx="80">
                  <c:v>2.4353679999999999E-2</c:v>
                </c:pt>
                <c:pt idx="81">
                  <c:v>2.375296E-2</c:v>
                </c:pt>
                <c:pt idx="82">
                  <c:v>2.6683700000000001E-2</c:v>
                </c:pt>
                <c:pt idx="83">
                  <c:v>2.6095699999999999E-2</c:v>
                </c:pt>
                <c:pt idx="84">
                  <c:v>2.6051660000000001E-2</c:v>
                </c:pt>
                <c:pt idx="85">
                  <c:v>2.304026E-2</c:v>
                </c:pt>
                <c:pt idx="86">
                  <c:v>2.29543E-2</c:v>
                </c:pt>
                <c:pt idx="87">
                  <c:v>2.375E-2</c:v>
                </c:pt>
              </c:numCache>
            </c:numRef>
          </c:val>
          <c:smooth val="0"/>
        </c:ser>
        <c:ser>
          <c:idx val="2"/>
          <c:order val="2"/>
          <c:spPr>
            <a:ln w="28575" cap="rnd">
              <a:solidFill>
                <a:schemeClr val="accent1">
                  <a:lumMod val="40000"/>
                  <a:lumOff val="60000"/>
                </a:schemeClr>
              </a:solidFill>
              <a:round/>
            </a:ln>
            <a:effectLst/>
          </c:spPr>
          <c:marker>
            <c:symbol val="none"/>
          </c:marker>
          <c:cat>
            <c:numRef>
              <c:f>'Sheet2 (2)'!$B$45:$B$132</c:f>
              <c:numCache>
                <c:formatCode>General</c:formatCode>
                <c:ptCount val="88"/>
                <c:pt idx="0">
                  <c:v>1904</c:v>
                </c:pt>
                <c:pt idx="1">
                  <c:v>1905</c:v>
                </c:pt>
                <c:pt idx="2">
                  <c:v>1906</c:v>
                </c:pt>
                <c:pt idx="3">
                  <c:v>1907</c:v>
                </c:pt>
                <c:pt idx="4">
                  <c:v>1908</c:v>
                </c:pt>
                <c:pt idx="5">
                  <c:v>1909</c:v>
                </c:pt>
                <c:pt idx="6">
                  <c:v>1910</c:v>
                </c:pt>
                <c:pt idx="7">
                  <c:v>1911</c:v>
                </c:pt>
                <c:pt idx="8">
                  <c:v>1912</c:v>
                </c:pt>
                <c:pt idx="9">
                  <c:v>1913</c:v>
                </c:pt>
                <c:pt idx="10">
                  <c:v>1914</c:v>
                </c:pt>
                <c:pt idx="11">
                  <c:v>1915</c:v>
                </c:pt>
                <c:pt idx="12">
                  <c:v>1916</c:v>
                </c:pt>
                <c:pt idx="13">
                  <c:v>1917</c:v>
                </c:pt>
                <c:pt idx="14">
                  <c:v>1918</c:v>
                </c:pt>
                <c:pt idx="15">
                  <c:v>1919</c:v>
                </c:pt>
                <c:pt idx="16">
                  <c:v>1920</c:v>
                </c:pt>
                <c:pt idx="17">
                  <c:v>1921</c:v>
                </c:pt>
                <c:pt idx="18">
                  <c:v>1922</c:v>
                </c:pt>
                <c:pt idx="19">
                  <c:v>1923</c:v>
                </c:pt>
                <c:pt idx="20">
                  <c:v>1924</c:v>
                </c:pt>
                <c:pt idx="21">
                  <c:v>1925</c:v>
                </c:pt>
                <c:pt idx="22">
                  <c:v>1926</c:v>
                </c:pt>
                <c:pt idx="23">
                  <c:v>1927</c:v>
                </c:pt>
                <c:pt idx="24">
                  <c:v>1928</c:v>
                </c:pt>
                <c:pt idx="25">
                  <c:v>1929</c:v>
                </c:pt>
                <c:pt idx="26">
                  <c:v>1930</c:v>
                </c:pt>
                <c:pt idx="27">
                  <c:v>1931</c:v>
                </c:pt>
                <c:pt idx="28">
                  <c:v>1932</c:v>
                </c:pt>
                <c:pt idx="29">
                  <c:v>1933</c:v>
                </c:pt>
                <c:pt idx="30">
                  <c:v>1934</c:v>
                </c:pt>
                <c:pt idx="31">
                  <c:v>1935</c:v>
                </c:pt>
                <c:pt idx="32">
                  <c:v>1936</c:v>
                </c:pt>
                <c:pt idx="33">
                  <c:v>1937</c:v>
                </c:pt>
                <c:pt idx="34">
                  <c:v>1938</c:v>
                </c:pt>
                <c:pt idx="35">
                  <c:v>1939</c:v>
                </c:pt>
                <c:pt idx="36">
                  <c:v>1940</c:v>
                </c:pt>
                <c:pt idx="37">
                  <c:v>1941</c:v>
                </c:pt>
                <c:pt idx="38">
                  <c:v>1942</c:v>
                </c:pt>
                <c:pt idx="39">
                  <c:v>1943</c:v>
                </c:pt>
                <c:pt idx="40">
                  <c:v>1944</c:v>
                </c:pt>
                <c:pt idx="41">
                  <c:v>1945</c:v>
                </c:pt>
                <c:pt idx="42">
                  <c:v>1946</c:v>
                </c:pt>
                <c:pt idx="43">
                  <c:v>1947</c:v>
                </c:pt>
                <c:pt idx="44">
                  <c:v>1948</c:v>
                </c:pt>
                <c:pt idx="45">
                  <c:v>1949</c:v>
                </c:pt>
                <c:pt idx="46">
                  <c:v>1950</c:v>
                </c:pt>
                <c:pt idx="47">
                  <c:v>1951</c:v>
                </c:pt>
                <c:pt idx="48">
                  <c:v>1952</c:v>
                </c:pt>
                <c:pt idx="49">
                  <c:v>1953</c:v>
                </c:pt>
                <c:pt idx="50">
                  <c:v>1954</c:v>
                </c:pt>
                <c:pt idx="51">
                  <c:v>1955</c:v>
                </c:pt>
                <c:pt idx="52">
                  <c:v>1956</c:v>
                </c:pt>
                <c:pt idx="53">
                  <c:v>1957</c:v>
                </c:pt>
                <c:pt idx="54">
                  <c:v>1958</c:v>
                </c:pt>
                <c:pt idx="55">
                  <c:v>1959</c:v>
                </c:pt>
                <c:pt idx="56">
                  <c:v>1960</c:v>
                </c:pt>
                <c:pt idx="57">
                  <c:v>1961</c:v>
                </c:pt>
                <c:pt idx="58">
                  <c:v>1962</c:v>
                </c:pt>
                <c:pt idx="59">
                  <c:v>1963</c:v>
                </c:pt>
                <c:pt idx="60">
                  <c:v>1964</c:v>
                </c:pt>
                <c:pt idx="61">
                  <c:v>1965</c:v>
                </c:pt>
                <c:pt idx="62">
                  <c:v>1966</c:v>
                </c:pt>
                <c:pt idx="63">
                  <c:v>1967</c:v>
                </c:pt>
                <c:pt idx="64">
                  <c:v>1968</c:v>
                </c:pt>
                <c:pt idx="65">
                  <c:v>1969</c:v>
                </c:pt>
                <c:pt idx="66">
                  <c:v>1970</c:v>
                </c:pt>
                <c:pt idx="67">
                  <c:v>1971</c:v>
                </c:pt>
                <c:pt idx="68">
                  <c:v>1972</c:v>
                </c:pt>
                <c:pt idx="69">
                  <c:v>1973</c:v>
                </c:pt>
                <c:pt idx="70">
                  <c:v>1974</c:v>
                </c:pt>
                <c:pt idx="71">
                  <c:v>1975</c:v>
                </c:pt>
                <c:pt idx="72">
                  <c:v>1976</c:v>
                </c:pt>
                <c:pt idx="73">
                  <c:v>1977</c:v>
                </c:pt>
                <c:pt idx="74">
                  <c:v>1978</c:v>
                </c:pt>
                <c:pt idx="75">
                  <c:v>1979</c:v>
                </c:pt>
                <c:pt idx="76">
                  <c:v>1980</c:v>
                </c:pt>
                <c:pt idx="77">
                  <c:v>1981</c:v>
                </c:pt>
                <c:pt idx="78">
                  <c:v>1982</c:v>
                </c:pt>
                <c:pt idx="79">
                  <c:v>1983</c:v>
                </c:pt>
                <c:pt idx="80">
                  <c:v>1984</c:v>
                </c:pt>
                <c:pt idx="81">
                  <c:v>1985</c:v>
                </c:pt>
                <c:pt idx="82">
                  <c:v>1986</c:v>
                </c:pt>
                <c:pt idx="83">
                  <c:v>1987</c:v>
                </c:pt>
                <c:pt idx="84">
                  <c:v>1988</c:v>
                </c:pt>
                <c:pt idx="85">
                  <c:v>1989</c:v>
                </c:pt>
                <c:pt idx="86">
                  <c:v>1990</c:v>
                </c:pt>
                <c:pt idx="87">
                  <c:v>1991</c:v>
                </c:pt>
              </c:numCache>
            </c:numRef>
          </c:cat>
          <c:val>
            <c:numRef>
              <c:f>'Sheet2 (2)'!$K$45:$K$132</c:f>
              <c:numCache>
                <c:formatCode>General</c:formatCode>
                <c:ptCount val="88"/>
                <c:pt idx="0">
                  <c:v>2.948168E-2</c:v>
                </c:pt>
                <c:pt idx="1">
                  <c:v>3.2433679999999999E-2</c:v>
                </c:pt>
                <c:pt idx="2">
                  <c:v>2.7299779999999999E-2</c:v>
                </c:pt>
                <c:pt idx="3">
                  <c:v>2.89611E-2</c:v>
                </c:pt>
                <c:pt idx="4">
                  <c:v>3.1002979999999999E-2</c:v>
                </c:pt>
                <c:pt idx="5">
                  <c:v>3.0099219999999999E-2</c:v>
                </c:pt>
                <c:pt idx="6">
                  <c:v>3.2396939999999999E-2</c:v>
                </c:pt>
                <c:pt idx="7">
                  <c:v>3.5772379999999999E-2</c:v>
                </c:pt>
                <c:pt idx="8">
                  <c:v>3.5574700000000001E-2</c:v>
                </c:pt>
                <c:pt idx="9">
                  <c:v>3.2961360000000002E-2</c:v>
                </c:pt>
                <c:pt idx="10">
                  <c:v>3.2461860000000002E-2</c:v>
                </c:pt>
                <c:pt idx="11">
                  <c:v>3.027266E-2</c:v>
                </c:pt>
                <c:pt idx="12">
                  <c:v>2.619906E-2</c:v>
                </c:pt>
                <c:pt idx="13">
                  <c:v>2.648006E-2</c:v>
                </c:pt>
                <c:pt idx="14">
                  <c:v>3.124064E-2</c:v>
                </c:pt>
                <c:pt idx="15">
                  <c:v>2.9265639999999999E-2</c:v>
                </c:pt>
                <c:pt idx="16">
                  <c:v>3.0129099999999999E-2</c:v>
                </c:pt>
                <c:pt idx="17">
                  <c:v>3.0977299999999999E-2</c:v>
                </c:pt>
                <c:pt idx="18">
                  <c:v>3.0173999999999999E-2</c:v>
                </c:pt>
                <c:pt idx="19">
                  <c:v>2.880576E-2</c:v>
                </c:pt>
                <c:pt idx="20">
                  <c:v>2.96388E-2</c:v>
                </c:pt>
                <c:pt idx="21">
                  <c:v>2.67774E-2</c:v>
                </c:pt>
                <c:pt idx="22">
                  <c:v>2.6267840000000001E-2</c:v>
                </c:pt>
                <c:pt idx="23">
                  <c:v>2.86509E-2</c:v>
                </c:pt>
                <c:pt idx="24">
                  <c:v>2.9142979999999999E-2</c:v>
                </c:pt>
                <c:pt idx="25">
                  <c:v>3.0574460000000001E-2</c:v>
                </c:pt>
                <c:pt idx="26">
                  <c:v>3.4067199999999999E-2</c:v>
                </c:pt>
                <c:pt idx="27">
                  <c:v>3.2630239999999998E-2</c:v>
                </c:pt>
                <c:pt idx="28">
                  <c:v>3.371826E-2</c:v>
                </c:pt>
                <c:pt idx="29">
                  <c:v>3.5023180000000001E-2</c:v>
                </c:pt>
                <c:pt idx="30">
                  <c:v>3.2824260000000001E-2</c:v>
                </c:pt>
                <c:pt idx="31">
                  <c:v>3.3768899999999998E-2</c:v>
                </c:pt>
                <c:pt idx="32">
                  <c:v>3.7710880000000002E-2</c:v>
                </c:pt>
                <c:pt idx="33">
                  <c:v>3.8754660000000003E-2</c:v>
                </c:pt>
                <c:pt idx="34">
                  <c:v>3.7448099999999998E-2</c:v>
                </c:pt>
                <c:pt idx="35">
                  <c:v>3.9280759999999998E-2</c:v>
                </c:pt>
                <c:pt idx="36">
                  <c:v>3.8639340000000001E-2</c:v>
                </c:pt>
                <c:pt idx="37">
                  <c:v>3.72211E-2</c:v>
                </c:pt>
                <c:pt idx="38">
                  <c:v>3.8132180000000002E-2</c:v>
                </c:pt>
                <c:pt idx="39">
                  <c:v>4.2058480000000002E-2</c:v>
                </c:pt>
                <c:pt idx="40">
                  <c:v>4.4988420000000001E-2</c:v>
                </c:pt>
                <c:pt idx="41">
                  <c:v>4.7878900000000002E-2</c:v>
                </c:pt>
                <c:pt idx="42">
                  <c:v>5.0410700000000003E-2</c:v>
                </c:pt>
                <c:pt idx="43">
                  <c:v>5.0974239999999997E-2</c:v>
                </c:pt>
                <c:pt idx="44">
                  <c:v>5.18138E-2</c:v>
                </c:pt>
                <c:pt idx="45">
                  <c:v>5.3774179999999998E-2</c:v>
                </c:pt>
                <c:pt idx="46">
                  <c:v>5.4395659999999998E-2</c:v>
                </c:pt>
                <c:pt idx="47">
                  <c:v>5.7088020000000003E-2</c:v>
                </c:pt>
                <c:pt idx="48">
                  <c:v>5.992712E-2</c:v>
                </c:pt>
                <c:pt idx="49">
                  <c:v>6.1270280000000003E-2</c:v>
                </c:pt>
                <c:pt idx="50">
                  <c:v>6.1084739999999998E-2</c:v>
                </c:pt>
                <c:pt idx="51">
                  <c:v>6.2470299999999999E-2</c:v>
                </c:pt>
                <c:pt idx="52">
                  <c:v>6.3131960000000001E-2</c:v>
                </c:pt>
                <c:pt idx="53">
                  <c:v>5.9193179999999998E-2</c:v>
                </c:pt>
                <c:pt idx="54">
                  <c:v>5.9294380000000001E-2</c:v>
                </c:pt>
                <c:pt idx="55">
                  <c:v>6.1289999999999997E-2</c:v>
                </c:pt>
                <c:pt idx="56">
                  <c:v>6.2663300000000005E-2</c:v>
                </c:pt>
                <c:pt idx="57">
                  <c:v>6.1548279999999997E-2</c:v>
                </c:pt>
                <c:pt idx="58">
                  <c:v>6.4597139999999997E-2</c:v>
                </c:pt>
                <c:pt idx="59">
                  <c:v>6.4426940000000002E-2</c:v>
                </c:pt>
                <c:pt idx="60">
                  <c:v>6.2353619999999998E-2</c:v>
                </c:pt>
                <c:pt idx="61">
                  <c:v>6.0875579999999999E-2</c:v>
                </c:pt>
                <c:pt idx="62">
                  <c:v>5.9033019999999999E-2</c:v>
                </c:pt>
                <c:pt idx="63">
                  <c:v>5.6956920000000001E-2</c:v>
                </c:pt>
                <c:pt idx="64">
                  <c:v>5.579916E-2</c:v>
                </c:pt>
                <c:pt idx="65">
                  <c:v>5.7391499999999998E-2</c:v>
                </c:pt>
                <c:pt idx="66">
                  <c:v>5.6971420000000002E-2</c:v>
                </c:pt>
                <c:pt idx="67">
                  <c:v>6.0369399999999997E-2</c:v>
                </c:pt>
                <c:pt idx="68">
                  <c:v>6.3901819999999998E-2</c:v>
                </c:pt>
                <c:pt idx="69">
                  <c:v>6.4577599999999999E-2</c:v>
                </c:pt>
                <c:pt idx="70">
                  <c:v>6.1978279999999997E-2</c:v>
                </c:pt>
                <c:pt idx="71">
                  <c:v>5.9132820000000003E-2</c:v>
                </c:pt>
                <c:pt idx="72">
                  <c:v>5.2631459999999998E-2</c:v>
                </c:pt>
                <c:pt idx="73">
                  <c:v>4.6364179999999998E-2</c:v>
                </c:pt>
                <c:pt idx="74">
                  <c:v>4.1263380000000002E-2</c:v>
                </c:pt>
                <c:pt idx="75">
                  <c:v>3.8190979999999999E-2</c:v>
                </c:pt>
                <c:pt idx="76">
                  <c:v>3.7129639999999998E-2</c:v>
                </c:pt>
                <c:pt idx="77">
                  <c:v>3.4658799999999997E-2</c:v>
                </c:pt>
                <c:pt idx="78">
                  <c:v>3.4153559999999999E-2</c:v>
                </c:pt>
                <c:pt idx="79">
                  <c:v>3.5659780000000002E-2</c:v>
                </c:pt>
                <c:pt idx="80">
                  <c:v>3.9666859999999998E-2</c:v>
                </c:pt>
                <c:pt idx="81">
                  <c:v>3.9974179999999998E-2</c:v>
                </c:pt>
                <c:pt idx="82">
                  <c:v>4.4037600000000003E-2</c:v>
                </c:pt>
                <c:pt idx="83">
                  <c:v>4.3967260000000001E-2</c:v>
                </c:pt>
                <c:pt idx="84">
                  <c:v>4.5033879999999998E-2</c:v>
                </c:pt>
                <c:pt idx="85">
                  <c:v>4.2727080000000001E-2</c:v>
                </c:pt>
                <c:pt idx="86">
                  <c:v>4.2471700000000001E-2</c:v>
                </c:pt>
                <c:pt idx="87">
                  <c:v>4.358008E-2</c:v>
                </c:pt>
              </c:numCache>
            </c:numRef>
          </c:val>
          <c:smooth val="0"/>
        </c:ser>
        <c:dLbls>
          <c:showLegendKey val="0"/>
          <c:showVal val="0"/>
          <c:showCatName val="0"/>
          <c:showSerName val="0"/>
          <c:showPercent val="0"/>
          <c:showBubbleSize val="0"/>
        </c:dLbls>
        <c:marker val="1"/>
        <c:smooth val="0"/>
        <c:axId val="126751488"/>
        <c:axId val="126753024"/>
      </c:lineChart>
      <c:catAx>
        <c:axId val="126751488"/>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53024"/>
        <c:crosses val="autoZero"/>
        <c:auto val="1"/>
        <c:lblAlgn val="ctr"/>
        <c:lblOffset val="100"/>
        <c:noMultiLvlLbl val="0"/>
      </c:catAx>
      <c:valAx>
        <c:axId val="12675302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51488"/>
        <c:crosses val="autoZero"/>
        <c:crossBetween val="between"/>
      </c:valAx>
      <c:spPr>
        <a:noFill/>
        <a:ln>
          <a:solidFill>
            <a:schemeClr val="tx1">
              <a:lumMod val="15000"/>
              <a:lumOff val="85000"/>
            </a:schemeClr>
          </a:solid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 (2)'!$AA$39</c:f>
              <c:strCache>
                <c:ptCount val="1"/>
                <c:pt idx="0">
                  <c:v>Cohort with no education</c:v>
                </c:pt>
              </c:strCache>
            </c:strRef>
          </c:tx>
          <c:spPr>
            <a:ln w="28575" cap="rnd">
              <a:solidFill>
                <a:schemeClr val="accent1"/>
              </a:solidFill>
              <a:round/>
            </a:ln>
            <a:effectLst/>
          </c:spPr>
          <c:marker>
            <c:symbol val="none"/>
          </c:marker>
          <c:cat>
            <c:numRef>
              <c:f>'Sheet2 (2)'!$B$45:$B$132</c:f>
              <c:numCache>
                <c:formatCode>General</c:formatCode>
                <c:ptCount val="88"/>
                <c:pt idx="0">
                  <c:v>1904</c:v>
                </c:pt>
                <c:pt idx="1">
                  <c:v>1905</c:v>
                </c:pt>
                <c:pt idx="2">
                  <c:v>1906</c:v>
                </c:pt>
                <c:pt idx="3">
                  <c:v>1907</c:v>
                </c:pt>
                <c:pt idx="4">
                  <c:v>1908</c:v>
                </c:pt>
                <c:pt idx="5">
                  <c:v>1909</c:v>
                </c:pt>
                <c:pt idx="6">
                  <c:v>1910</c:v>
                </c:pt>
                <c:pt idx="7">
                  <c:v>1911</c:v>
                </c:pt>
                <c:pt idx="8">
                  <c:v>1912</c:v>
                </c:pt>
                <c:pt idx="9">
                  <c:v>1913</c:v>
                </c:pt>
                <c:pt idx="10">
                  <c:v>1914</c:v>
                </c:pt>
                <c:pt idx="11">
                  <c:v>1915</c:v>
                </c:pt>
                <c:pt idx="12">
                  <c:v>1916</c:v>
                </c:pt>
                <c:pt idx="13">
                  <c:v>1917</c:v>
                </c:pt>
                <c:pt idx="14">
                  <c:v>1918</c:v>
                </c:pt>
                <c:pt idx="15">
                  <c:v>1919</c:v>
                </c:pt>
                <c:pt idx="16">
                  <c:v>1920</c:v>
                </c:pt>
                <c:pt idx="17">
                  <c:v>1921</c:v>
                </c:pt>
                <c:pt idx="18">
                  <c:v>1922</c:v>
                </c:pt>
                <c:pt idx="19">
                  <c:v>1923</c:v>
                </c:pt>
                <c:pt idx="20">
                  <c:v>1924</c:v>
                </c:pt>
                <c:pt idx="21">
                  <c:v>1925</c:v>
                </c:pt>
                <c:pt idx="22">
                  <c:v>1926</c:v>
                </c:pt>
                <c:pt idx="23">
                  <c:v>1927</c:v>
                </c:pt>
                <c:pt idx="24">
                  <c:v>1928</c:v>
                </c:pt>
                <c:pt idx="25">
                  <c:v>1929</c:v>
                </c:pt>
                <c:pt idx="26">
                  <c:v>1930</c:v>
                </c:pt>
                <c:pt idx="27">
                  <c:v>1931</c:v>
                </c:pt>
                <c:pt idx="28">
                  <c:v>1932</c:v>
                </c:pt>
                <c:pt idx="29">
                  <c:v>1933</c:v>
                </c:pt>
                <c:pt idx="30">
                  <c:v>1934</c:v>
                </c:pt>
                <c:pt idx="31">
                  <c:v>1935</c:v>
                </c:pt>
                <c:pt idx="32">
                  <c:v>1936</c:v>
                </c:pt>
                <c:pt idx="33">
                  <c:v>1937</c:v>
                </c:pt>
                <c:pt idx="34">
                  <c:v>1938</c:v>
                </c:pt>
                <c:pt idx="35">
                  <c:v>1939</c:v>
                </c:pt>
                <c:pt idx="36">
                  <c:v>1940</c:v>
                </c:pt>
                <c:pt idx="37">
                  <c:v>1941</c:v>
                </c:pt>
                <c:pt idx="38">
                  <c:v>1942</c:v>
                </c:pt>
                <c:pt idx="39">
                  <c:v>1943</c:v>
                </c:pt>
                <c:pt idx="40">
                  <c:v>1944</c:v>
                </c:pt>
                <c:pt idx="41">
                  <c:v>1945</c:v>
                </c:pt>
                <c:pt idx="42">
                  <c:v>1946</c:v>
                </c:pt>
                <c:pt idx="43">
                  <c:v>1947</c:v>
                </c:pt>
                <c:pt idx="44">
                  <c:v>1948</c:v>
                </c:pt>
                <c:pt idx="45">
                  <c:v>1949</c:v>
                </c:pt>
                <c:pt idx="46">
                  <c:v>1950</c:v>
                </c:pt>
                <c:pt idx="47">
                  <c:v>1951</c:v>
                </c:pt>
                <c:pt idx="48">
                  <c:v>1952</c:v>
                </c:pt>
                <c:pt idx="49">
                  <c:v>1953</c:v>
                </c:pt>
                <c:pt idx="50">
                  <c:v>1954</c:v>
                </c:pt>
                <c:pt idx="51">
                  <c:v>1955</c:v>
                </c:pt>
                <c:pt idx="52">
                  <c:v>1956</c:v>
                </c:pt>
                <c:pt idx="53">
                  <c:v>1957</c:v>
                </c:pt>
                <c:pt idx="54">
                  <c:v>1958</c:v>
                </c:pt>
                <c:pt idx="55">
                  <c:v>1959</c:v>
                </c:pt>
                <c:pt idx="56">
                  <c:v>1960</c:v>
                </c:pt>
                <c:pt idx="57">
                  <c:v>1961</c:v>
                </c:pt>
                <c:pt idx="58">
                  <c:v>1962</c:v>
                </c:pt>
                <c:pt idx="59">
                  <c:v>1963</c:v>
                </c:pt>
                <c:pt idx="60">
                  <c:v>1964</c:v>
                </c:pt>
                <c:pt idx="61">
                  <c:v>1965</c:v>
                </c:pt>
                <c:pt idx="62">
                  <c:v>1966</c:v>
                </c:pt>
                <c:pt idx="63">
                  <c:v>1967</c:v>
                </c:pt>
                <c:pt idx="64">
                  <c:v>1968</c:v>
                </c:pt>
                <c:pt idx="65">
                  <c:v>1969</c:v>
                </c:pt>
                <c:pt idx="66">
                  <c:v>1970</c:v>
                </c:pt>
                <c:pt idx="67">
                  <c:v>1971</c:v>
                </c:pt>
                <c:pt idx="68">
                  <c:v>1972</c:v>
                </c:pt>
                <c:pt idx="69">
                  <c:v>1973</c:v>
                </c:pt>
                <c:pt idx="70">
                  <c:v>1974</c:v>
                </c:pt>
                <c:pt idx="71">
                  <c:v>1975</c:v>
                </c:pt>
                <c:pt idx="72">
                  <c:v>1976</c:v>
                </c:pt>
                <c:pt idx="73">
                  <c:v>1977</c:v>
                </c:pt>
                <c:pt idx="74">
                  <c:v>1978</c:v>
                </c:pt>
                <c:pt idx="75">
                  <c:v>1979</c:v>
                </c:pt>
                <c:pt idx="76">
                  <c:v>1980</c:v>
                </c:pt>
                <c:pt idx="77">
                  <c:v>1981</c:v>
                </c:pt>
                <c:pt idx="78">
                  <c:v>1982</c:v>
                </c:pt>
                <c:pt idx="79">
                  <c:v>1983</c:v>
                </c:pt>
                <c:pt idx="80">
                  <c:v>1984</c:v>
                </c:pt>
                <c:pt idx="81">
                  <c:v>1985</c:v>
                </c:pt>
                <c:pt idx="82">
                  <c:v>1986</c:v>
                </c:pt>
                <c:pt idx="83">
                  <c:v>1987</c:v>
                </c:pt>
                <c:pt idx="84">
                  <c:v>1988</c:v>
                </c:pt>
                <c:pt idx="85">
                  <c:v>1989</c:v>
                </c:pt>
                <c:pt idx="86">
                  <c:v>1990</c:v>
                </c:pt>
                <c:pt idx="87">
                  <c:v>1991</c:v>
                </c:pt>
              </c:numCache>
            </c:numRef>
          </c:cat>
          <c:val>
            <c:numRef>
              <c:f>'Sheet2 (2)'!$AA$45:$AA$132</c:f>
              <c:numCache>
                <c:formatCode>General</c:formatCode>
                <c:ptCount val="88"/>
                <c:pt idx="0">
                  <c:v>-0.47620694000000002</c:v>
                </c:pt>
                <c:pt idx="1">
                  <c:v>-0.53684299999999996</c:v>
                </c:pt>
                <c:pt idx="2">
                  <c:v>-0.58561465999999995</c:v>
                </c:pt>
                <c:pt idx="3">
                  <c:v>-0.56943518000000004</c:v>
                </c:pt>
                <c:pt idx="4">
                  <c:v>-0.59539070000000005</c:v>
                </c:pt>
                <c:pt idx="5">
                  <c:v>-0.60778441999999999</c:v>
                </c:pt>
                <c:pt idx="6">
                  <c:v>-0.58969981999999999</c:v>
                </c:pt>
                <c:pt idx="7">
                  <c:v>-0.60928504000000006</c:v>
                </c:pt>
                <c:pt idx="8">
                  <c:v>-0.63110140000000003</c:v>
                </c:pt>
                <c:pt idx="9">
                  <c:v>-0.62950841999999996</c:v>
                </c:pt>
                <c:pt idx="10">
                  <c:v>-0.61167937999999999</c:v>
                </c:pt>
                <c:pt idx="11">
                  <c:v>-0.61646566000000003</c:v>
                </c:pt>
                <c:pt idx="12">
                  <c:v>-0.60463763999999998</c:v>
                </c:pt>
                <c:pt idx="13">
                  <c:v>-0.57359923999999995</c:v>
                </c:pt>
                <c:pt idx="14">
                  <c:v>-0.57745451999999997</c:v>
                </c:pt>
                <c:pt idx="15">
                  <c:v>-0.62323775999999997</c:v>
                </c:pt>
                <c:pt idx="16">
                  <c:v>-0.60012582000000003</c:v>
                </c:pt>
                <c:pt idx="17">
                  <c:v>-0.59955619999999998</c:v>
                </c:pt>
                <c:pt idx="18">
                  <c:v>-0.60943994000000001</c:v>
                </c:pt>
                <c:pt idx="19">
                  <c:v>-0.60795522000000002</c:v>
                </c:pt>
                <c:pt idx="20">
                  <c:v>-0.60517063999999998</c:v>
                </c:pt>
                <c:pt idx="21">
                  <c:v>-0.62511441999999995</c:v>
                </c:pt>
                <c:pt idx="22">
                  <c:v>-0.61754576000000005</c:v>
                </c:pt>
                <c:pt idx="23">
                  <c:v>-0.61202424</c:v>
                </c:pt>
                <c:pt idx="24">
                  <c:v>-0.6360114</c:v>
                </c:pt>
                <c:pt idx="25">
                  <c:v>-0.65803931999999998</c:v>
                </c:pt>
                <c:pt idx="26">
                  <c:v>-0.67487268</c:v>
                </c:pt>
                <c:pt idx="27">
                  <c:v>-0.70374338000000003</c:v>
                </c:pt>
                <c:pt idx="28">
                  <c:v>-0.69288161999999998</c:v>
                </c:pt>
                <c:pt idx="29">
                  <c:v>-0.69796740000000002</c:v>
                </c:pt>
                <c:pt idx="30">
                  <c:v>-0.70517848000000005</c:v>
                </c:pt>
                <c:pt idx="31">
                  <c:v>-0.69145906000000001</c:v>
                </c:pt>
                <c:pt idx="32">
                  <c:v>-0.71643981999999995</c:v>
                </c:pt>
                <c:pt idx="33">
                  <c:v>-0.78146669999999996</c:v>
                </c:pt>
                <c:pt idx="34">
                  <c:v>-0.82271240000000001</c:v>
                </c:pt>
                <c:pt idx="35">
                  <c:v>-0.84100416</c:v>
                </c:pt>
                <c:pt idx="36">
                  <c:v>-0.87200040000000001</c:v>
                </c:pt>
                <c:pt idx="37">
                  <c:v>-0.88569348000000003</c:v>
                </c:pt>
                <c:pt idx="38">
                  <c:v>-0.88207800000000003</c:v>
                </c:pt>
                <c:pt idx="39">
                  <c:v>-0.90362310000000001</c:v>
                </c:pt>
                <c:pt idx="40">
                  <c:v>-0.94851565999999998</c:v>
                </c:pt>
                <c:pt idx="41">
                  <c:v>-0.99879576000000003</c:v>
                </c:pt>
                <c:pt idx="42">
                  <c:v>-1.03837354</c:v>
                </c:pt>
                <c:pt idx="43">
                  <c:v>-1.0670238000000001</c:v>
                </c:pt>
                <c:pt idx="44">
                  <c:v>-1.0784414</c:v>
                </c:pt>
                <c:pt idx="45">
                  <c:v>-1.0936566000000001</c:v>
                </c:pt>
                <c:pt idx="46">
                  <c:v>-1.1267651999999999</c:v>
                </c:pt>
                <c:pt idx="47">
                  <c:v>-1.1435914</c:v>
                </c:pt>
                <c:pt idx="48">
                  <c:v>-1.1875309999999999</c:v>
                </c:pt>
                <c:pt idx="49">
                  <c:v>-1.2353860000000001</c:v>
                </c:pt>
                <c:pt idx="50">
                  <c:v>-1.2642416000000001</c:v>
                </c:pt>
                <c:pt idx="51">
                  <c:v>-1.2641296</c:v>
                </c:pt>
                <c:pt idx="52">
                  <c:v>-1.2726046</c:v>
                </c:pt>
                <c:pt idx="53">
                  <c:v>-1.2872060000000001</c:v>
                </c:pt>
                <c:pt idx="54">
                  <c:v>-1.2367992000000001</c:v>
                </c:pt>
                <c:pt idx="55">
                  <c:v>-1.2342424000000001</c:v>
                </c:pt>
                <c:pt idx="56">
                  <c:v>-1.2627112</c:v>
                </c:pt>
                <c:pt idx="57">
                  <c:v>-1.2848784</c:v>
                </c:pt>
                <c:pt idx="58">
                  <c:v>-1.2706592000000001</c:v>
                </c:pt>
                <c:pt idx="59">
                  <c:v>-1.3052106000000001</c:v>
                </c:pt>
                <c:pt idx="60">
                  <c:v>-1.3016030000000001</c:v>
                </c:pt>
                <c:pt idx="61">
                  <c:v>-1.270656</c:v>
                </c:pt>
                <c:pt idx="62">
                  <c:v>-1.2561966</c:v>
                </c:pt>
                <c:pt idx="63">
                  <c:v>-1.2238646</c:v>
                </c:pt>
                <c:pt idx="64">
                  <c:v>-1.1952388</c:v>
                </c:pt>
                <c:pt idx="65">
                  <c:v>-1.1806521999999999</c:v>
                </c:pt>
                <c:pt idx="66">
                  <c:v>-1.2041801999999999</c:v>
                </c:pt>
                <c:pt idx="67">
                  <c:v>-1.2024471999999999</c:v>
                </c:pt>
                <c:pt idx="68">
                  <c:v>-1.2594331999999999</c:v>
                </c:pt>
                <c:pt idx="69">
                  <c:v>-1.3088356000000001</c:v>
                </c:pt>
                <c:pt idx="70">
                  <c:v>-1.3100174</c:v>
                </c:pt>
                <c:pt idx="71">
                  <c:v>-1.2656202000000001</c:v>
                </c:pt>
                <c:pt idx="72">
                  <c:v>-1.2296828</c:v>
                </c:pt>
                <c:pt idx="73">
                  <c:v>-1.1403752599999999</c:v>
                </c:pt>
                <c:pt idx="74">
                  <c:v>-1.0600821600000001</c:v>
                </c:pt>
                <c:pt idx="75">
                  <c:v>-1.0060732400000001</c:v>
                </c:pt>
                <c:pt idx="76">
                  <c:v>-0.98978924000000001</c:v>
                </c:pt>
                <c:pt idx="77">
                  <c:v>-0.98979463999999995</c:v>
                </c:pt>
                <c:pt idx="78">
                  <c:v>-0.97348040000000002</c:v>
                </c:pt>
                <c:pt idx="79">
                  <c:v>-0.98158109999999998</c:v>
                </c:pt>
                <c:pt idx="80">
                  <c:v>-1.0180118199999999</c:v>
                </c:pt>
                <c:pt idx="81">
                  <c:v>-1.0746506199999999</c:v>
                </c:pt>
                <c:pt idx="82">
                  <c:v>-1.07463182</c:v>
                </c:pt>
                <c:pt idx="83">
                  <c:v>-1.1211420000000001</c:v>
                </c:pt>
                <c:pt idx="84">
                  <c:v>-1.1097317</c:v>
                </c:pt>
                <c:pt idx="85">
                  <c:v>-1.1025243</c:v>
                </c:pt>
                <c:pt idx="86">
                  <c:v>-1.0587981</c:v>
                </c:pt>
                <c:pt idx="87">
                  <c:v>-1.0455577199999999</c:v>
                </c:pt>
              </c:numCache>
            </c:numRef>
          </c:val>
          <c:smooth val="0"/>
        </c:ser>
        <c:ser>
          <c:idx val="1"/>
          <c:order val="1"/>
          <c:tx>
            <c:strRef>
              <c:f>'Sheet2 (2)'!$AC$39</c:f>
              <c:strCache>
                <c:ptCount val="1"/>
                <c:pt idx="0">
                  <c:v>average education</c:v>
                </c:pt>
              </c:strCache>
            </c:strRef>
          </c:tx>
          <c:spPr>
            <a:ln w="28575" cap="rnd">
              <a:solidFill>
                <a:schemeClr val="accent2"/>
              </a:solidFill>
              <a:round/>
            </a:ln>
            <a:effectLst/>
          </c:spPr>
          <c:marker>
            <c:symbol val="none"/>
          </c:marker>
          <c:cat>
            <c:numRef>
              <c:f>'Sheet2 (2)'!$B$45:$B$132</c:f>
              <c:numCache>
                <c:formatCode>General</c:formatCode>
                <c:ptCount val="88"/>
                <c:pt idx="0">
                  <c:v>1904</c:v>
                </c:pt>
                <c:pt idx="1">
                  <c:v>1905</c:v>
                </c:pt>
                <c:pt idx="2">
                  <c:v>1906</c:v>
                </c:pt>
                <c:pt idx="3">
                  <c:v>1907</c:v>
                </c:pt>
                <c:pt idx="4">
                  <c:v>1908</c:v>
                </c:pt>
                <c:pt idx="5">
                  <c:v>1909</c:v>
                </c:pt>
                <c:pt idx="6">
                  <c:v>1910</c:v>
                </c:pt>
                <c:pt idx="7">
                  <c:v>1911</c:v>
                </c:pt>
                <c:pt idx="8">
                  <c:v>1912</c:v>
                </c:pt>
                <c:pt idx="9">
                  <c:v>1913</c:v>
                </c:pt>
                <c:pt idx="10">
                  <c:v>1914</c:v>
                </c:pt>
                <c:pt idx="11">
                  <c:v>1915</c:v>
                </c:pt>
                <c:pt idx="12">
                  <c:v>1916</c:v>
                </c:pt>
                <c:pt idx="13">
                  <c:v>1917</c:v>
                </c:pt>
                <c:pt idx="14">
                  <c:v>1918</c:v>
                </c:pt>
                <c:pt idx="15">
                  <c:v>1919</c:v>
                </c:pt>
                <c:pt idx="16">
                  <c:v>1920</c:v>
                </c:pt>
                <c:pt idx="17">
                  <c:v>1921</c:v>
                </c:pt>
                <c:pt idx="18">
                  <c:v>1922</c:v>
                </c:pt>
                <c:pt idx="19">
                  <c:v>1923</c:v>
                </c:pt>
                <c:pt idx="20">
                  <c:v>1924</c:v>
                </c:pt>
                <c:pt idx="21">
                  <c:v>1925</c:v>
                </c:pt>
                <c:pt idx="22">
                  <c:v>1926</c:v>
                </c:pt>
                <c:pt idx="23">
                  <c:v>1927</c:v>
                </c:pt>
                <c:pt idx="24">
                  <c:v>1928</c:v>
                </c:pt>
                <c:pt idx="25">
                  <c:v>1929</c:v>
                </c:pt>
                <c:pt idx="26">
                  <c:v>1930</c:v>
                </c:pt>
                <c:pt idx="27">
                  <c:v>1931</c:v>
                </c:pt>
                <c:pt idx="28">
                  <c:v>1932</c:v>
                </c:pt>
                <c:pt idx="29">
                  <c:v>1933</c:v>
                </c:pt>
                <c:pt idx="30">
                  <c:v>1934</c:v>
                </c:pt>
                <c:pt idx="31">
                  <c:v>1935</c:v>
                </c:pt>
                <c:pt idx="32">
                  <c:v>1936</c:v>
                </c:pt>
                <c:pt idx="33">
                  <c:v>1937</c:v>
                </c:pt>
                <c:pt idx="34">
                  <c:v>1938</c:v>
                </c:pt>
                <c:pt idx="35">
                  <c:v>1939</c:v>
                </c:pt>
                <c:pt idx="36">
                  <c:v>1940</c:v>
                </c:pt>
                <c:pt idx="37">
                  <c:v>1941</c:v>
                </c:pt>
                <c:pt idx="38">
                  <c:v>1942</c:v>
                </c:pt>
                <c:pt idx="39">
                  <c:v>1943</c:v>
                </c:pt>
                <c:pt idx="40">
                  <c:v>1944</c:v>
                </c:pt>
                <c:pt idx="41">
                  <c:v>1945</c:v>
                </c:pt>
                <c:pt idx="42">
                  <c:v>1946</c:v>
                </c:pt>
                <c:pt idx="43">
                  <c:v>1947</c:v>
                </c:pt>
                <c:pt idx="44">
                  <c:v>1948</c:v>
                </c:pt>
                <c:pt idx="45">
                  <c:v>1949</c:v>
                </c:pt>
                <c:pt idx="46">
                  <c:v>1950</c:v>
                </c:pt>
                <c:pt idx="47">
                  <c:v>1951</c:v>
                </c:pt>
                <c:pt idx="48">
                  <c:v>1952</c:v>
                </c:pt>
                <c:pt idx="49">
                  <c:v>1953</c:v>
                </c:pt>
                <c:pt idx="50">
                  <c:v>1954</c:v>
                </c:pt>
                <c:pt idx="51">
                  <c:v>1955</c:v>
                </c:pt>
                <c:pt idx="52">
                  <c:v>1956</c:v>
                </c:pt>
                <c:pt idx="53">
                  <c:v>1957</c:v>
                </c:pt>
                <c:pt idx="54">
                  <c:v>1958</c:v>
                </c:pt>
                <c:pt idx="55">
                  <c:v>1959</c:v>
                </c:pt>
                <c:pt idx="56">
                  <c:v>1960</c:v>
                </c:pt>
                <c:pt idx="57">
                  <c:v>1961</c:v>
                </c:pt>
                <c:pt idx="58">
                  <c:v>1962</c:v>
                </c:pt>
                <c:pt idx="59">
                  <c:v>1963</c:v>
                </c:pt>
                <c:pt idx="60">
                  <c:v>1964</c:v>
                </c:pt>
                <c:pt idx="61">
                  <c:v>1965</c:v>
                </c:pt>
                <c:pt idx="62">
                  <c:v>1966</c:v>
                </c:pt>
                <c:pt idx="63">
                  <c:v>1967</c:v>
                </c:pt>
                <c:pt idx="64">
                  <c:v>1968</c:v>
                </c:pt>
                <c:pt idx="65">
                  <c:v>1969</c:v>
                </c:pt>
                <c:pt idx="66">
                  <c:v>1970</c:v>
                </c:pt>
                <c:pt idx="67">
                  <c:v>1971</c:v>
                </c:pt>
                <c:pt idx="68">
                  <c:v>1972</c:v>
                </c:pt>
                <c:pt idx="69">
                  <c:v>1973</c:v>
                </c:pt>
                <c:pt idx="70">
                  <c:v>1974</c:v>
                </c:pt>
                <c:pt idx="71">
                  <c:v>1975</c:v>
                </c:pt>
                <c:pt idx="72">
                  <c:v>1976</c:v>
                </c:pt>
                <c:pt idx="73">
                  <c:v>1977</c:v>
                </c:pt>
                <c:pt idx="74">
                  <c:v>1978</c:v>
                </c:pt>
                <c:pt idx="75">
                  <c:v>1979</c:v>
                </c:pt>
                <c:pt idx="76">
                  <c:v>1980</c:v>
                </c:pt>
                <c:pt idx="77">
                  <c:v>1981</c:v>
                </c:pt>
                <c:pt idx="78">
                  <c:v>1982</c:v>
                </c:pt>
                <c:pt idx="79">
                  <c:v>1983</c:v>
                </c:pt>
                <c:pt idx="80">
                  <c:v>1984</c:v>
                </c:pt>
                <c:pt idx="81">
                  <c:v>1985</c:v>
                </c:pt>
                <c:pt idx="82">
                  <c:v>1986</c:v>
                </c:pt>
                <c:pt idx="83">
                  <c:v>1987</c:v>
                </c:pt>
                <c:pt idx="84">
                  <c:v>1988</c:v>
                </c:pt>
                <c:pt idx="85">
                  <c:v>1989</c:v>
                </c:pt>
                <c:pt idx="86">
                  <c:v>1990</c:v>
                </c:pt>
                <c:pt idx="87">
                  <c:v>1991</c:v>
                </c:pt>
              </c:numCache>
            </c:numRef>
          </c:cat>
          <c:val>
            <c:numRef>
              <c:f>'Sheet2 (2)'!$AC$45:$AC$132</c:f>
              <c:numCache>
                <c:formatCode>General</c:formatCode>
                <c:ptCount val="88"/>
                <c:pt idx="0">
                  <c:v>-0.405124730514207</c:v>
                </c:pt>
                <c:pt idx="1">
                  <c:v>-0.41678342901327198</c:v>
                </c:pt>
                <c:pt idx="2">
                  <c:v>-0.49554839080065799</c:v>
                </c:pt>
                <c:pt idx="3">
                  <c:v>-0.459737360882359</c:v>
                </c:pt>
                <c:pt idx="4">
                  <c:v>-0.45049269857961899</c:v>
                </c:pt>
                <c:pt idx="5">
                  <c:v>-0.48101686003502703</c:v>
                </c:pt>
                <c:pt idx="6">
                  <c:v>-0.428125009334065</c:v>
                </c:pt>
                <c:pt idx="7">
                  <c:v>-0.41282973637339099</c:v>
                </c:pt>
                <c:pt idx="8">
                  <c:v>-0.43306578129739098</c:v>
                </c:pt>
                <c:pt idx="9">
                  <c:v>-0.46234715736854298</c:v>
                </c:pt>
                <c:pt idx="10">
                  <c:v>-0.44417337774221199</c:v>
                </c:pt>
                <c:pt idx="11">
                  <c:v>-0.46048517424607099</c:v>
                </c:pt>
                <c:pt idx="12">
                  <c:v>-0.49264950917801098</c:v>
                </c:pt>
                <c:pt idx="13">
                  <c:v>-0.44144586891777199</c:v>
                </c:pt>
                <c:pt idx="14">
                  <c:v>-0.38141075675776598</c:v>
                </c:pt>
                <c:pt idx="15">
                  <c:v>-0.447594709690109</c:v>
                </c:pt>
                <c:pt idx="16">
                  <c:v>-0.42834743211706</c:v>
                </c:pt>
                <c:pt idx="17">
                  <c:v>-0.42259765190492399</c:v>
                </c:pt>
                <c:pt idx="18">
                  <c:v>-0.42898651938857102</c:v>
                </c:pt>
                <c:pt idx="19">
                  <c:v>-0.43048326036453199</c:v>
                </c:pt>
                <c:pt idx="20">
                  <c:v>-0.408706986278636</c:v>
                </c:pt>
                <c:pt idx="21">
                  <c:v>-0.43512996266058102</c:v>
                </c:pt>
                <c:pt idx="22">
                  <c:v>-0.42124099665312498</c:v>
                </c:pt>
                <c:pt idx="23">
                  <c:v>-0.39883916366967398</c:v>
                </c:pt>
                <c:pt idx="24">
                  <c:v>-0.41262656363884198</c:v>
                </c:pt>
                <c:pt idx="25">
                  <c:v>-0.43390822374184201</c:v>
                </c:pt>
                <c:pt idx="26">
                  <c:v>-0.43400393809164101</c:v>
                </c:pt>
                <c:pt idx="27">
                  <c:v>-0.487415089429592</c:v>
                </c:pt>
                <c:pt idx="28">
                  <c:v>-0.48462763248396201</c:v>
                </c:pt>
                <c:pt idx="29">
                  <c:v>-0.49278290731606</c:v>
                </c:pt>
                <c:pt idx="30">
                  <c:v>-0.50987262656001098</c:v>
                </c:pt>
                <c:pt idx="31">
                  <c:v>-0.472126166762451</c:v>
                </c:pt>
                <c:pt idx="32">
                  <c:v>-0.445583979231788</c:v>
                </c:pt>
                <c:pt idx="33">
                  <c:v>-0.47507381024920098</c:v>
                </c:pt>
                <c:pt idx="34">
                  <c:v>-0.50342171531582003</c:v>
                </c:pt>
                <c:pt idx="35">
                  <c:v>-0.4960345482015</c:v>
                </c:pt>
                <c:pt idx="36">
                  <c:v>-0.52890359516807595</c:v>
                </c:pt>
                <c:pt idx="37">
                  <c:v>-0.54953918252188005</c:v>
                </c:pt>
                <c:pt idx="38">
                  <c:v>-0.531287656434554</c:v>
                </c:pt>
                <c:pt idx="39">
                  <c:v>-0.51011128592439103</c:v>
                </c:pt>
                <c:pt idx="40">
                  <c:v>-0.512153783954994</c:v>
                </c:pt>
                <c:pt idx="41">
                  <c:v>-0.52007886331752695</c:v>
                </c:pt>
                <c:pt idx="42">
                  <c:v>-0.52831778340383695</c:v>
                </c:pt>
                <c:pt idx="43">
                  <c:v>-0.54649869459947298</c:v>
                </c:pt>
                <c:pt idx="44">
                  <c:v>-0.54452059544453202</c:v>
                </c:pt>
                <c:pt idx="45">
                  <c:v>-0.53398195605154897</c:v>
                </c:pt>
                <c:pt idx="46">
                  <c:v>-0.55545123968487997</c:v>
                </c:pt>
                <c:pt idx="47">
                  <c:v>-0.53656742445378802</c:v>
                </c:pt>
                <c:pt idx="48">
                  <c:v>-0.54486213996178801</c:v>
                </c:pt>
                <c:pt idx="49">
                  <c:v>-0.57776689173752205</c:v>
                </c:pt>
                <c:pt idx="50">
                  <c:v>-0.61055300062597295</c:v>
                </c:pt>
                <c:pt idx="51">
                  <c:v>-0.60142981694004305</c:v>
                </c:pt>
                <c:pt idx="52">
                  <c:v>-0.60388392147310299</c:v>
                </c:pt>
                <c:pt idx="53">
                  <c:v>-0.66854175379057601</c:v>
                </c:pt>
                <c:pt idx="54">
                  <c:v>-0.62026828371352205</c:v>
                </c:pt>
                <c:pt idx="55">
                  <c:v>-0.59272895450180396</c:v>
                </c:pt>
                <c:pt idx="56">
                  <c:v>-0.60916980086780403</c:v>
                </c:pt>
                <c:pt idx="57">
                  <c:v>-0.64857923081536895</c:v>
                </c:pt>
                <c:pt idx="58">
                  <c:v>-0.60492356106110301</c:v>
                </c:pt>
                <c:pt idx="59">
                  <c:v>-0.64401645831151599</c:v>
                </c:pt>
                <c:pt idx="60">
                  <c:v>-0.67510588776170599</c:v>
                </c:pt>
                <c:pt idx="61">
                  <c:v>-0.66435275691825002</c:v>
                </c:pt>
                <c:pt idx="62">
                  <c:v>-0.68119476069260798</c:v>
                </c:pt>
                <c:pt idx="63">
                  <c:v>-0.67862774703196704</c:v>
                </c:pt>
                <c:pt idx="64">
                  <c:v>-0.666023393126288</c:v>
                </c:pt>
                <c:pt idx="65">
                  <c:v>-0.63299453527529903</c:v>
                </c:pt>
                <c:pt idx="66">
                  <c:v>-0.66194961971805899</c:v>
                </c:pt>
                <c:pt idx="67">
                  <c:v>-0.61510869212679298</c:v>
                </c:pt>
                <c:pt idx="68">
                  <c:v>-0.63182003795410802</c:v>
                </c:pt>
                <c:pt idx="69">
                  <c:v>-0.68519302729738596</c:v>
                </c:pt>
                <c:pt idx="70">
                  <c:v>-0.72342348200484197</c:v>
                </c:pt>
                <c:pt idx="71">
                  <c:v>-0.71022104314046697</c:v>
                </c:pt>
                <c:pt idx="72">
                  <c:v>-0.74988683250098898</c:v>
                </c:pt>
                <c:pt idx="73">
                  <c:v>-0.73025773177132602</c:v>
                </c:pt>
                <c:pt idx="74">
                  <c:v>-0.69788296268313599</c:v>
                </c:pt>
                <c:pt idx="75">
                  <c:v>-0.66979369110054898</c:v>
                </c:pt>
                <c:pt idx="76">
                  <c:v>-0.65988606202993505</c:v>
                </c:pt>
                <c:pt idx="77">
                  <c:v>-0.68317152620808697</c:v>
                </c:pt>
                <c:pt idx="78">
                  <c:v>-0.66190925863015204</c:v>
                </c:pt>
                <c:pt idx="79">
                  <c:v>-0.64834861996387505</c:v>
                </c:pt>
                <c:pt idx="80">
                  <c:v>-0.63546630465377096</c:v>
                </c:pt>
                <c:pt idx="81">
                  <c:v>-0.69184625171635294</c:v>
                </c:pt>
                <c:pt idx="82">
                  <c:v>-0.64860569124327205</c:v>
                </c:pt>
                <c:pt idx="83">
                  <c:v>-0.698548475910163</c:v>
                </c:pt>
                <c:pt idx="84">
                  <c:v>-0.68118598979435296</c:v>
                </c:pt>
                <c:pt idx="85">
                  <c:v>-0.70654133502505401</c:v>
                </c:pt>
                <c:pt idx="86">
                  <c:v>-0.665759139861685</c:v>
                </c:pt>
                <c:pt idx="87">
                  <c:v>-0.642223808750641</c:v>
                </c:pt>
              </c:numCache>
            </c:numRef>
          </c:val>
          <c:smooth val="0"/>
        </c:ser>
        <c:ser>
          <c:idx val="2"/>
          <c:order val="2"/>
          <c:tx>
            <c:strRef>
              <c:f>'Sheet2 (2)'!$AB$39</c:f>
              <c:strCache>
                <c:ptCount val="1"/>
                <c:pt idx="0">
                  <c:v>current education</c:v>
                </c:pt>
              </c:strCache>
            </c:strRef>
          </c:tx>
          <c:spPr>
            <a:ln w="28575" cap="rnd">
              <a:solidFill>
                <a:schemeClr val="accent3"/>
              </a:solidFill>
              <a:round/>
            </a:ln>
            <a:effectLst/>
          </c:spPr>
          <c:marker>
            <c:symbol val="none"/>
          </c:marker>
          <c:cat>
            <c:numRef>
              <c:f>'Sheet2 (2)'!$B$45:$B$132</c:f>
              <c:numCache>
                <c:formatCode>General</c:formatCode>
                <c:ptCount val="88"/>
                <c:pt idx="0">
                  <c:v>1904</c:v>
                </c:pt>
                <c:pt idx="1">
                  <c:v>1905</c:v>
                </c:pt>
                <c:pt idx="2">
                  <c:v>1906</c:v>
                </c:pt>
                <c:pt idx="3">
                  <c:v>1907</c:v>
                </c:pt>
                <c:pt idx="4">
                  <c:v>1908</c:v>
                </c:pt>
                <c:pt idx="5">
                  <c:v>1909</c:v>
                </c:pt>
                <c:pt idx="6">
                  <c:v>1910</c:v>
                </c:pt>
                <c:pt idx="7">
                  <c:v>1911</c:v>
                </c:pt>
                <c:pt idx="8">
                  <c:v>1912</c:v>
                </c:pt>
                <c:pt idx="9">
                  <c:v>1913</c:v>
                </c:pt>
                <c:pt idx="10">
                  <c:v>1914</c:v>
                </c:pt>
                <c:pt idx="11">
                  <c:v>1915</c:v>
                </c:pt>
                <c:pt idx="12">
                  <c:v>1916</c:v>
                </c:pt>
                <c:pt idx="13">
                  <c:v>1917</c:v>
                </c:pt>
                <c:pt idx="14">
                  <c:v>1918</c:v>
                </c:pt>
                <c:pt idx="15">
                  <c:v>1919</c:v>
                </c:pt>
                <c:pt idx="16">
                  <c:v>1920</c:v>
                </c:pt>
                <c:pt idx="17">
                  <c:v>1921</c:v>
                </c:pt>
                <c:pt idx="18">
                  <c:v>1922</c:v>
                </c:pt>
                <c:pt idx="19">
                  <c:v>1923</c:v>
                </c:pt>
                <c:pt idx="20">
                  <c:v>1924</c:v>
                </c:pt>
                <c:pt idx="21">
                  <c:v>1925</c:v>
                </c:pt>
                <c:pt idx="22">
                  <c:v>1926</c:v>
                </c:pt>
                <c:pt idx="23">
                  <c:v>1927</c:v>
                </c:pt>
                <c:pt idx="24">
                  <c:v>1928</c:v>
                </c:pt>
                <c:pt idx="25">
                  <c:v>1929</c:v>
                </c:pt>
                <c:pt idx="26">
                  <c:v>1930</c:v>
                </c:pt>
                <c:pt idx="27">
                  <c:v>1931</c:v>
                </c:pt>
                <c:pt idx="28">
                  <c:v>1932</c:v>
                </c:pt>
                <c:pt idx="29">
                  <c:v>1933</c:v>
                </c:pt>
                <c:pt idx="30">
                  <c:v>1934</c:v>
                </c:pt>
                <c:pt idx="31">
                  <c:v>1935</c:v>
                </c:pt>
                <c:pt idx="32">
                  <c:v>1936</c:v>
                </c:pt>
                <c:pt idx="33">
                  <c:v>1937</c:v>
                </c:pt>
                <c:pt idx="34">
                  <c:v>1938</c:v>
                </c:pt>
                <c:pt idx="35">
                  <c:v>1939</c:v>
                </c:pt>
                <c:pt idx="36">
                  <c:v>1940</c:v>
                </c:pt>
                <c:pt idx="37">
                  <c:v>1941</c:v>
                </c:pt>
                <c:pt idx="38">
                  <c:v>1942</c:v>
                </c:pt>
                <c:pt idx="39">
                  <c:v>1943</c:v>
                </c:pt>
                <c:pt idx="40">
                  <c:v>1944</c:v>
                </c:pt>
                <c:pt idx="41">
                  <c:v>1945</c:v>
                </c:pt>
                <c:pt idx="42">
                  <c:v>1946</c:v>
                </c:pt>
                <c:pt idx="43">
                  <c:v>1947</c:v>
                </c:pt>
                <c:pt idx="44">
                  <c:v>1948</c:v>
                </c:pt>
                <c:pt idx="45">
                  <c:v>1949</c:v>
                </c:pt>
                <c:pt idx="46">
                  <c:v>1950</c:v>
                </c:pt>
                <c:pt idx="47">
                  <c:v>1951</c:v>
                </c:pt>
                <c:pt idx="48">
                  <c:v>1952</c:v>
                </c:pt>
                <c:pt idx="49">
                  <c:v>1953</c:v>
                </c:pt>
                <c:pt idx="50">
                  <c:v>1954</c:v>
                </c:pt>
                <c:pt idx="51">
                  <c:v>1955</c:v>
                </c:pt>
                <c:pt idx="52">
                  <c:v>1956</c:v>
                </c:pt>
                <c:pt idx="53">
                  <c:v>1957</c:v>
                </c:pt>
                <c:pt idx="54">
                  <c:v>1958</c:v>
                </c:pt>
                <c:pt idx="55">
                  <c:v>1959</c:v>
                </c:pt>
                <c:pt idx="56">
                  <c:v>1960</c:v>
                </c:pt>
                <c:pt idx="57">
                  <c:v>1961</c:v>
                </c:pt>
                <c:pt idx="58">
                  <c:v>1962</c:v>
                </c:pt>
                <c:pt idx="59">
                  <c:v>1963</c:v>
                </c:pt>
                <c:pt idx="60">
                  <c:v>1964</c:v>
                </c:pt>
                <c:pt idx="61">
                  <c:v>1965</c:v>
                </c:pt>
                <c:pt idx="62">
                  <c:v>1966</c:v>
                </c:pt>
                <c:pt idx="63">
                  <c:v>1967</c:v>
                </c:pt>
                <c:pt idx="64">
                  <c:v>1968</c:v>
                </c:pt>
                <c:pt idx="65">
                  <c:v>1969</c:v>
                </c:pt>
                <c:pt idx="66">
                  <c:v>1970</c:v>
                </c:pt>
                <c:pt idx="67">
                  <c:v>1971</c:v>
                </c:pt>
                <c:pt idx="68">
                  <c:v>1972</c:v>
                </c:pt>
                <c:pt idx="69">
                  <c:v>1973</c:v>
                </c:pt>
                <c:pt idx="70">
                  <c:v>1974</c:v>
                </c:pt>
                <c:pt idx="71">
                  <c:v>1975</c:v>
                </c:pt>
                <c:pt idx="72">
                  <c:v>1976</c:v>
                </c:pt>
                <c:pt idx="73">
                  <c:v>1977</c:v>
                </c:pt>
                <c:pt idx="74">
                  <c:v>1978</c:v>
                </c:pt>
                <c:pt idx="75">
                  <c:v>1979</c:v>
                </c:pt>
                <c:pt idx="76">
                  <c:v>1980</c:v>
                </c:pt>
                <c:pt idx="77">
                  <c:v>1981</c:v>
                </c:pt>
                <c:pt idx="78">
                  <c:v>1982</c:v>
                </c:pt>
                <c:pt idx="79">
                  <c:v>1983</c:v>
                </c:pt>
                <c:pt idx="80">
                  <c:v>1984</c:v>
                </c:pt>
                <c:pt idx="81">
                  <c:v>1985</c:v>
                </c:pt>
                <c:pt idx="82">
                  <c:v>1986</c:v>
                </c:pt>
                <c:pt idx="83">
                  <c:v>1987</c:v>
                </c:pt>
                <c:pt idx="84">
                  <c:v>1988</c:v>
                </c:pt>
                <c:pt idx="85">
                  <c:v>1989</c:v>
                </c:pt>
                <c:pt idx="86">
                  <c:v>1990</c:v>
                </c:pt>
                <c:pt idx="87">
                  <c:v>1991</c:v>
                </c:pt>
              </c:numCache>
            </c:numRef>
          </c:cat>
          <c:val>
            <c:numRef>
              <c:f>'Sheet2 (2)'!$AB$45:$AB$132</c:f>
              <c:numCache>
                <c:formatCode>General</c:formatCode>
                <c:ptCount val="88"/>
                <c:pt idx="0">
                  <c:v>-0.42222279611121999</c:v>
                </c:pt>
                <c:pt idx="1">
                  <c:v>-0.44790342575258002</c:v>
                </c:pt>
                <c:pt idx="2">
                  <c:v>-0.51830957467280003</c:v>
                </c:pt>
                <c:pt idx="3">
                  <c:v>-0.48781713229441998</c:v>
                </c:pt>
                <c:pt idx="4">
                  <c:v>-0.48683527141614003</c:v>
                </c:pt>
                <c:pt idx="5">
                  <c:v>-0.51095299179641995</c:v>
                </c:pt>
                <c:pt idx="6">
                  <c:v>-0.46527655770505999</c:v>
                </c:pt>
                <c:pt idx="7">
                  <c:v>-0.45443950995948001</c:v>
                </c:pt>
                <c:pt idx="8">
                  <c:v>-0.47409062936652002</c:v>
                </c:pt>
                <c:pt idx="9">
                  <c:v>-0.49730839764363999</c:v>
                </c:pt>
                <c:pt idx="10">
                  <c:v>-0.47857430081837998</c:v>
                </c:pt>
                <c:pt idx="11">
                  <c:v>-0.49127551526267998</c:v>
                </c:pt>
                <c:pt idx="12">
                  <c:v>-0.51426445391240005</c:v>
                </c:pt>
                <c:pt idx="13">
                  <c:v>-0.46633195194920002</c:v>
                </c:pt>
                <c:pt idx="14">
                  <c:v>-0.41734647744432002</c:v>
                </c:pt>
                <c:pt idx="15">
                  <c:v>-0.47960583841738003</c:v>
                </c:pt>
                <c:pt idx="16">
                  <c:v>-0.45964859172048</c:v>
                </c:pt>
                <c:pt idx="17">
                  <c:v>-0.45508511199194002</c:v>
                </c:pt>
                <c:pt idx="18">
                  <c:v>-0.46191317143922</c:v>
                </c:pt>
                <c:pt idx="19">
                  <c:v>-0.46395231577273999</c:v>
                </c:pt>
                <c:pt idx="20">
                  <c:v>-0.44521642044974002</c:v>
                </c:pt>
                <c:pt idx="21">
                  <c:v>-0.47021590684749998</c:v>
                </c:pt>
                <c:pt idx="22">
                  <c:v>-0.45631538643934</c:v>
                </c:pt>
                <c:pt idx="23">
                  <c:v>-0.43577499418586002</c:v>
                </c:pt>
                <c:pt idx="24">
                  <c:v>-0.44945971610570001</c:v>
                </c:pt>
                <c:pt idx="25">
                  <c:v>-0.46814810719610001</c:v>
                </c:pt>
                <c:pt idx="26">
                  <c:v>-0.46809407121974</c:v>
                </c:pt>
                <c:pt idx="27">
                  <c:v>-0.51608094271280003</c:v>
                </c:pt>
                <c:pt idx="28">
                  <c:v>-0.50894082295880005</c:v>
                </c:pt>
                <c:pt idx="29">
                  <c:v>-0.5113637802812</c:v>
                </c:pt>
                <c:pt idx="30">
                  <c:v>-0.52534563966379999</c:v>
                </c:pt>
                <c:pt idx="31">
                  <c:v>-0.48561816613719999</c:v>
                </c:pt>
                <c:pt idx="32">
                  <c:v>-0.45999990495600002</c:v>
                </c:pt>
                <c:pt idx="33">
                  <c:v>-0.48818369587760002</c:v>
                </c:pt>
                <c:pt idx="34">
                  <c:v>-0.51447835950160004</c:v>
                </c:pt>
                <c:pt idx="35">
                  <c:v>-0.50522599098959997</c:v>
                </c:pt>
                <c:pt idx="36">
                  <c:v>-0.53653595008760002</c:v>
                </c:pt>
                <c:pt idx="37">
                  <c:v>-0.55356473851800003</c:v>
                </c:pt>
                <c:pt idx="38">
                  <c:v>-0.53138943155679996</c:v>
                </c:pt>
                <c:pt idx="39">
                  <c:v>-0.50807835946820001</c:v>
                </c:pt>
                <c:pt idx="40">
                  <c:v>-0.50855985511620005</c:v>
                </c:pt>
                <c:pt idx="41">
                  <c:v>-0.51373942310779996</c:v>
                </c:pt>
                <c:pt idx="42">
                  <c:v>-0.52011733407460004</c:v>
                </c:pt>
                <c:pt idx="43">
                  <c:v>-0.53528263389779995</c:v>
                </c:pt>
                <c:pt idx="44">
                  <c:v>-0.52978020336200005</c:v>
                </c:pt>
                <c:pt idx="45">
                  <c:v>-0.51630321930959999</c:v>
                </c:pt>
                <c:pt idx="46">
                  <c:v>-0.53439746400580002</c:v>
                </c:pt>
                <c:pt idx="47">
                  <c:v>-0.50884774040339997</c:v>
                </c:pt>
                <c:pt idx="48">
                  <c:v>-0.51154876936259996</c:v>
                </c:pt>
                <c:pt idx="49">
                  <c:v>-0.53962570636460006</c:v>
                </c:pt>
                <c:pt idx="50">
                  <c:v>-0.56862550408860002</c:v>
                </c:pt>
                <c:pt idx="51">
                  <c:v>-0.55667576357280002</c:v>
                </c:pt>
                <c:pt idx="52">
                  <c:v>-0.55800957565340004</c:v>
                </c:pt>
                <c:pt idx="53">
                  <c:v>-0.62605676428900003</c:v>
                </c:pt>
                <c:pt idx="54">
                  <c:v>-0.57732774608799997</c:v>
                </c:pt>
                <c:pt idx="55">
                  <c:v>-0.54583806739039997</c:v>
                </c:pt>
                <c:pt idx="56">
                  <c:v>-0.55872168071079997</c:v>
                </c:pt>
                <c:pt idx="57">
                  <c:v>-0.59697819555620002</c:v>
                </c:pt>
                <c:pt idx="58">
                  <c:v>-0.54925355413559995</c:v>
                </c:pt>
                <c:pt idx="59">
                  <c:v>-0.5858859363044</c:v>
                </c:pt>
                <c:pt idx="60">
                  <c:v>-0.61931325956939998</c:v>
                </c:pt>
                <c:pt idx="61">
                  <c:v>-0.60759787240060004</c:v>
                </c:pt>
                <c:pt idx="62">
                  <c:v>-0.6251230934002</c:v>
                </c:pt>
                <c:pt idx="63">
                  <c:v>-0.62302230120220004</c:v>
                </c:pt>
                <c:pt idx="64">
                  <c:v>-0.61107060157920001</c:v>
                </c:pt>
                <c:pt idx="65">
                  <c:v>-0.57491029726300003</c:v>
                </c:pt>
                <c:pt idx="66">
                  <c:v>-0.60474409141219998</c:v>
                </c:pt>
                <c:pt idx="67">
                  <c:v>-0.55022779215499995</c:v>
                </c:pt>
                <c:pt idx="68">
                  <c:v>-0.56044162707459999</c:v>
                </c:pt>
                <c:pt idx="69">
                  <c:v>-0.60947202831140002</c:v>
                </c:pt>
                <c:pt idx="70">
                  <c:v>-0.64596088729260004</c:v>
                </c:pt>
                <c:pt idx="71">
                  <c:v>-0.62852633295780003</c:v>
                </c:pt>
                <c:pt idx="72">
                  <c:v>-0.67271288779140004</c:v>
                </c:pt>
                <c:pt idx="73">
                  <c:v>-0.65571880093860002</c:v>
                </c:pt>
                <c:pt idx="74">
                  <c:v>-0.62493966468539996</c:v>
                </c:pt>
                <c:pt idx="75">
                  <c:v>-0.5963134922144</c:v>
                </c:pt>
                <c:pt idx="76">
                  <c:v>-0.58451532009999996</c:v>
                </c:pt>
                <c:pt idx="77">
                  <c:v>-0.61163387023360005</c:v>
                </c:pt>
                <c:pt idx="78">
                  <c:v>-0.5866363827976</c:v>
                </c:pt>
                <c:pt idx="79">
                  <c:v>-0.56829772225560005</c:v>
                </c:pt>
                <c:pt idx="80">
                  <c:v>-0.5430564622606</c:v>
                </c:pt>
                <c:pt idx="81">
                  <c:v>-0.59907917059360005</c:v>
                </c:pt>
                <c:pt idx="82">
                  <c:v>-0.54500261990959997</c:v>
                </c:pt>
                <c:pt idx="83">
                  <c:v>-0.59515090437340001</c:v>
                </c:pt>
                <c:pt idx="84">
                  <c:v>-0.57272394445100006</c:v>
                </c:pt>
                <c:pt idx="85">
                  <c:v>-0.60358252318560002</c:v>
                </c:pt>
                <c:pt idx="86">
                  <c:v>-0.55937003488659998</c:v>
                </c:pt>
                <c:pt idx="87">
                  <c:v>-0.52687514295540006</c:v>
                </c:pt>
              </c:numCache>
            </c:numRef>
          </c:val>
          <c:smooth val="0"/>
        </c:ser>
        <c:ser>
          <c:idx val="3"/>
          <c:order val="3"/>
          <c:tx>
            <c:v>Omitted education</c:v>
          </c:tx>
          <c:spPr>
            <a:ln w="28575" cap="rnd">
              <a:solidFill>
                <a:schemeClr val="accent4"/>
              </a:solidFill>
              <a:round/>
            </a:ln>
            <a:effectLst/>
          </c:spPr>
          <c:marker>
            <c:symbol val="none"/>
          </c:marker>
          <c:val>
            <c:numRef>
              <c:f>Sheet4!$H$136:$H$223</c:f>
              <c:numCache>
                <c:formatCode>General</c:formatCode>
                <c:ptCount val="88"/>
                <c:pt idx="0">
                  <c:v>-0.41094876000000002</c:v>
                </c:pt>
                <c:pt idx="1">
                  <c:v>-0.4257341</c:v>
                </c:pt>
                <c:pt idx="2">
                  <c:v>-0.42942098000000001</c:v>
                </c:pt>
                <c:pt idx="3">
                  <c:v>-0.43961003999999998</c:v>
                </c:pt>
                <c:pt idx="4">
                  <c:v>-0.42468918</c:v>
                </c:pt>
                <c:pt idx="5">
                  <c:v>-0.41846605999999997</c:v>
                </c:pt>
                <c:pt idx="6">
                  <c:v>-0.40880756000000001</c:v>
                </c:pt>
                <c:pt idx="7">
                  <c:v>-0.39946473999999998</c:v>
                </c:pt>
                <c:pt idx="8">
                  <c:v>-0.39616190000000001</c:v>
                </c:pt>
                <c:pt idx="9">
                  <c:v>-0.40107433999999997</c:v>
                </c:pt>
                <c:pt idx="10">
                  <c:v>-0.40392319999999998</c:v>
                </c:pt>
                <c:pt idx="11">
                  <c:v>-0.39964843999999999</c:v>
                </c:pt>
                <c:pt idx="12">
                  <c:v>-0.40229172000000002</c:v>
                </c:pt>
                <c:pt idx="13">
                  <c:v>-0.38822561999999999</c:v>
                </c:pt>
                <c:pt idx="14">
                  <c:v>-0.38152659999999999</c:v>
                </c:pt>
                <c:pt idx="15">
                  <c:v>-0.37470841999999999</c:v>
                </c:pt>
                <c:pt idx="16">
                  <c:v>-0.37628274</c:v>
                </c:pt>
                <c:pt idx="17">
                  <c:v>-0.38159781999999998</c:v>
                </c:pt>
                <c:pt idx="18">
                  <c:v>-0.37580634000000002</c:v>
                </c:pt>
                <c:pt idx="19">
                  <c:v>-0.37526530000000002</c:v>
                </c:pt>
                <c:pt idx="20">
                  <c:v>-0.37798880000000001</c:v>
                </c:pt>
                <c:pt idx="21">
                  <c:v>-0.37531922000000001</c:v>
                </c:pt>
                <c:pt idx="22">
                  <c:v>-0.36365016</c:v>
                </c:pt>
                <c:pt idx="23">
                  <c:v>-0.37289428000000002</c:v>
                </c:pt>
                <c:pt idx="24">
                  <c:v>-0.38386749999999997</c:v>
                </c:pt>
                <c:pt idx="25">
                  <c:v>-0.39761646</c:v>
                </c:pt>
                <c:pt idx="26">
                  <c:v>-0.41149264000000002</c:v>
                </c:pt>
                <c:pt idx="27">
                  <c:v>-0.42004552000000001</c:v>
                </c:pt>
                <c:pt idx="28">
                  <c:v>-0.42812887999999999</c:v>
                </c:pt>
                <c:pt idx="29">
                  <c:v>-0.434197</c:v>
                </c:pt>
                <c:pt idx="30">
                  <c:v>-0.427597</c:v>
                </c:pt>
                <c:pt idx="31">
                  <c:v>-0.42537266000000001</c:v>
                </c:pt>
                <c:pt idx="32">
                  <c:v>-0.44044748</c:v>
                </c:pt>
                <c:pt idx="33">
                  <c:v>-0.44639575999999997</c:v>
                </c:pt>
                <c:pt idx="34">
                  <c:v>-0.45018774</c:v>
                </c:pt>
                <c:pt idx="35">
                  <c:v>-0.45442978000000001</c:v>
                </c:pt>
                <c:pt idx="36">
                  <c:v>-0.46956786</c:v>
                </c:pt>
                <c:pt idx="37">
                  <c:v>-0.46966098000000001</c:v>
                </c:pt>
                <c:pt idx="38">
                  <c:v>-0.47293832000000002</c:v>
                </c:pt>
                <c:pt idx="39">
                  <c:v>-0.47397887999999999</c:v>
                </c:pt>
                <c:pt idx="40">
                  <c:v>-0.48107132000000002</c:v>
                </c:pt>
                <c:pt idx="41">
                  <c:v>-0.47605098000000001</c:v>
                </c:pt>
                <c:pt idx="42">
                  <c:v>-0.47295638000000001</c:v>
                </c:pt>
                <c:pt idx="43">
                  <c:v>-0.47168539999999998</c:v>
                </c:pt>
                <c:pt idx="44">
                  <c:v>-0.46989639999999999</c:v>
                </c:pt>
                <c:pt idx="45">
                  <c:v>-0.47305996</c:v>
                </c:pt>
                <c:pt idx="46">
                  <c:v>-0.47340944000000001</c:v>
                </c:pt>
                <c:pt idx="47">
                  <c:v>-0.47241043999999999</c:v>
                </c:pt>
                <c:pt idx="48">
                  <c:v>-0.47664704000000002</c:v>
                </c:pt>
                <c:pt idx="49">
                  <c:v>-0.48401294</c:v>
                </c:pt>
                <c:pt idx="50">
                  <c:v>-0.48262546000000001</c:v>
                </c:pt>
                <c:pt idx="51">
                  <c:v>-0.47825578000000002</c:v>
                </c:pt>
                <c:pt idx="52">
                  <c:v>-0.48450263999999998</c:v>
                </c:pt>
                <c:pt idx="53">
                  <c:v>-0.48663936000000002</c:v>
                </c:pt>
                <c:pt idx="54">
                  <c:v>-0.48368383999999998</c:v>
                </c:pt>
                <c:pt idx="55">
                  <c:v>-0.48103790000000002</c:v>
                </c:pt>
                <c:pt idx="56">
                  <c:v>-0.48615248</c:v>
                </c:pt>
                <c:pt idx="57">
                  <c:v>-0.48754251999999998</c:v>
                </c:pt>
                <c:pt idx="58">
                  <c:v>-0.48663376000000003</c:v>
                </c:pt>
                <c:pt idx="59">
                  <c:v>-0.48465004</c:v>
                </c:pt>
                <c:pt idx="60">
                  <c:v>-0.48895934000000002</c:v>
                </c:pt>
                <c:pt idx="61">
                  <c:v>-0.49181254000000002</c:v>
                </c:pt>
                <c:pt idx="62">
                  <c:v>-0.48833638000000001</c:v>
                </c:pt>
                <c:pt idx="63">
                  <c:v>-0.48750468000000002</c:v>
                </c:pt>
                <c:pt idx="64">
                  <c:v>-0.48679139999999999</c:v>
                </c:pt>
                <c:pt idx="65">
                  <c:v>-0.48786173999999999</c:v>
                </c:pt>
                <c:pt idx="66">
                  <c:v>-0.49118060000000002</c:v>
                </c:pt>
                <c:pt idx="67">
                  <c:v>-0.49491049999999998</c:v>
                </c:pt>
                <c:pt idx="68">
                  <c:v>-0.49717361999999998</c:v>
                </c:pt>
                <c:pt idx="69">
                  <c:v>-0.4978185</c:v>
                </c:pt>
                <c:pt idx="70">
                  <c:v>-0.48820071999999998</c:v>
                </c:pt>
                <c:pt idx="71">
                  <c:v>-0.47803015999999998</c:v>
                </c:pt>
                <c:pt idx="72">
                  <c:v>-0.46863684</c:v>
                </c:pt>
                <c:pt idx="73">
                  <c:v>-0.46018776</c:v>
                </c:pt>
                <c:pt idx="74">
                  <c:v>-0.45497621999999999</c:v>
                </c:pt>
                <c:pt idx="75">
                  <c:v>-0.46320830000000002</c:v>
                </c:pt>
                <c:pt idx="76">
                  <c:v>-0.46878631999999998</c:v>
                </c:pt>
                <c:pt idx="77">
                  <c:v>-0.48046188000000001</c:v>
                </c:pt>
                <c:pt idx="78">
                  <c:v>-0.48006628000000001</c:v>
                </c:pt>
                <c:pt idx="79">
                  <c:v>-0.48875385999999998</c:v>
                </c:pt>
                <c:pt idx="80">
                  <c:v>-0.48399199999999998</c:v>
                </c:pt>
                <c:pt idx="81">
                  <c:v>-0.48017300000000002</c:v>
                </c:pt>
                <c:pt idx="82">
                  <c:v>-0.47149363999999999</c:v>
                </c:pt>
                <c:pt idx="83">
                  <c:v>-0.46424998000000001</c:v>
                </c:pt>
                <c:pt idx="84">
                  <c:v>-0.44752764</c:v>
                </c:pt>
                <c:pt idx="85">
                  <c:v>-0.44043887999999998</c:v>
                </c:pt>
                <c:pt idx="86">
                  <c:v>-0.4269483</c:v>
                </c:pt>
                <c:pt idx="87">
                  <c:v>-0.41556325999999999</c:v>
                </c:pt>
              </c:numCache>
            </c:numRef>
          </c:val>
          <c:smooth val="0"/>
        </c:ser>
        <c:dLbls>
          <c:showLegendKey val="0"/>
          <c:showVal val="0"/>
          <c:showCatName val="0"/>
          <c:showSerName val="0"/>
          <c:showPercent val="0"/>
          <c:showBubbleSize val="0"/>
        </c:dLbls>
        <c:marker val="1"/>
        <c:smooth val="0"/>
        <c:axId val="126777984"/>
        <c:axId val="126792064"/>
      </c:lineChart>
      <c:catAx>
        <c:axId val="126777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92064"/>
        <c:crosses val="autoZero"/>
        <c:auto val="1"/>
        <c:lblAlgn val="ctr"/>
        <c:lblOffset val="100"/>
        <c:noMultiLvlLbl val="0"/>
      </c:catAx>
      <c:valAx>
        <c:axId val="126792064"/>
        <c:scaling>
          <c:orientation val="minMax"/>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6777984"/>
        <c:crosses val="autoZero"/>
        <c:crossBetween val="between"/>
      </c:valAx>
      <c:spPr>
        <a:noFill/>
        <a:ln>
          <a:solidFill>
            <a:schemeClr val="tx1">
              <a:lumMod val="15000"/>
              <a:lumOff val="85000"/>
            </a:schemeClr>
          </a:solidFill>
        </a:ln>
        <a:effectLst/>
      </c:spPr>
    </c:plotArea>
    <c:legend>
      <c:legendPos val="b"/>
      <c:layout>
        <c:manualLayout>
          <c:xMode val="edge"/>
          <c:yMode val="edge"/>
          <c:x val="7.3812801625603303E-2"/>
          <c:y val="0.52115854658792604"/>
          <c:w val="0.36205168910337798"/>
          <c:h val="0.346028953412073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578168113601195E-2"/>
          <c:y val="0.113889733918363"/>
          <c:w val="0.88322594050743697"/>
          <c:h val="0.80561725825987796"/>
        </c:manualLayout>
      </c:layout>
      <c:barChart>
        <c:barDir val="col"/>
        <c:grouping val="stacked"/>
        <c:varyColors val="0"/>
        <c:ser>
          <c:idx val="1"/>
          <c:order val="1"/>
          <c:tx>
            <c:v>First order education control</c:v>
          </c:tx>
          <c:spPr>
            <a:solidFill>
              <a:schemeClr val="accent1">
                <a:lumMod val="75000"/>
              </a:schemeClr>
            </a:solidFill>
          </c:spPr>
          <c:invertIfNegative val="0"/>
          <c:cat>
            <c:numRef>
              <c:f>'education OVB'!$AN$4:$AN$26</c:f>
              <c:numCache>
                <c:formatCode>General</c:formatCode>
                <c:ptCount val="23"/>
                <c:pt idx="0">
                  <c:v>1885</c:v>
                </c:pt>
                <c:pt idx="1">
                  <c:v>1890</c:v>
                </c:pt>
                <c:pt idx="2">
                  <c:v>1895</c:v>
                </c:pt>
                <c:pt idx="3">
                  <c:v>1900</c:v>
                </c:pt>
                <c:pt idx="4">
                  <c:v>1905</c:v>
                </c:pt>
                <c:pt idx="5">
                  <c:v>1910</c:v>
                </c:pt>
                <c:pt idx="6">
                  <c:v>1915</c:v>
                </c:pt>
                <c:pt idx="7">
                  <c:v>1920</c:v>
                </c:pt>
                <c:pt idx="8">
                  <c:v>1925</c:v>
                </c:pt>
                <c:pt idx="9">
                  <c:v>1930</c:v>
                </c:pt>
                <c:pt idx="10">
                  <c:v>1935</c:v>
                </c:pt>
                <c:pt idx="11">
                  <c:v>1940</c:v>
                </c:pt>
                <c:pt idx="12">
                  <c:v>1945</c:v>
                </c:pt>
                <c:pt idx="13">
                  <c:v>1950</c:v>
                </c:pt>
                <c:pt idx="14">
                  <c:v>1955</c:v>
                </c:pt>
                <c:pt idx="15">
                  <c:v>1960</c:v>
                </c:pt>
                <c:pt idx="16">
                  <c:v>1965</c:v>
                </c:pt>
                <c:pt idx="17">
                  <c:v>1970</c:v>
                </c:pt>
                <c:pt idx="18">
                  <c:v>1975</c:v>
                </c:pt>
                <c:pt idx="19">
                  <c:v>1980</c:v>
                </c:pt>
                <c:pt idx="20">
                  <c:v>1985</c:v>
                </c:pt>
                <c:pt idx="21">
                  <c:v>1990</c:v>
                </c:pt>
                <c:pt idx="22">
                  <c:v>1995</c:v>
                </c:pt>
              </c:numCache>
            </c:numRef>
          </c:cat>
          <c:val>
            <c:numRef>
              <c:f>'education OVB'!$AM$38:$AM$60</c:f>
              <c:numCache>
                <c:formatCode>General</c:formatCode>
                <c:ptCount val="23"/>
                <c:pt idx="0">
                  <c:v>-9.2332299549412203E-2</c:v>
                </c:pt>
                <c:pt idx="1">
                  <c:v>3.8580259018278801E-2</c:v>
                </c:pt>
                <c:pt idx="2">
                  <c:v>1.6445237181719301E-2</c:v>
                </c:pt>
                <c:pt idx="3">
                  <c:v>5.6897846548402504E-3</c:v>
                </c:pt>
                <c:pt idx="4">
                  <c:v>-2.21653167576733E-2</c:v>
                </c:pt>
                <c:pt idx="5">
                  <c:v>-3.8045970003465997E-2</c:v>
                </c:pt>
                <c:pt idx="6">
                  <c:v>-5.5508622585582902E-2</c:v>
                </c:pt>
                <c:pt idx="7">
                  <c:v>-5.5781831386858299E-2</c:v>
                </c:pt>
                <c:pt idx="8">
                  <c:v>-7.6246941014239497E-2</c:v>
                </c:pt>
                <c:pt idx="9">
                  <c:v>-0.10963008551853</c:v>
                </c:pt>
                <c:pt idx="10">
                  <c:v>-0.139556056491803</c:v>
                </c:pt>
                <c:pt idx="11">
                  <c:v>-0.154712068852456</c:v>
                </c:pt>
                <c:pt idx="12">
                  <c:v>-0.17006571484789601</c:v>
                </c:pt>
                <c:pt idx="13">
                  <c:v>-0.19591886926395799</c:v>
                </c:pt>
                <c:pt idx="14">
                  <c:v>-0.206637897690996</c:v>
                </c:pt>
                <c:pt idx="15">
                  <c:v>-0.223577561893679</c:v>
                </c:pt>
                <c:pt idx="16">
                  <c:v>-0.24377981741555499</c:v>
                </c:pt>
                <c:pt idx="17">
                  <c:v>-0.264448264523517</c:v>
                </c:pt>
                <c:pt idx="18">
                  <c:v>-0.31767560037841702</c:v>
                </c:pt>
                <c:pt idx="19">
                  <c:v>-0.337495938262937</c:v>
                </c:pt>
                <c:pt idx="20">
                  <c:v>-0.35366608691819801</c:v>
                </c:pt>
                <c:pt idx="21">
                  <c:v>-0.38920908128884601</c:v>
                </c:pt>
                <c:pt idx="22">
                  <c:v>-0.331690347401849</c:v>
                </c:pt>
              </c:numCache>
            </c:numRef>
          </c:val>
          <c:extLst xmlns:c16r2="http://schemas.microsoft.com/office/drawing/2015/06/chart">
            <c:ext xmlns:c16="http://schemas.microsoft.com/office/drawing/2014/chart" uri="{C3380CC4-5D6E-409C-BE32-E72D297353CC}">
              <c16:uniqueId val="{00000000-5ED5-40C8-B74C-D4C501886B61}"/>
            </c:ext>
          </c:extLst>
        </c:ser>
        <c:ser>
          <c:idx val="2"/>
          <c:order val="2"/>
          <c:tx>
            <c:v>Second order education control</c:v>
          </c:tx>
          <c:spPr>
            <a:solidFill>
              <a:schemeClr val="accent1"/>
            </a:solidFill>
          </c:spPr>
          <c:invertIfNegative val="0"/>
          <c:cat>
            <c:numRef>
              <c:f>'education OVB'!$AN$4:$AN$26</c:f>
              <c:numCache>
                <c:formatCode>General</c:formatCode>
                <c:ptCount val="23"/>
                <c:pt idx="0">
                  <c:v>1885</c:v>
                </c:pt>
                <c:pt idx="1">
                  <c:v>1890</c:v>
                </c:pt>
                <c:pt idx="2">
                  <c:v>1895</c:v>
                </c:pt>
                <c:pt idx="3">
                  <c:v>1900</c:v>
                </c:pt>
                <c:pt idx="4">
                  <c:v>1905</c:v>
                </c:pt>
                <c:pt idx="5">
                  <c:v>1910</c:v>
                </c:pt>
                <c:pt idx="6">
                  <c:v>1915</c:v>
                </c:pt>
                <c:pt idx="7">
                  <c:v>1920</c:v>
                </c:pt>
                <c:pt idx="8">
                  <c:v>1925</c:v>
                </c:pt>
                <c:pt idx="9">
                  <c:v>1930</c:v>
                </c:pt>
                <c:pt idx="10">
                  <c:v>1935</c:v>
                </c:pt>
                <c:pt idx="11">
                  <c:v>1940</c:v>
                </c:pt>
                <c:pt idx="12">
                  <c:v>1945</c:v>
                </c:pt>
                <c:pt idx="13">
                  <c:v>1950</c:v>
                </c:pt>
                <c:pt idx="14">
                  <c:v>1955</c:v>
                </c:pt>
                <c:pt idx="15">
                  <c:v>1960</c:v>
                </c:pt>
                <c:pt idx="16">
                  <c:v>1965</c:v>
                </c:pt>
                <c:pt idx="17">
                  <c:v>1970</c:v>
                </c:pt>
                <c:pt idx="18">
                  <c:v>1975</c:v>
                </c:pt>
                <c:pt idx="19">
                  <c:v>1980</c:v>
                </c:pt>
                <c:pt idx="20">
                  <c:v>1985</c:v>
                </c:pt>
                <c:pt idx="21">
                  <c:v>1990</c:v>
                </c:pt>
                <c:pt idx="22">
                  <c:v>1995</c:v>
                </c:pt>
              </c:numCache>
            </c:numRef>
          </c:cat>
          <c:val>
            <c:numRef>
              <c:f>'education OVB'!$AQ$38:$AQ$60</c:f>
              <c:numCache>
                <c:formatCode>General</c:formatCode>
                <c:ptCount val="23"/>
                <c:pt idx="0">
                  <c:v>-3.8749868419710197E-2</c:v>
                </c:pt>
                <c:pt idx="1">
                  <c:v>-2.0443057406054E-2</c:v>
                </c:pt>
                <c:pt idx="2">
                  <c:v>-1.28648167089528E-2</c:v>
                </c:pt>
                <c:pt idx="3">
                  <c:v>5.2865760118515504E-3</c:v>
                </c:pt>
                <c:pt idx="4">
                  <c:v>-1.5353311432747299E-2</c:v>
                </c:pt>
                <c:pt idx="5">
                  <c:v>-2.5377543905128499E-2</c:v>
                </c:pt>
                <c:pt idx="6">
                  <c:v>-3.24176982916713E-2</c:v>
                </c:pt>
                <c:pt idx="7">
                  <c:v>-3.4878774230802198E-2</c:v>
                </c:pt>
                <c:pt idx="8">
                  <c:v>-4.1057338674864399E-2</c:v>
                </c:pt>
                <c:pt idx="9">
                  <c:v>-5.5669331959638697E-2</c:v>
                </c:pt>
                <c:pt idx="10">
                  <c:v>-6.9387580491944406E-2</c:v>
                </c:pt>
                <c:pt idx="11">
                  <c:v>-7.4949840151004907E-2</c:v>
                </c:pt>
                <c:pt idx="12">
                  <c:v>-8.0475825080258606E-2</c:v>
                </c:pt>
                <c:pt idx="13">
                  <c:v>-8.8310894209441299E-2</c:v>
                </c:pt>
                <c:pt idx="14">
                  <c:v>-9.3758435277048996E-2</c:v>
                </c:pt>
                <c:pt idx="15">
                  <c:v>-0.10048634466987701</c:v>
                </c:pt>
                <c:pt idx="16">
                  <c:v>-0.106345613422808</c:v>
                </c:pt>
                <c:pt idx="17">
                  <c:v>-0.110788208038543</c:v>
                </c:pt>
                <c:pt idx="18">
                  <c:v>-0.11013996800164701</c:v>
                </c:pt>
                <c:pt idx="19">
                  <c:v>-0.11286792506016501</c:v>
                </c:pt>
                <c:pt idx="20">
                  <c:v>-0.11740139942806101</c:v>
                </c:pt>
                <c:pt idx="21">
                  <c:v>-0.125165563295902</c:v>
                </c:pt>
                <c:pt idx="22">
                  <c:v>-0.138260546585107</c:v>
                </c:pt>
              </c:numCache>
            </c:numRef>
          </c:val>
          <c:extLst xmlns:c16r2="http://schemas.microsoft.com/office/drawing/2015/06/chart">
            <c:ext xmlns:c16="http://schemas.microsoft.com/office/drawing/2014/chart" uri="{C3380CC4-5D6E-409C-BE32-E72D297353CC}">
              <c16:uniqueId val="{00000001-5ED5-40C8-B74C-D4C501886B61}"/>
            </c:ext>
          </c:extLst>
        </c:ser>
        <c:ser>
          <c:idx val="3"/>
          <c:order val="3"/>
          <c:tx>
            <c:v>Third order education control</c:v>
          </c:tx>
          <c:spPr>
            <a:solidFill>
              <a:schemeClr val="accent1">
                <a:lumMod val="60000"/>
                <a:lumOff val="40000"/>
              </a:schemeClr>
            </a:solidFill>
          </c:spPr>
          <c:invertIfNegative val="0"/>
          <c:val>
            <c:numRef>
              <c:f>'education OVB'!$AR$38:$AR$60</c:f>
              <c:numCache>
                <c:formatCode>General</c:formatCode>
                <c:ptCount val="23"/>
                <c:pt idx="0">
                  <c:v>4.2280667969122401E-2</c:v>
                </c:pt>
                <c:pt idx="1">
                  <c:v>5.5500198387775201E-2</c:v>
                </c:pt>
                <c:pt idx="2">
                  <c:v>3.1208629527233502E-2</c:v>
                </c:pt>
                <c:pt idx="3">
                  <c:v>-6.91706066669176E-3</c:v>
                </c:pt>
                <c:pt idx="4">
                  <c:v>1.6860828190420601E-2</c:v>
                </c:pt>
                <c:pt idx="5">
                  <c:v>2.6213313908594601E-2</c:v>
                </c:pt>
                <c:pt idx="6">
                  <c:v>3.1194720877254199E-2</c:v>
                </c:pt>
                <c:pt idx="7">
                  <c:v>3.3193805617660402E-2</c:v>
                </c:pt>
                <c:pt idx="8">
                  <c:v>3.6114079689104003E-2</c:v>
                </c:pt>
                <c:pt idx="9">
                  <c:v>4.60389174781691E-2</c:v>
                </c:pt>
                <c:pt idx="10">
                  <c:v>5.6526336983747399E-2</c:v>
                </c:pt>
                <c:pt idx="11">
                  <c:v>5.9487809003461102E-2</c:v>
                </c:pt>
                <c:pt idx="12">
                  <c:v>6.1706639928154797E-2</c:v>
                </c:pt>
                <c:pt idx="13">
                  <c:v>6.5255463473399403E-2</c:v>
                </c:pt>
                <c:pt idx="14">
                  <c:v>6.8580732968045205E-2</c:v>
                </c:pt>
                <c:pt idx="15">
                  <c:v>7.2134106563555705E-2</c:v>
                </c:pt>
                <c:pt idx="16">
                  <c:v>7.4759730838363195E-2</c:v>
                </c:pt>
                <c:pt idx="17">
                  <c:v>7.5515072562060595E-2</c:v>
                </c:pt>
                <c:pt idx="18">
                  <c:v>7.8335168380063505E-2</c:v>
                </c:pt>
                <c:pt idx="19">
                  <c:v>7.6095363323101198E-2</c:v>
                </c:pt>
                <c:pt idx="20">
                  <c:v>7.3524586346259302E-2</c:v>
                </c:pt>
                <c:pt idx="21">
                  <c:v>7.0844044584748495E-2</c:v>
                </c:pt>
                <c:pt idx="22">
                  <c:v>8.6991193986956997E-2</c:v>
                </c:pt>
              </c:numCache>
            </c:numRef>
          </c:val>
          <c:extLst xmlns:c16r2="http://schemas.microsoft.com/office/drawing/2015/06/chart">
            <c:ext xmlns:c16="http://schemas.microsoft.com/office/drawing/2014/chart" uri="{C3380CC4-5D6E-409C-BE32-E72D297353CC}">
              <c16:uniqueId val="{00000002-5ED5-40C8-B74C-D4C501886B61}"/>
            </c:ext>
          </c:extLst>
        </c:ser>
        <c:dLbls>
          <c:showLegendKey val="0"/>
          <c:showVal val="0"/>
          <c:showCatName val="0"/>
          <c:showSerName val="0"/>
          <c:showPercent val="0"/>
          <c:showBubbleSize val="0"/>
        </c:dLbls>
        <c:gapWidth val="0"/>
        <c:overlap val="100"/>
        <c:axId val="130366080"/>
        <c:axId val="130367872"/>
      </c:barChart>
      <c:lineChart>
        <c:grouping val="standard"/>
        <c:varyColors val="0"/>
        <c:ser>
          <c:idx val="0"/>
          <c:order val="0"/>
          <c:tx>
            <c:v>Omitted variable bias</c:v>
          </c:tx>
          <c:spPr>
            <a:ln>
              <a:solidFill>
                <a:schemeClr val="tx1"/>
              </a:solidFill>
            </a:ln>
          </c:spPr>
          <c:marker>
            <c:symbol val="none"/>
          </c:marker>
          <c:cat>
            <c:numRef>
              <c:f>'education OVB'!$AN$4:$AN$26</c:f>
              <c:numCache>
                <c:formatCode>General</c:formatCode>
                <c:ptCount val="23"/>
                <c:pt idx="0">
                  <c:v>1885</c:v>
                </c:pt>
                <c:pt idx="1">
                  <c:v>1890</c:v>
                </c:pt>
                <c:pt idx="2">
                  <c:v>1895</c:v>
                </c:pt>
                <c:pt idx="3">
                  <c:v>1900</c:v>
                </c:pt>
                <c:pt idx="4">
                  <c:v>1905</c:v>
                </c:pt>
                <c:pt idx="5">
                  <c:v>1910</c:v>
                </c:pt>
                <c:pt idx="6">
                  <c:v>1915</c:v>
                </c:pt>
                <c:pt idx="7">
                  <c:v>1920</c:v>
                </c:pt>
                <c:pt idx="8">
                  <c:v>1925</c:v>
                </c:pt>
                <c:pt idx="9">
                  <c:v>1930</c:v>
                </c:pt>
                <c:pt idx="10">
                  <c:v>1935</c:v>
                </c:pt>
                <c:pt idx="11">
                  <c:v>1940</c:v>
                </c:pt>
                <c:pt idx="12">
                  <c:v>1945</c:v>
                </c:pt>
                <c:pt idx="13">
                  <c:v>1950</c:v>
                </c:pt>
                <c:pt idx="14">
                  <c:v>1955</c:v>
                </c:pt>
                <c:pt idx="15">
                  <c:v>1960</c:v>
                </c:pt>
                <c:pt idx="16">
                  <c:v>1965</c:v>
                </c:pt>
                <c:pt idx="17">
                  <c:v>1970</c:v>
                </c:pt>
                <c:pt idx="18">
                  <c:v>1975</c:v>
                </c:pt>
                <c:pt idx="19">
                  <c:v>1980</c:v>
                </c:pt>
                <c:pt idx="20">
                  <c:v>1985</c:v>
                </c:pt>
                <c:pt idx="21">
                  <c:v>1990</c:v>
                </c:pt>
                <c:pt idx="22">
                  <c:v>1995</c:v>
                </c:pt>
              </c:numCache>
            </c:numRef>
          </c:cat>
          <c:val>
            <c:numRef>
              <c:f>'education OVB'!$AC$4:$AC$26</c:f>
              <c:numCache>
                <c:formatCode>General</c:formatCode>
                <c:ptCount val="23"/>
                <c:pt idx="0">
                  <c:v>-8.8801500000000005E-2</c:v>
                </c:pt>
                <c:pt idx="1">
                  <c:v>7.3637400000000006E-2</c:v>
                </c:pt>
                <c:pt idx="2">
                  <c:v>0</c:v>
                </c:pt>
                <c:pt idx="3">
                  <c:v>4.05930000000004E-3</c:v>
                </c:pt>
                <c:pt idx="4">
                  <c:v>-2.06578E-2</c:v>
                </c:pt>
                <c:pt idx="5">
                  <c:v>-3.7210199999999902E-2</c:v>
                </c:pt>
                <c:pt idx="6">
                  <c:v>-5.67316E-2</c:v>
                </c:pt>
                <c:pt idx="7">
                  <c:v>-5.7466799999999998E-2</c:v>
                </c:pt>
                <c:pt idx="8">
                  <c:v>-8.1190200000000004E-2</c:v>
                </c:pt>
                <c:pt idx="9">
                  <c:v>-0.11926050000000001</c:v>
                </c:pt>
                <c:pt idx="10">
                  <c:v>-0.15241730000000001</c:v>
                </c:pt>
                <c:pt idx="11">
                  <c:v>-0.17017409999999999</c:v>
                </c:pt>
                <c:pt idx="12">
                  <c:v>-0.1888349</c:v>
                </c:pt>
                <c:pt idx="13">
                  <c:v>-0.21897430000000001</c:v>
                </c:pt>
                <c:pt idx="14">
                  <c:v>-0.23181560000000001</c:v>
                </c:pt>
                <c:pt idx="15">
                  <c:v>-0.25192979999999998</c:v>
                </c:pt>
                <c:pt idx="16">
                  <c:v>-0.27536569999999999</c:v>
                </c:pt>
                <c:pt idx="17">
                  <c:v>-0.29972140000000003</c:v>
                </c:pt>
                <c:pt idx="18">
                  <c:v>-0.34948040000000002</c:v>
                </c:pt>
                <c:pt idx="19">
                  <c:v>-0.3742685</c:v>
                </c:pt>
                <c:pt idx="20">
                  <c:v>-0.39754289999999998</c:v>
                </c:pt>
                <c:pt idx="21">
                  <c:v>-0.4435306</c:v>
                </c:pt>
                <c:pt idx="22">
                  <c:v>-0.38295970000000001</c:v>
                </c:pt>
              </c:numCache>
            </c:numRef>
          </c:val>
          <c:smooth val="1"/>
          <c:extLst xmlns:c16r2="http://schemas.microsoft.com/office/drawing/2015/06/chart">
            <c:ext xmlns:c16="http://schemas.microsoft.com/office/drawing/2014/chart" uri="{C3380CC4-5D6E-409C-BE32-E72D297353CC}">
              <c16:uniqueId val="{00000003-5ED5-40C8-B74C-D4C501886B61}"/>
            </c:ext>
          </c:extLst>
        </c:ser>
        <c:dLbls>
          <c:showLegendKey val="0"/>
          <c:showVal val="0"/>
          <c:showCatName val="0"/>
          <c:showSerName val="0"/>
          <c:showPercent val="0"/>
          <c:showBubbleSize val="0"/>
        </c:dLbls>
        <c:marker val="1"/>
        <c:smooth val="0"/>
        <c:axId val="130366080"/>
        <c:axId val="130367872"/>
      </c:lineChart>
      <c:catAx>
        <c:axId val="130366080"/>
        <c:scaling>
          <c:orientation val="minMax"/>
        </c:scaling>
        <c:delete val="0"/>
        <c:axPos val="b"/>
        <c:numFmt formatCode="General" sourceLinked="1"/>
        <c:majorTickMark val="out"/>
        <c:minorTickMark val="none"/>
        <c:tickLblPos val="low"/>
        <c:crossAx val="130367872"/>
        <c:crosses val="autoZero"/>
        <c:auto val="1"/>
        <c:lblAlgn val="ctr"/>
        <c:lblOffset val="100"/>
        <c:tickLblSkip val="3"/>
        <c:noMultiLvlLbl val="0"/>
      </c:catAx>
      <c:valAx>
        <c:axId val="130367872"/>
        <c:scaling>
          <c:orientation val="minMax"/>
        </c:scaling>
        <c:delete val="0"/>
        <c:axPos val="l"/>
        <c:numFmt formatCode="General" sourceLinked="1"/>
        <c:majorTickMark val="in"/>
        <c:minorTickMark val="none"/>
        <c:tickLblPos val="nextTo"/>
        <c:crossAx val="130366080"/>
        <c:crosses val="autoZero"/>
        <c:crossBetween val="between"/>
      </c:valAx>
      <c:spPr>
        <a:ln>
          <a:solidFill>
            <a:schemeClr val="tx1">
              <a:lumMod val="15000"/>
              <a:lumOff val="85000"/>
            </a:schemeClr>
          </a:solidFill>
        </a:ln>
      </c:spPr>
    </c:plotArea>
    <c:legend>
      <c:legendPos val="r"/>
      <c:legendEntry>
        <c:idx val="3"/>
        <c:delete val="1"/>
      </c:legendEntry>
      <c:layout>
        <c:manualLayout>
          <c:xMode val="edge"/>
          <c:yMode val="edge"/>
          <c:x val="0.11491252617813"/>
          <c:y val="0.43409991427433597"/>
          <c:w val="0.252242969628796"/>
          <c:h val="0.41671807956511703"/>
        </c:manualLayout>
      </c:layout>
      <c:overlay val="0"/>
    </c:legend>
    <c:plotVisOnly val="1"/>
    <c:dispBlanksAs val="gap"/>
    <c:showDLblsOverMax val="0"/>
  </c:chart>
  <c:spPr>
    <a:ln>
      <a:noFill/>
    </a:ln>
  </c:spPr>
  <c:txPr>
    <a:bodyPr/>
    <a:lstStyle/>
    <a:p>
      <a:pPr>
        <a:defRPr sz="800">
          <a:latin typeface="+mn-lt"/>
          <a:cs typeface="Arial" panose="020B0604020202020204" pitchFamily="34" charset="0"/>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0.43772</cdr:x>
      <cdr:y>0.58349</cdr:y>
    </cdr:from>
    <cdr:to>
      <cdr:x>0.62075</cdr:x>
      <cdr:y>0.80349</cdr:y>
    </cdr:to>
    <cdr:sp macro="" textlink="">
      <cdr:nvSpPr>
        <cdr:cNvPr id="2" name="TextBox 1"/>
        <cdr:cNvSpPr txBox="1"/>
      </cdr:nvSpPr>
      <cdr:spPr>
        <a:xfrm xmlns:a="http://schemas.openxmlformats.org/drawingml/2006/main">
          <a:off x="2601620" y="1297173"/>
          <a:ext cx="1087879" cy="48909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b="1">
              <a:latin typeface="Arial" panose="020B0604020202020204" pitchFamily="34" charset="0"/>
              <a:cs typeface="Arial" panose="020B0604020202020204" pitchFamily="34" charset="0"/>
            </a:rPr>
            <a:t>Total omitted variable bias</a:t>
          </a:r>
        </a:p>
      </cdr:txBody>
    </cdr:sp>
  </cdr:relSizeAnchor>
  <cdr:relSizeAnchor xmlns:cdr="http://schemas.openxmlformats.org/drawingml/2006/chartDrawing">
    <cdr:from>
      <cdr:x>0.0315</cdr:x>
      <cdr:y>0</cdr:y>
    </cdr:from>
    <cdr:to>
      <cdr:x>0.3878</cdr:x>
      <cdr:y>0.09128</cdr:y>
    </cdr:to>
    <cdr:sp macro="" textlink="">
      <cdr:nvSpPr>
        <cdr:cNvPr id="3" name="Text Box 2"/>
        <cdr:cNvSpPr txBox="1"/>
      </cdr:nvSpPr>
      <cdr:spPr>
        <a:xfrm xmlns:a="http://schemas.openxmlformats.org/drawingml/2006/main">
          <a:off x="170121" y="0"/>
          <a:ext cx="1924493" cy="2445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800">
              <a:latin typeface="Arial" panose="020B0604020202020204" pitchFamily="34" charset="0"/>
              <a:cs typeface="Arial" panose="020B0604020202020204" pitchFamily="34" charset="0"/>
            </a:rPr>
            <a:t>Impact on cohort</a:t>
          </a:r>
          <a:r>
            <a:rPr lang="en-GB" sz="800" baseline="0">
              <a:latin typeface="Arial" panose="020B0604020202020204" pitchFamily="34" charset="0"/>
              <a:cs typeface="Arial" panose="020B0604020202020204" pitchFamily="34" charset="0"/>
            </a:rPr>
            <a:t> </a:t>
          </a:r>
          <a:r>
            <a:rPr lang="en-GB" sz="800">
              <a:latin typeface="Arial" panose="020B0604020202020204" pitchFamily="34" charset="0"/>
              <a:cs typeface="Arial" panose="020B0604020202020204" pitchFamily="34" charset="0"/>
            </a:rPr>
            <a:t>effects</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2018-10-24T00:00:00</PublishDate>
  <Abstract> In the UK’s 2016 referendum on EU membership, young voters were more likely than their elders to vote Remain. Applying new methods to a half century of data, we show that this pattern reflects both ageing and cohort effects.  Although voters become more Eurosceptical as they age, recent cohorts are also more pro-European than their predecessors.  Much of the pro-Europeanism of these recent cohorts is accounted for by their greater years of education. Going forward, the ageing of the electorate will thus be offset by the replacement of older cohorts with younger, better-educated and more pro-European ones. But we also document large nationwide swings in sentiment that have little to do with either seasoning or cohort effects.  Hence these demographic trends are unlikely to be the decisive determinants of future changes in European sentiment. Rather, nationwide changes in sentiment, reflecting macroeconomic or other conditions, and the age-turnout gradient will be key.</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C0CA19-5DBB-43BE-A41E-6881D517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35</Pages>
  <Words>7564</Words>
  <Characters>43115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Will Brexit Age Well?</vt:lpstr>
    </vt:vector>
  </TitlesOfParts>
  <Company>Bank of England</Company>
  <LinksUpToDate>false</LinksUpToDate>
  <CharactersWithSpaces>50578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 Brexit Age Well?</dc:title>
  <dc:subject>Cohorts, Seasoning and the Age-Leave Gradient,     Past, Present and Future</dc:subject>
  <dc:creator>Mari, Rebecca</dc:creator>
  <cp:lastModifiedBy>Barry Eichengreen</cp:lastModifiedBy>
  <cp:revision>4</cp:revision>
  <cp:lastPrinted>2018-10-16T13:19:00Z</cp:lastPrinted>
  <dcterms:created xsi:type="dcterms:W3CDTF">2018-10-24T16:43:00Z</dcterms:created>
  <dcterms:modified xsi:type="dcterms:W3CDTF">2018-10-25T16:33:00Z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Analytical 7826710</vt:lpwstr>
  </property>
  <property fmtid="{D5CDD505-2E9C-101B-9397-08002B2CF9AE}" pid="3" name="DocVer">
    <vt:lpwstr>Analytical 7826710v1</vt:lpwstr>
  </property>
</Properties>
</file>