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C1431" w14:textId="604DAEB9" w:rsidR="00070CE4" w:rsidRDefault="00070CE4" w:rsidP="002F3DF9">
      <w:pPr>
        <w:spacing w:after="0" w:line="360" w:lineRule="auto"/>
        <w:jc w:val="center"/>
        <w:rPr>
          <w:rFonts w:ascii="Times New Roman" w:hAnsi="Times New Roman" w:cs="Times New Roman"/>
          <w:sz w:val="32"/>
          <w:szCs w:val="32"/>
          <w:lang w:val="en-CA"/>
        </w:rPr>
      </w:pPr>
      <w:r>
        <w:rPr>
          <w:rFonts w:ascii="Times New Roman" w:hAnsi="Times New Roman" w:cs="Times New Roman"/>
          <w:sz w:val="32"/>
          <w:szCs w:val="32"/>
          <w:lang w:val="en-CA"/>
        </w:rPr>
        <w:t>Addendum to</w:t>
      </w:r>
    </w:p>
    <w:p w14:paraId="0DD8A650" w14:textId="3A1794B4" w:rsidR="00A33351" w:rsidRDefault="00070CE4" w:rsidP="002F3DF9">
      <w:pPr>
        <w:spacing w:after="0" w:line="360" w:lineRule="auto"/>
        <w:jc w:val="center"/>
        <w:rPr>
          <w:rFonts w:ascii="Times New Roman" w:hAnsi="Times New Roman" w:cs="Times New Roman"/>
          <w:sz w:val="32"/>
          <w:szCs w:val="32"/>
          <w:lang w:val="en-CA"/>
        </w:rPr>
      </w:pPr>
      <w:r>
        <w:rPr>
          <w:rFonts w:ascii="Times New Roman" w:hAnsi="Times New Roman" w:cs="Times New Roman"/>
          <w:sz w:val="32"/>
          <w:szCs w:val="32"/>
          <w:lang w:val="en-CA"/>
        </w:rPr>
        <w:t>“</w:t>
      </w:r>
      <w:r w:rsidR="00CF7F4E" w:rsidRPr="00BA5FCD">
        <w:rPr>
          <w:rFonts w:ascii="Times New Roman" w:hAnsi="Times New Roman" w:cs="Times New Roman"/>
          <w:sz w:val="32"/>
          <w:szCs w:val="32"/>
          <w:lang w:val="en-CA"/>
        </w:rPr>
        <w:t>Re</w:t>
      </w:r>
      <w:r w:rsidR="00CF7F4E">
        <w:rPr>
          <w:rFonts w:ascii="Times New Roman" w:hAnsi="Times New Roman" w:cs="Times New Roman"/>
          <w:sz w:val="32"/>
          <w:szCs w:val="32"/>
          <w:lang w:val="en-CA"/>
        </w:rPr>
        <w:t>conciling the Conflicting Narratives on P</w:t>
      </w:r>
      <w:r w:rsidR="00CF7F4E" w:rsidRPr="00BA5FCD">
        <w:rPr>
          <w:rFonts w:ascii="Times New Roman" w:hAnsi="Times New Roman" w:cs="Times New Roman"/>
          <w:sz w:val="32"/>
          <w:szCs w:val="32"/>
          <w:lang w:val="en-CA"/>
        </w:rPr>
        <w:t>overty in China</w:t>
      </w:r>
      <w:r>
        <w:rPr>
          <w:rFonts w:ascii="Times New Roman" w:hAnsi="Times New Roman" w:cs="Times New Roman"/>
          <w:sz w:val="32"/>
          <w:szCs w:val="32"/>
          <w:lang w:val="en-CA"/>
        </w:rPr>
        <w:t>”</w:t>
      </w:r>
      <w:r w:rsidR="0048196A" w:rsidRPr="00CF0FC8">
        <w:rPr>
          <w:rFonts w:ascii="Times New Roman" w:hAnsi="Times New Roman" w:cs="Times New Roman"/>
          <w:sz w:val="24"/>
          <w:szCs w:val="24"/>
          <w:lang w:val="en-CA"/>
        </w:rPr>
        <w:t xml:space="preserve"> </w:t>
      </w:r>
    </w:p>
    <w:p w14:paraId="2E6A02F1" w14:textId="77777777" w:rsidR="002F3DF9" w:rsidRPr="00BA5FCD" w:rsidRDefault="002F3DF9" w:rsidP="002F3DF9">
      <w:pPr>
        <w:spacing w:after="0" w:line="360" w:lineRule="auto"/>
        <w:jc w:val="center"/>
        <w:rPr>
          <w:rFonts w:ascii="Times New Roman" w:hAnsi="Times New Roman" w:cs="Times New Roman"/>
          <w:sz w:val="32"/>
          <w:szCs w:val="32"/>
          <w:lang w:val="en-CA"/>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630"/>
        <w:gridCol w:w="2880"/>
      </w:tblGrid>
      <w:tr w:rsidR="006F132A" w14:paraId="35625485" w14:textId="77777777" w:rsidTr="0092203B">
        <w:trPr>
          <w:trHeight w:val="333"/>
        </w:trPr>
        <w:tc>
          <w:tcPr>
            <w:tcW w:w="3240" w:type="dxa"/>
          </w:tcPr>
          <w:p w14:paraId="437B5E61" w14:textId="286E08E2" w:rsidR="006F132A" w:rsidRPr="006F132A" w:rsidRDefault="006F132A" w:rsidP="004C5EBD">
            <w:pPr>
              <w:spacing w:after="0" w:line="240" w:lineRule="auto"/>
              <w:jc w:val="center"/>
              <w:rPr>
                <w:rFonts w:ascii="Times New Roman" w:hAnsi="Times New Roman" w:cs="Times New Roman"/>
                <w:sz w:val="26"/>
                <w:szCs w:val="26"/>
              </w:rPr>
            </w:pPr>
            <w:r w:rsidRPr="006F132A">
              <w:rPr>
                <w:rFonts w:ascii="Times New Roman" w:hAnsi="Times New Roman" w:cs="Times New Roman"/>
                <w:sz w:val="26"/>
                <w:szCs w:val="26"/>
              </w:rPr>
              <w:t>Shaohua Chen</w:t>
            </w:r>
          </w:p>
        </w:tc>
        <w:tc>
          <w:tcPr>
            <w:tcW w:w="630" w:type="dxa"/>
          </w:tcPr>
          <w:p w14:paraId="6EE09630" w14:textId="4C927152" w:rsidR="006F132A" w:rsidRPr="006F132A" w:rsidRDefault="006F132A" w:rsidP="004C5EBD">
            <w:pPr>
              <w:spacing w:after="0" w:line="240" w:lineRule="auto"/>
              <w:jc w:val="center"/>
              <w:rPr>
                <w:rFonts w:ascii="Times New Roman" w:hAnsi="Times New Roman" w:cs="Times New Roman"/>
                <w:sz w:val="26"/>
                <w:szCs w:val="26"/>
              </w:rPr>
            </w:pPr>
            <w:r w:rsidRPr="006F132A">
              <w:rPr>
                <w:rFonts w:ascii="Times New Roman" w:hAnsi="Times New Roman" w:cs="Times New Roman"/>
                <w:sz w:val="26"/>
                <w:szCs w:val="26"/>
              </w:rPr>
              <w:t xml:space="preserve">and </w:t>
            </w:r>
          </w:p>
        </w:tc>
        <w:tc>
          <w:tcPr>
            <w:tcW w:w="2880" w:type="dxa"/>
          </w:tcPr>
          <w:p w14:paraId="38EE9F4E" w14:textId="29D10210" w:rsidR="006F132A" w:rsidRPr="006F132A" w:rsidRDefault="006F132A" w:rsidP="004C5EBD">
            <w:pPr>
              <w:spacing w:after="0" w:line="240" w:lineRule="auto"/>
              <w:jc w:val="center"/>
              <w:rPr>
                <w:rFonts w:ascii="Times New Roman" w:hAnsi="Times New Roman" w:cs="Times New Roman"/>
                <w:sz w:val="26"/>
                <w:szCs w:val="26"/>
              </w:rPr>
            </w:pPr>
            <w:r w:rsidRPr="006F132A">
              <w:rPr>
                <w:rFonts w:ascii="Times New Roman" w:hAnsi="Times New Roman" w:cs="Times New Roman"/>
                <w:sz w:val="26"/>
                <w:szCs w:val="26"/>
              </w:rPr>
              <w:t>Martin Ravallion</w:t>
            </w:r>
          </w:p>
        </w:tc>
      </w:tr>
      <w:tr w:rsidR="006F132A" w14:paraId="4054DDBF" w14:textId="77777777" w:rsidTr="0092203B">
        <w:tc>
          <w:tcPr>
            <w:tcW w:w="3240" w:type="dxa"/>
          </w:tcPr>
          <w:p w14:paraId="16F5818F" w14:textId="77777777" w:rsidR="00BF39B2" w:rsidRPr="005E266B" w:rsidRDefault="0092203B" w:rsidP="00BF39B2">
            <w:pPr>
              <w:spacing w:after="0" w:line="240" w:lineRule="auto"/>
              <w:jc w:val="center"/>
              <w:rPr>
                <w:rFonts w:ascii="Times New Roman" w:hAnsi="Times New Roman" w:cs="Times New Roman"/>
                <w:i/>
                <w:iCs/>
                <w:color w:val="222222"/>
                <w:sz w:val="24"/>
                <w:szCs w:val="24"/>
                <w:shd w:val="clear" w:color="auto" w:fill="FFFFFF"/>
              </w:rPr>
            </w:pPr>
            <w:r w:rsidRPr="005E266B">
              <w:rPr>
                <w:rFonts w:ascii="Times New Roman" w:hAnsi="Times New Roman" w:cs="Times New Roman"/>
                <w:i/>
                <w:iCs/>
                <w:color w:val="222222"/>
                <w:sz w:val="24"/>
                <w:szCs w:val="24"/>
                <w:shd w:val="clear" w:color="auto" w:fill="FFFFFF"/>
              </w:rPr>
              <w:t xml:space="preserve">Key </w:t>
            </w:r>
            <w:r w:rsidR="00DA561B" w:rsidRPr="005E266B">
              <w:rPr>
                <w:rFonts w:ascii="Times New Roman" w:hAnsi="Times New Roman" w:cs="Times New Roman"/>
                <w:i/>
                <w:iCs/>
                <w:color w:val="222222"/>
                <w:sz w:val="24"/>
                <w:szCs w:val="24"/>
                <w:shd w:val="clear" w:color="auto" w:fill="FFFFFF"/>
              </w:rPr>
              <w:t>Econometrics Lab and </w:t>
            </w:r>
          </w:p>
          <w:p w14:paraId="5B106924" w14:textId="31F82022" w:rsidR="00BF39B2" w:rsidRPr="005E266B" w:rsidRDefault="00DA561B" w:rsidP="00BF39B2">
            <w:pPr>
              <w:spacing w:after="0" w:line="240" w:lineRule="auto"/>
              <w:jc w:val="center"/>
              <w:rPr>
                <w:rFonts w:ascii="Times New Roman" w:hAnsi="Times New Roman" w:cs="Times New Roman"/>
                <w:i/>
                <w:iCs/>
                <w:color w:val="222222"/>
                <w:sz w:val="24"/>
                <w:szCs w:val="24"/>
                <w:shd w:val="clear" w:color="auto" w:fill="FFFFFF"/>
              </w:rPr>
            </w:pPr>
            <w:r w:rsidRPr="005E266B">
              <w:rPr>
                <w:rFonts w:ascii="Times New Roman" w:hAnsi="Times New Roman" w:cs="Times New Roman"/>
                <w:i/>
                <w:iCs/>
                <w:color w:val="222222"/>
                <w:sz w:val="24"/>
                <w:szCs w:val="24"/>
                <w:shd w:val="clear" w:color="auto" w:fill="FFFFFF"/>
              </w:rPr>
              <w:t xml:space="preserve">Gregory Chow Center for Economic Research, </w:t>
            </w:r>
          </w:p>
          <w:p w14:paraId="18513C59" w14:textId="29311571" w:rsidR="006F132A" w:rsidRPr="0092203B" w:rsidRDefault="00DA561B" w:rsidP="0092203B">
            <w:pPr>
              <w:spacing w:line="240" w:lineRule="auto"/>
              <w:jc w:val="center"/>
              <w:rPr>
                <w:rFonts w:ascii="Times New Roman" w:hAnsi="Times New Roman" w:cs="Times New Roman"/>
                <w:color w:val="222222"/>
                <w:sz w:val="24"/>
                <w:szCs w:val="24"/>
                <w:shd w:val="clear" w:color="auto" w:fill="FFFFFF"/>
              </w:rPr>
            </w:pPr>
            <w:r w:rsidRPr="005E266B">
              <w:rPr>
                <w:rFonts w:ascii="Times New Roman" w:hAnsi="Times New Roman" w:cs="Times New Roman"/>
                <w:i/>
                <w:iCs/>
                <w:color w:val="222222"/>
                <w:sz w:val="24"/>
                <w:szCs w:val="24"/>
                <w:shd w:val="clear" w:color="auto" w:fill="FFFFFF"/>
              </w:rPr>
              <w:t>Xiamen University</w:t>
            </w:r>
            <w:r w:rsidR="004C5EBD" w:rsidRPr="005E266B">
              <w:rPr>
                <w:rFonts w:ascii="Times New Roman" w:hAnsi="Times New Roman" w:cs="Times New Roman"/>
                <w:i/>
                <w:iCs/>
                <w:color w:val="222222"/>
                <w:sz w:val="24"/>
                <w:szCs w:val="24"/>
                <w:shd w:val="clear" w:color="auto" w:fill="FFFFFF"/>
              </w:rPr>
              <w:t>, China</w:t>
            </w:r>
          </w:p>
        </w:tc>
        <w:tc>
          <w:tcPr>
            <w:tcW w:w="630" w:type="dxa"/>
          </w:tcPr>
          <w:p w14:paraId="7F84E77D" w14:textId="77777777" w:rsidR="006F132A" w:rsidRPr="00DA561B" w:rsidRDefault="006F132A" w:rsidP="004C5EBD">
            <w:pPr>
              <w:spacing w:line="240" w:lineRule="auto"/>
              <w:jc w:val="center"/>
              <w:rPr>
                <w:rFonts w:ascii="Times New Roman" w:hAnsi="Times New Roman" w:cs="Times New Roman"/>
                <w:sz w:val="24"/>
                <w:szCs w:val="24"/>
              </w:rPr>
            </w:pPr>
          </w:p>
        </w:tc>
        <w:tc>
          <w:tcPr>
            <w:tcW w:w="2880" w:type="dxa"/>
          </w:tcPr>
          <w:p w14:paraId="28B1995A" w14:textId="64C69F1E" w:rsidR="006F132A" w:rsidRPr="005E266B" w:rsidRDefault="006F132A" w:rsidP="004C5EBD">
            <w:pPr>
              <w:spacing w:line="240" w:lineRule="auto"/>
              <w:jc w:val="center"/>
              <w:rPr>
                <w:rFonts w:ascii="Times New Roman" w:hAnsi="Times New Roman" w:cs="Times New Roman"/>
                <w:i/>
                <w:iCs/>
                <w:sz w:val="24"/>
                <w:szCs w:val="24"/>
              </w:rPr>
            </w:pPr>
            <w:r w:rsidRPr="005E266B">
              <w:rPr>
                <w:rFonts w:ascii="Times New Roman" w:hAnsi="Times New Roman" w:cs="Times New Roman"/>
                <w:i/>
                <w:iCs/>
                <w:sz w:val="24"/>
                <w:szCs w:val="24"/>
              </w:rPr>
              <w:t>Department of Economics, Georgetown University, Washington DC</w:t>
            </w:r>
            <w:r w:rsidR="0092203B" w:rsidRPr="005E266B">
              <w:rPr>
                <w:rFonts w:ascii="Times New Roman" w:hAnsi="Times New Roman" w:cs="Times New Roman"/>
                <w:i/>
                <w:iCs/>
                <w:sz w:val="24"/>
                <w:szCs w:val="24"/>
              </w:rPr>
              <w:t xml:space="preserve"> </w:t>
            </w:r>
            <w:r w:rsidR="00DA561B" w:rsidRPr="005E266B">
              <w:rPr>
                <w:rFonts w:ascii="Times New Roman" w:hAnsi="Times New Roman" w:cs="Times New Roman"/>
                <w:i/>
                <w:iCs/>
                <w:sz w:val="24"/>
                <w:szCs w:val="24"/>
              </w:rPr>
              <w:t>and NBER</w:t>
            </w:r>
            <w:r w:rsidR="004C5EBD" w:rsidRPr="005E266B">
              <w:rPr>
                <w:rFonts w:ascii="Times New Roman" w:hAnsi="Times New Roman" w:cs="Times New Roman"/>
                <w:i/>
                <w:iCs/>
                <w:sz w:val="24"/>
                <w:szCs w:val="24"/>
              </w:rPr>
              <w:t>, USA</w:t>
            </w:r>
          </w:p>
        </w:tc>
      </w:tr>
    </w:tbl>
    <w:p w14:paraId="5E0839EC" w14:textId="77777777" w:rsidR="006F132A" w:rsidRDefault="006F132A" w:rsidP="00CB0429">
      <w:pPr>
        <w:spacing w:line="240" w:lineRule="auto"/>
        <w:jc w:val="center"/>
        <w:rPr>
          <w:rFonts w:ascii="Times New Roman" w:hAnsi="Times New Roman" w:cs="Times New Roman"/>
          <w:sz w:val="28"/>
          <w:szCs w:val="28"/>
        </w:rPr>
      </w:pPr>
    </w:p>
    <w:p w14:paraId="5442C068" w14:textId="77777777" w:rsidR="00E1655F" w:rsidRDefault="00E1655F">
      <w:pPr>
        <w:spacing w:after="0" w:line="240" w:lineRule="auto"/>
        <w:rPr>
          <w:rFonts w:ascii="Times New Roman" w:hAnsi="Times New Roman" w:cs="Times New Roman"/>
          <w:b/>
          <w:sz w:val="28"/>
          <w:szCs w:val="28"/>
          <w:lang w:val="en-CA"/>
        </w:rPr>
      </w:pPr>
      <w:r>
        <w:rPr>
          <w:rFonts w:ascii="Times New Roman" w:hAnsi="Times New Roman" w:cs="Times New Roman"/>
          <w:b/>
          <w:sz w:val="28"/>
          <w:szCs w:val="28"/>
          <w:lang w:val="en-CA"/>
        </w:rPr>
        <w:br w:type="page"/>
      </w:r>
    </w:p>
    <w:p w14:paraId="476035AB" w14:textId="010B7F0D" w:rsidR="00025280" w:rsidRPr="00070CE4" w:rsidRDefault="00070CE4" w:rsidP="00070CE4">
      <w:pPr>
        <w:spacing w:line="360" w:lineRule="auto"/>
        <w:rPr>
          <w:rFonts w:ascii="Times New Roman" w:hAnsi="Times New Roman" w:cs="Times New Roman"/>
          <w:b/>
          <w:bCs/>
          <w:sz w:val="28"/>
          <w:szCs w:val="28"/>
        </w:rPr>
      </w:pPr>
      <w:r w:rsidRPr="00070CE4">
        <w:rPr>
          <w:rFonts w:ascii="Times New Roman" w:hAnsi="Times New Roman" w:cs="Times New Roman"/>
          <w:b/>
          <w:bCs/>
          <w:sz w:val="28"/>
          <w:szCs w:val="28"/>
        </w:rPr>
        <w:lastRenderedPageBreak/>
        <w:t>A1</w:t>
      </w:r>
      <w:r w:rsidRPr="00070CE4">
        <w:rPr>
          <w:rFonts w:ascii="Times New Roman" w:hAnsi="Times New Roman" w:cs="Times New Roman"/>
          <w:b/>
          <w:bCs/>
          <w:sz w:val="28"/>
          <w:szCs w:val="28"/>
        </w:rPr>
        <w:tab/>
      </w:r>
      <w:r w:rsidR="00025280" w:rsidRPr="00070CE4">
        <w:rPr>
          <w:rFonts w:ascii="Times New Roman" w:hAnsi="Times New Roman" w:cs="Times New Roman"/>
          <w:b/>
          <w:bCs/>
          <w:sz w:val="28"/>
          <w:szCs w:val="28"/>
        </w:rPr>
        <w:t>Theoretical derivation of the weakly relative lines</w:t>
      </w:r>
      <w:r w:rsidR="00CF7F4E">
        <w:rPr>
          <w:rFonts w:ascii="Times New Roman" w:hAnsi="Times New Roman" w:cs="Times New Roman"/>
          <w:b/>
          <w:bCs/>
          <w:sz w:val="28"/>
          <w:szCs w:val="28"/>
        </w:rPr>
        <w:t xml:space="preserve"> in Section 5</w:t>
      </w:r>
      <w:r w:rsidR="00025280" w:rsidRPr="00070CE4">
        <w:rPr>
          <w:rFonts w:ascii="Times New Roman" w:hAnsi="Times New Roman" w:cs="Times New Roman"/>
          <w:b/>
          <w:bCs/>
          <w:sz w:val="28"/>
          <w:szCs w:val="28"/>
        </w:rPr>
        <w:t xml:space="preserve"> </w:t>
      </w:r>
    </w:p>
    <w:p w14:paraId="50F7B5CA" w14:textId="77777777" w:rsidR="00025280" w:rsidRPr="00BA5FCD" w:rsidRDefault="00025280" w:rsidP="00DF300C">
      <w:pPr>
        <w:spacing w:after="0" w:line="360" w:lineRule="auto"/>
        <w:ind w:firstLine="720"/>
        <w:rPr>
          <w:rFonts w:ascii="Times New Roman" w:hAnsi="Times New Roman" w:cs="Times New Roman"/>
          <w:sz w:val="24"/>
          <w:szCs w:val="24"/>
        </w:rPr>
      </w:pPr>
      <w:r w:rsidRPr="00BA5FCD">
        <w:rPr>
          <w:rFonts w:ascii="Times New Roman" w:hAnsi="Times New Roman" w:cs="Times New Roman"/>
          <w:sz w:val="24"/>
          <w:szCs w:val="24"/>
        </w:rPr>
        <w:t xml:space="preserve">The case for using a relative poverty measure is that the welfare of an individual is influenced by how he or she is doing relative to a set of comparators. We can write this as a welfare function for household </w:t>
      </w:r>
      <w:proofErr w:type="spellStart"/>
      <w:r w:rsidRPr="00BA5FCD">
        <w:rPr>
          <w:rFonts w:ascii="Times New Roman" w:hAnsi="Times New Roman" w:cs="Times New Roman"/>
          <w:i/>
          <w:sz w:val="24"/>
          <w:szCs w:val="24"/>
        </w:rPr>
        <w:t>i</w:t>
      </w:r>
      <w:proofErr w:type="spellEnd"/>
      <w:r w:rsidRPr="00BA5FCD">
        <w:rPr>
          <w:rFonts w:ascii="Times New Roman" w:hAnsi="Times New Roman" w:cs="Times New Roman"/>
          <w:sz w:val="24"/>
          <w:szCs w:val="24"/>
        </w:rPr>
        <w:t xml:space="preserve"> in date </w:t>
      </w:r>
      <w:r w:rsidRPr="00BA5FCD">
        <w:rPr>
          <w:rFonts w:ascii="Times New Roman" w:hAnsi="Times New Roman" w:cs="Times New Roman"/>
          <w:i/>
          <w:sz w:val="24"/>
          <w:szCs w:val="24"/>
        </w:rPr>
        <w:t>j</w:t>
      </w:r>
      <w:r w:rsidRPr="00BA5FCD">
        <w:rPr>
          <w:rFonts w:ascii="Times New Roman" w:hAnsi="Times New Roman" w:cs="Times New Roman"/>
          <w:sz w:val="24"/>
          <w:szCs w:val="24"/>
        </w:rPr>
        <w:t xml:space="preserve"> of the form: </w:t>
      </w:r>
    </w:p>
    <w:p w14:paraId="4A05E9F6" w14:textId="77777777" w:rsidR="00025280" w:rsidRPr="00BA5FCD" w:rsidRDefault="00025280" w:rsidP="00025280">
      <w:pPr>
        <w:spacing w:after="0" w:line="360" w:lineRule="auto"/>
        <w:ind w:left="720" w:firstLine="720"/>
        <w:rPr>
          <w:rFonts w:ascii="Times New Roman" w:hAnsi="Times New Roman" w:cs="Times New Roman"/>
          <w:sz w:val="24"/>
          <w:szCs w:val="24"/>
          <w:lang w:val="en-CA"/>
        </w:rPr>
      </w:pPr>
      <w:r w:rsidRPr="00BA5FCD">
        <w:rPr>
          <w:rFonts w:ascii="Times New Roman" w:hAnsi="Times New Roman" w:cs="Times New Roman"/>
          <w:position w:val="-14"/>
          <w:sz w:val="24"/>
          <w:szCs w:val="24"/>
        </w:rPr>
        <w:object w:dxaOrig="1880" w:dyaOrig="400" w14:anchorId="6B412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9.5pt" o:ole="">
            <v:imagedata r:id="rId8" o:title=""/>
          </v:shape>
          <o:OLEObject Type="Embed" ProgID="Equation.3" ShapeID="_x0000_i1025" DrawAspect="Content" ObjectID="_1666962216" r:id="rId9"/>
        </w:object>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t>(A1)</w:t>
      </w:r>
    </w:p>
    <w:p w14:paraId="5FED6B91" w14:textId="77777777" w:rsidR="00025280" w:rsidRPr="00BA5FCD" w:rsidRDefault="00025280" w:rsidP="00025280">
      <w:pPr>
        <w:spacing w:after="0" w:line="360" w:lineRule="auto"/>
        <w:rPr>
          <w:rFonts w:ascii="Times New Roman" w:hAnsi="Times New Roman" w:cs="Times New Roman"/>
          <w:sz w:val="24"/>
          <w:szCs w:val="24"/>
          <w:lang w:val="en-CA"/>
        </w:rPr>
      </w:pPr>
      <w:r w:rsidRPr="00BA5FCD">
        <w:rPr>
          <w:rFonts w:ascii="Times New Roman" w:hAnsi="Times New Roman" w:cs="Times New Roman"/>
          <w:sz w:val="24"/>
          <w:szCs w:val="24"/>
          <w:lang w:val="en-CA"/>
        </w:rPr>
        <w:t xml:space="preserve">where </w:t>
      </w:r>
      <w:r w:rsidRPr="00BA5FCD">
        <w:rPr>
          <w:position w:val="-14"/>
        </w:rPr>
        <w:object w:dxaOrig="300" w:dyaOrig="380" w14:anchorId="3CE7DF2F">
          <v:shape id="_x0000_i1026" type="#_x0000_t75" style="width:17.25pt;height:19.5pt" o:ole="">
            <v:imagedata r:id="rId10" o:title=""/>
          </v:shape>
          <o:OLEObject Type="Embed" ProgID="Equation.3" ShapeID="_x0000_i1026" DrawAspect="Content" ObjectID="_1666962217" r:id="rId11"/>
        </w:object>
      </w:r>
      <w:r w:rsidRPr="00BA5FCD">
        <w:rPr>
          <w:rFonts w:ascii="Times New Roman" w:hAnsi="Times New Roman" w:cs="Times New Roman"/>
          <w:sz w:val="24"/>
          <w:szCs w:val="24"/>
          <w:lang w:val="en-CA"/>
        </w:rPr>
        <w:t xml:space="preserve"> is the individual’s own consumption and</w:t>
      </w:r>
      <w:r w:rsidRPr="00BA5FCD">
        <w:rPr>
          <w:rFonts w:ascii="Times New Roman" w:hAnsi="Times New Roman" w:cs="Times New Roman"/>
          <w:sz w:val="24"/>
          <w:szCs w:val="24"/>
        </w:rPr>
        <w:t xml:space="preserve"> </w:t>
      </w:r>
      <w:r w:rsidRPr="00BA5FCD">
        <w:rPr>
          <w:position w:val="-14"/>
        </w:rPr>
        <w:object w:dxaOrig="320" w:dyaOrig="400" w14:anchorId="2669EC69">
          <v:shape id="_x0000_i1027" type="#_x0000_t75" style="width:18pt;height:19.5pt" o:ole="">
            <v:imagedata r:id="rId12" o:title=""/>
          </v:shape>
          <o:OLEObject Type="Embed" ProgID="Equation.3" ShapeID="_x0000_i1027" DrawAspect="Content" ObjectID="_1666962218" r:id="rId13"/>
        </w:object>
      </w:r>
      <w:r w:rsidRPr="00BA5FCD">
        <w:rPr>
          <w:rFonts w:ascii="Times New Roman" w:hAnsi="Times New Roman" w:cs="Times New Roman"/>
          <w:sz w:val="24"/>
          <w:szCs w:val="24"/>
        </w:rPr>
        <w:t xml:space="preserve"> </w:t>
      </w:r>
      <w:r w:rsidRPr="00BA5FCD">
        <w:rPr>
          <w:rFonts w:ascii="Times New Roman" w:hAnsi="Times New Roman" w:cs="Times New Roman"/>
          <w:sz w:val="24"/>
          <w:szCs w:val="24"/>
          <w:lang w:val="en-CA"/>
        </w:rPr>
        <w:t xml:space="preserve">is the individual’s </w:t>
      </w:r>
      <w:r w:rsidRPr="00BA5FCD">
        <w:rPr>
          <w:rFonts w:ascii="Times New Roman" w:hAnsi="Times New Roman" w:cs="Times New Roman"/>
          <w:sz w:val="24"/>
          <w:szCs w:val="24"/>
          <w:u w:val="single"/>
          <w:lang w:val="en-CA"/>
        </w:rPr>
        <w:t>comparison income</w:t>
      </w:r>
      <w:r w:rsidRPr="00BA5FCD">
        <w:rPr>
          <w:rFonts w:ascii="Times New Roman" w:hAnsi="Times New Roman" w:cs="Times New Roman"/>
          <w:sz w:val="24"/>
          <w:szCs w:val="24"/>
          <w:lang w:val="en-CA"/>
        </w:rPr>
        <w:t xml:space="preserve">. The welfare function </w:t>
      </w:r>
      <w:r w:rsidRPr="00C50FDD">
        <w:rPr>
          <w:rFonts w:ascii="Times New Roman" w:hAnsi="Times New Roman" w:cs="Times New Roman"/>
          <w:i/>
          <w:iCs/>
          <w:sz w:val="24"/>
          <w:szCs w:val="24"/>
          <w:lang w:val="en-CA"/>
        </w:rPr>
        <w:t>u</w:t>
      </w:r>
      <w:r>
        <w:rPr>
          <w:rFonts w:ascii="Times New Roman" w:hAnsi="Times New Roman" w:cs="Times New Roman"/>
          <w:sz w:val="24"/>
          <w:szCs w:val="24"/>
          <w:lang w:val="en-CA"/>
        </w:rPr>
        <w:t xml:space="preserve">(.) </w:t>
      </w:r>
      <w:r w:rsidRPr="00BA5FCD">
        <w:rPr>
          <w:rFonts w:ascii="Times New Roman" w:hAnsi="Times New Roman" w:cs="Times New Roman"/>
          <w:sz w:val="24"/>
          <w:szCs w:val="24"/>
          <w:lang w:val="en-CA"/>
        </w:rPr>
        <w:t xml:space="preserve">is taken to be smoothly and strictly increasing in relative income and smoothly non-decreasing in own income. In the literature, </w:t>
      </w:r>
      <w:r w:rsidRPr="00BA5FCD">
        <w:rPr>
          <w:rFonts w:ascii="Times New Roman" w:hAnsi="Times New Roman" w:cs="Times New Roman"/>
          <w:position w:val="-14"/>
          <w:sz w:val="24"/>
          <w:szCs w:val="24"/>
        </w:rPr>
        <w:object w:dxaOrig="320" w:dyaOrig="400" w14:anchorId="489F45EB">
          <v:shape id="_x0000_i1028" type="#_x0000_t75" style="width:18pt;height:19.5pt" o:ole="">
            <v:imagedata r:id="rId12" o:title=""/>
          </v:shape>
          <o:OLEObject Type="Embed" ProgID="Equation.3" ShapeID="_x0000_i1028" DrawAspect="Content" ObjectID="_1666962219" r:id="rId14"/>
        </w:object>
      </w:r>
      <w:r w:rsidRPr="00BA5FCD">
        <w:rPr>
          <w:rFonts w:ascii="Times New Roman" w:hAnsi="Times New Roman" w:cs="Times New Roman"/>
          <w:sz w:val="24"/>
          <w:szCs w:val="24"/>
        </w:rPr>
        <w:t xml:space="preserve">is either the </w:t>
      </w:r>
      <w:r w:rsidRPr="00BA5FCD">
        <w:rPr>
          <w:rFonts w:ascii="Times New Roman" w:hAnsi="Times New Roman" w:cs="Times New Roman"/>
          <w:sz w:val="24"/>
          <w:szCs w:val="24"/>
          <w:lang w:val="en-CA"/>
        </w:rPr>
        <w:t xml:space="preserve">mean or median income for the date of residence. To see one important implication of this assumption, let </w:t>
      </w:r>
      <w:r w:rsidRPr="00BA5FCD">
        <w:rPr>
          <w:rFonts w:ascii="Times New Roman" w:hAnsi="Times New Roman" w:cs="Times New Roman"/>
          <w:position w:val="-14"/>
          <w:sz w:val="24"/>
          <w:szCs w:val="24"/>
        </w:rPr>
        <w:object w:dxaOrig="840" w:dyaOrig="400" w14:anchorId="214A370B">
          <v:shape id="_x0000_i1029" type="#_x0000_t75" style="width:45.75pt;height:19.5pt" o:ole="">
            <v:imagedata r:id="rId15" o:title=""/>
          </v:shape>
          <o:OLEObject Type="Embed" ProgID="Equation.3" ShapeID="_x0000_i1029" DrawAspect="Content" ObjectID="_1666962220" r:id="rId16"/>
        </w:object>
      </w:r>
      <w:r w:rsidRPr="00BA5FCD">
        <w:rPr>
          <w:rFonts w:ascii="Times New Roman" w:hAnsi="Times New Roman" w:cs="Times New Roman"/>
          <w:sz w:val="24"/>
          <w:szCs w:val="24"/>
        </w:rPr>
        <w:t xml:space="preserve">for all </w:t>
      </w:r>
      <w:proofErr w:type="spellStart"/>
      <w:r w:rsidRPr="00BA5FCD">
        <w:rPr>
          <w:rFonts w:ascii="Times New Roman" w:hAnsi="Times New Roman" w:cs="Times New Roman"/>
          <w:i/>
          <w:sz w:val="24"/>
          <w:szCs w:val="24"/>
        </w:rPr>
        <w:t>i</w:t>
      </w:r>
      <w:proofErr w:type="spellEnd"/>
      <w:r w:rsidRPr="00BA5FCD">
        <w:rPr>
          <w:rFonts w:ascii="Times New Roman" w:hAnsi="Times New Roman" w:cs="Times New Roman"/>
          <w:sz w:val="24"/>
          <w:szCs w:val="24"/>
        </w:rPr>
        <w:t xml:space="preserve">, where </w:t>
      </w:r>
      <w:r w:rsidRPr="00BA5FCD">
        <w:rPr>
          <w:rFonts w:ascii="Times New Roman" w:hAnsi="Times New Roman" w:cs="Times New Roman"/>
          <w:position w:val="-14"/>
          <w:sz w:val="24"/>
          <w:szCs w:val="24"/>
        </w:rPr>
        <w:object w:dxaOrig="320" w:dyaOrig="380" w14:anchorId="372E5F56">
          <v:shape id="_x0000_i1030" type="#_x0000_t75" style="width:18pt;height:19.5pt" o:ole="">
            <v:imagedata r:id="rId17" o:title=""/>
          </v:shape>
          <o:OLEObject Type="Embed" ProgID="Equation.3" ShapeID="_x0000_i1030" DrawAspect="Content" ObjectID="_1666962221" r:id="rId18"/>
        </w:object>
      </w:r>
      <w:r w:rsidRPr="00BA5FCD">
        <w:rPr>
          <w:rFonts w:ascii="Times New Roman" w:hAnsi="Times New Roman" w:cs="Times New Roman"/>
          <w:sz w:val="24"/>
          <w:szCs w:val="24"/>
        </w:rPr>
        <w:t xml:space="preserve">is the mean. Then </w:t>
      </w:r>
      <w:r w:rsidRPr="00BA5FCD">
        <w:rPr>
          <w:rFonts w:ascii="Times New Roman" w:hAnsi="Times New Roman" w:cs="Times New Roman"/>
          <w:sz w:val="24"/>
          <w:szCs w:val="24"/>
          <w:lang w:val="en-CA"/>
        </w:rPr>
        <w:t xml:space="preserve">the welfare-consistent relative poverty line, </w:t>
      </w:r>
      <w:r w:rsidRPr="00BA5FCD">
        <w:rPr>
          <w:rFonts w:ascii="Times New Roman" w:hAnsi="Times New Roman" w:cs="Times New Roman"/>
          <w:position w:val="-14"/>
          <w:sz w:val="24"/>
          <w:szCs w:val="24"/>
        </w:rPr>
        <w:object w:dxaOrig="260" w:dyaOrig="380" w14:anchorId="090C44E1">
          <v:shape id="_x0000_i1031" type="#_x0000_t75" style="width:14.25pt;height:19.5pt" o:ole="">
            <v:imagedata r:id="rId19" o:title=""/>
          </v:shape>
          <o:OLEObject Type="Embed" ProgID="Equation.3" ShapeID="_x0000_i1031" DrawAspect="Content" ObjectID="_1666962222" r:id="rId20"/>
        </w:object>
      </w:r>
      <w:r w:rsidRPr="00BA5FCD">
        <w:rPr>
          <w:rFonts w:ascii="Times New Roman" w:hAnsi="Times New Roman" w:cs="Times New Roman"/>
          <w:sz w:val="24"/>
          <w:szCs w:val="24"/>
          <w:lang w:val="en-CA"/>
        </w:rPr>
        <w:t>,</w:t>
      </w:r>
      <w:r w:rsidRPr="00BA5FCD">
        <w:rPr>
          <w:rFonts w:ascii="Times New Roman" w:hAnsi="Times New Roman" w:cs="Times New Roman"/>
          <w:i/>
          <w:sz w:val="24"/>
          <w:szCs w:val="24"/>
          <w:lang w:val="en-CA"/>
        </w:rPr>
        <w:t xml:space="preserve"> </w:t>
      </w:r>
      <w:r w:rsidRPr="00BA5FCD">
        <w:rPr>
          <w:rFonts w:ascii="Times New Roman" w:hAnsi="Times New Roman" w:cs="Times New Roman"/>
          <w:sz w:val="24"/>
          <w:szCs w:val="24"/>
          <w:lang w:val="en-CA"/>
        </w:rPr>
        <w:t>is defined by:</w:t>
      </w:r>
    </w:p>
    <w:p w14:paraId="3244746A" w14:textId="77777777" w:rsidR="00025280" w:rsidRPr="00BA5FCD" w:rsidRDefault="00025280" w:rsidP="00025280">
      <w:pPr>
        <w:spacing w:after="0" w:line="360" w:lineRule="auto"/>
        <w:ind w:left="720" w:firstLine="720"/>
        <w:rPr>
          <w:rFonts w:ascii="Times New Roman" w:hAnsi="Times New Roman" w:cs="Times New Roman"/>
          <w:sz w:val="24"/>
          <w:szCs w:val="24"/>
          <w:lang w:val="en-CA"/>
        </w:rPr>
      </w:pPr>
      <w:r w:rsidRPr="00BA5FCD">
        <w:rPr>
          <w:rFonts w:ascii="Times New Roman" w:hAnsi="Times New Roman" w:cs="Times New Roman"/>
          <w:position w:val="-14"/>
          <w:sz w:val="24"/>
          <w:szCs w:val="24"/>
        </w:rPr>
        <w:object w:dxaOrig="1780" w:dyaOrig="400" w14:anchorId="36BB2F06">
          <v:shape id="_x0000_i1032" type="#_x0000_t75" style="width:90pt;height:23.25pt" o:ole="">
            <v:imagedata r:id="rId21" o:title=""/>
          </v:shape>
          <o:OLEObject Type="Embed" ProgID="Equation.3" ShapeID="_x0000_i1032" DrawAspect="Content" ObjectID="_1666962223" r:id="rId22"/>
        </w:object>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t>(A2)</w:t>
      </w:r>
      <w:r w:rsidRPr="00BA5FCD">
        <w:rPr>
          <w:rFonts w:ascii="Times New Roman" w:hAnsi="Times New Roman" w:cs="Times New Roman"/>
          <w:sz w:val="24"/>
          <w:szCs w:val="24"/>
          <w:lang w:val="en-CA"/>
        </w:rPr>
        <w:t xml:space="preserve"> </w:t>
      </w:r>
    </w:p>
    <w:p w14:paraId="0732DF14" w14:textId="77777777" w:rsidR="00025280" w:rsidRPr="00BA5FCD" w:rsidRDefault="00025280" w:rsidP="00025280">
      <w:pPr>
        <w:spacing w:after="0" w:line="360" w:lineRule="auto"/>
        <w:rPr>
          <w:rFonts w:ascii="Times New Roman" w:hAnsi="Times New Roman" w:cs="Times New Roman"/>
          <w:sz w:val="24"/>
          <w:szCs w:val="24"/>
          <w:lang w:val="en-CA"/>
        </w:rPr>
      </w:pPr>
      <w:r w:rsidRPr="00BA5FCD">
        <w:rPr>
          <w:rFonts w:ascii="Times New Roman" w:hAnsi="Times New Roman" w:cs="Times New Roman"/>
          <w:sz w:val="24"/>
          <w:szCs w:val="24"/>
          <w:lang w:val="en-CA"/>
        </w:rPr>
        <w:t xml:space="preserve">Here </w:t>
      </w:r>
      <w:r w:rsidRPr="00BA5FCD">
        <w:rPr>
          <w:position w:val="-14"/>
        </w:rPr>
        <w:object w:dxaOrig="300" w:dyaOrig="400" w14:anchorId="4607D75D">
          <v:shape id="_x0000_i1033" type="#_x0000_t75" style="width:17.25pt;height:19.5pt" o:ole="">
            <v:imagedata r:id="rId23" o:title=""/>
          </v:shape>
          <o:OLEObject Type="Embed" ProgID="Equation.3" ShapeID="_x0000_i1033" DrawAspect="Content" ObjectID="_1666962224" r:id="rId24"/>
        </w:object>
      </w:r>
      <w:r w:rsidRPr="00BA5FCD">
        <w:rPr>
          <w:rFonts w:ascii="Times New Roman" w:hAnsi="Times New Roman" w:cs="Times New Roman"/>
          <w:sz w:val="24"/>
          <w:szCs w:val="24"/>
        </w:rPr>
        <w:t xml:space="preserve">is the fixed level of welfare to not be deemed poor at date </w:t>
      </w:r>
      <w:r w:rsidRPr="00BA5FCD">
        <w:rPr>
          <w:rFonts w:ascii="Times New Roman" w:hAnsi="Times New Roman" w:cs="Times New Roman"/>
          <w:i/>
          <w:sz w:val="24"/>
          <w:szCs w:val="24"/>
        </w:rPr>
        <w:t>j</w:t>
      </w:r>
      <w:r w:rsidRPr="00BA5FCD">
        <w:rPr>
          <w:rFonts w:ascii="Times New Roman" w:hAnsi="Times New Roman" w:cs="Times New Roman"/>
          <w:sz w:val="24"/>
          <w:szCs w:val="24"/>
        </w:rPr>
        <w:t xml:space="preserve">. Plainly,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oMath>
      <w:r w:rsidRPr="00BA5FCD">
        <w:rPr>
          <w:rFonts w:ascii="Times New Roman" w:hAnsi="Times New Roman" w:cs="Times New Roman"/>
          <w:sz w:val="24"/>
          <w:szCs w:val="24"/>
        </w:rPr>
        <w:t xml:space="preserve">  implies (and is implied by)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r>
          <w:rPr>
            <w:rFonts w:ascii="Cambria Math" w:hAnsi="Cambria Math" w:cs="Times New Roman"/>
            <w:sz w:val="24"/>
            <w:szCs w:val="24"/>
          </w:rPr>
          <m:t>&lt;</m:t>
        </m:r>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u</m:t>
                </m:r>
              </m:e>
            </m:acc>
          </m:e>
          <m:sub>
            <m:r>
              <w:rPr>
                <w:rFonts w:ascii="Cambria Math" w:hAnsi="Cambria Math" w:cs="Times New Roman"/>
                <w:sz w:val="24"/>
                <w:szCs w:val="24"/>
              </w:rPr>
              <m:t>j</m:t>
            </m:r>
          </m:sub>
          <m:sup>
            <m:r>
              <w:rPr>
                <w:rFonts w:ascii="Cambria Math" w:hAnsi="Cambria Math" w:cs="Times New Roman"/>
                <w:sz w:val="24"/>
                <w:szCs w:val="24"/>
              </w:rPr>
              <m:t>z</m:t>
            </m:r>
          </m:sup>
        </m:sSubSup>
      </m:oMath>
      <w:r w:rsidRPr="00BA5FCD">
        <w:rPr>
          <w:rFonts w:ascii="Times New Roman" w:eastAsiaTheme="minorEastAsia" w:hAnsi="Times New Roman" w:cs="Times New Roman"/>
          <w:sz w:val="24"/>
          <w:szCs w:val="24"/>
        </w:rPr>
        <w:t xml:space="preserve">. </w:t>
      </w:r>
      <w:r w:rsidRPr="00BA5FCD">
        <w:rPr>
          <w:rFonts w:ascii="Times New Roman" w:hAnsi="Times New Roman" w:cs="Times New Roman"/>
          <w:sz w:val="24"/>
          <w:szCs w:val="24"/>
        </w:rPr>
        <w:t xml:space="preserve">A welfare consistent poverty line can be defined as one based on a constant </w:t>
      </w:r>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sup>
            <m:r>
              <w:rPr>
                <w:rFonts w:ascii="Cambria Math" w:hAnsi="Cambria Math" w:cs="Times New Roman"/>
                <w:sz w:val="24"/>
                <w:szCs w:val="24"/>
              </w:rPr>
              <m:t>z</m:t>
            </m:r>
          </m:sup>
        </m:sSubSup>
      </m:oMath>
      <w:r w:rsidRPr="00BA5FCD">
        <w:rPr>
          <w:rFonts w:ascii="Times New Roman" w:eastAsiaTheme="minorEastAsia" w:hAnsi="Times New Roman" w:cs="Times New Roman"/>
          <w:sz w:val="24"/>
          <w:szCs w:val="24"/>
        </w:rPr>
        <w:t xml:space="preserve"> for all </w:t>
      </w:r>
      <w:r w:rsidRPr="00BA5FCD">
        <w:rPr>
          <w:rFonts w:ascii="Times New Roman" w:eastAsiaTheme="minorEastAsia" w:hAnsi="Times New Roman" w:cs="Times New Roman"/>
          <w:i/>
          <w:sz w:val="24"/>
          <w:szCs w:val="24"/>
        </w:rPr>
        <w:t>j</w:t>
      </w:r>
      <w:r w:rsidRPr="00BA5FCD">
        <w:rPr>
          <w:rFonts w:ascii="Times New Roman" w:hAnsi="Times New Roman" w:cs="Times New Roman"/>
          <w:sz w:val="24"/>
          <w:szCs w:val="24"/>
        </w:rPr>
        <w:t>.</w:t>
      </w:r>
    </w:p>
    <w:p w14:paraId="45A4AA34" w14:textId="77777777" w:rsidR="00025280" w:rsidRPr="00BA5FCD" w:rsidRDefault="00025280" w:rsidP="00025280">
      <w:pPr>
        <w:spacing w:after="0" w:line="360" w:lineRule="auto"/>
        <w:ind w:firstLine="720"/>
        <w:rPr>
          <w:rFonts w:ascii="Times New Roman" w:hAnsi="Times New Roman" w:cs="Times New Roman"/>
          <w:sz w:val="24"/>
          <w:szCs w:val="24"/>
        </w:rPr>
      </w:pPr>
      <w:r w:rsidRPr="00BA5FCD">
        <w:rPr>
          <w:rFonts w:ascii="Times New Roman" w:hAnsi="Times New Roman" w:cs="Times New Roman"/>
          <w:sz w:val="24"/>
          <w:szCs w:val="24"/>
          <w:lang w:val="en-CA"/>
        </w:rPr>
        <w:t xml:space="preserve">If the welfare function is independent of own income given relative </w:t>
      </w:r>
      <w:proofErr w:type="gramStart"/>
      <w:r w:rsidRPr="00BA5FCD">
        <w:rPr>
          <w:rFonts w:ascii="Times New Roman" w:hAnsi="Times New Roman" w:cs="Times New Roman"/>
          <w:sz w:val="24"/>
          <w:szCs w:val="24"/>
          <w:lang w:val="en-CA"/>
        </w:rPr>
        <w:t>income</w:t>
      </w:r>
      <w:proofErr w:type="gramEnd"/>
      <w:r w:rsidRPr="00BA5FCD">
        <w:rPr>
          <w:rFonts w:ascii="Times New Roman" w:hAnsi="Times New Roman" w:cs="Times New Roman"/>
          <w:sz w:val="24"/>
          <w:szCs w:val="24"/>
          <w:lang w:val="en-CA"/>
        </w:rPr>
        <w:t xml:space="preserve"> then we have the strongly relative lines discussed in the Introduction. In other words, if (A1) can be written as</w:t>
      </w:r>
      <w:r w:rsidRPr="00BA5FCD">
        <w:rPr>
          <w:rFonts w:ascii="Times New Roman" w:hAnsi="Times New Roman" w:cs="Times New Roman"/>
          <w:position w:val="-14"/>
          <w:sz w:val="24"/>
          <w:szCs w:val="24"/>
        </w:rPr>
        <w:object w:dxaOrig="1540" w:dyaOrig="400" w14:anchorId="35DDF0FD">
          <v:shape id="_x0000_i1034" type="#_x0000_t75" style="width:78pt;height:19.5pt" o:ole="">
            <v:imagedata r:id="rId25" o:title=""/>
          </v:shape>
          <o:OLEObject Type="Embed" ProgID="Equation.3" ShapeID="_x0000_i1034" DrawAspect="Content" ObjectID="_1666962225" r:id="rId26"/>
        </w:object>
      </w:r>
      <w:r w:rsidRPr="00BA5FCD">
        <w:rPr>
          <w:rFonts w:ascii="Times New Roman" w:hAnsi="Times New Roman" w:cs="Times New Roman"/>
          <w:sz w:val="24"/>
          <w:szCs w:val="24"/>
          <w:lang w:val="en-CA"/>
        </w:rPr>
        <w:t xml:space="preserve"> then the welfare-consistent poverty line takes the form </w:t>
      </w:r>
      <w:r w:rsidRPr="00BA5FCD">
        <w:rPr>
          <w:rFonts w:ascii="Times New Roman" w:hAnsi="Times New Roman" w:cs="Times New Roman"/>
          <w:position w:val="-14"/>
          <w:sz w:val="24"/>
          <w:szCs w:val="24"/>
        </w:rPr>
        <w:object w:dxaOrig="999" w:dyaOrig="400" w14:anchorId="1E72EA76">
          <v:shape id="_x0000_i1035" type="#_x0000_t75" style="width:50.25pt;height:19.5pt" o:ole="">
            <v:imagedata r:id="rId27" o:title=""/>
          </v:shape>
          <o:OLEObject Type="Embed" ProgID="Equation.3" ShapeID="_x0000_i1035" DrawAspect="Content" ObjectID="_1666962226" r:id="rId28"/>
        </w:object>
      </w:r>
      <w:r w:rsidRPr="00BA5FCD">
        <w:rPr>
          <w:rFonts w:ascii="Times New Roman" w:hAnsi="Times New Roman" w:cs="Times New Roman"/>
          <w:sz w:val="24"/>
          <w:szCs w:val="24"/>
          <w:lang w:val="en-CA"/>
        </w:rPr>
        <w:t xml:space="preserve"> where </w:t>
      </w:r>
      <w:r w:rsidRPr="00BA5FCD">
        <w:rPr>
          <w:rFonts w:ascii="Times New Roman" w:hAnsi="Times New Roman" w:cs="Times New Roman"/>
          <w:position w:val="-14"/>
          <w:sz w:val="24"/>
          <w:szCs w:val="24"/>
        </w:rPr>
        <w:object w:dxaOrig="1280" w:dyaOrig="400" w14:anchorId="39996E75">
          <v:shape id="_x0000_i1036" type="#_x0000_t75" style="width:66pt;height:19.5pt" o:ole="">
            <v:imagedata r:id="rId29" o:title=""/>
          </v:shape>
          <o:OLEObject Type="Embed" ProgID="Equation.3" ShapeID="_x0000_i1036" DrawAspect="Content" ObjectID="_1666962227" r:id="rId30"/>
        </w:object>
      </w:r>
      <w:r w:rsidRPr="00BA5FCD">
        <w:rPr>
          <w:rFonts w:ascii="Times New Roman" w:hAnsi="Times New Roman" w:cs="Times New Roman"/>
          <w:sz w:val="24"/>
          <w:szCs w:val="24"/>
        </w:rPr>
        <w:t xml:space="preserve">. However, this may be considered a very strong assumption. It is one thing to believe that people care about their relative income, but quite another to suppose </w:t>
      </w:r>
      <w:r>
        <w:rPr>
          <w:rFonts w:ascii="Times New Roman" w:hAnsi="Times New Roman" w:cs="Times New Roman"/>
          <w:sz w:val="24"/>
          <w:szCs w:val="24"/>
        </w:rPr>
        <w:t>t</w:t>
      </w:r>
      <w:r w:rsidRPr="00BA5FCD">
        <w:rPr>
          <w:rFonts w:ascii="Times New Roman" w:hAnsi="Times New Roman" w:cs="Times New Roman"/>
          <w:sz w:val="24"/>
          <w:szCs w:val="24"/>
        </w:rPr>
        <w:t>hat they do not care about own income, given relative income. In the more general case in which the welfare function is strictly increasing in both arguments, t</w:t>
      </w:r>
      <w:r w:rsidRPr="00BA5FCD">
        <w:rPr>
          <w:rFonts w:ascii="Times New Roman" w:hAnsi="Times New Roman" w:cs="Times New Roman"/>
          <w:sz w:val="24"/>
          <w:szCs w:val="24"/>
          <w:lang w:val="en-CA"/>
        </w:rPr>
        <w:t>he welfare-consistent weakly-relative lines will rise with the mean, with a positive elasticity less than unity (</w:t>
      </w:r>
      <w:proofErr w:type="spellStart"/>
      <w:r w:rsidRPr="00BA5FCD">
        <w:rPr>
          <w:rFonts w:ascii="Times New Roman" w:hAnsi="Times New Roman" w:cs="Times New Roman"/>
          <w:sz w:val="24"/>
          <w:szCs w:val="24"/>
          <w:lang w:val="en-CA"/>
        </w:rPr>
        <w:t>Ravallion</w:t>
      </w:r>
      <w:proofErr w:type="spellEnd"/>
      <w:r w:rsidRPr="00BA5FCD">
        <w:rPr>
          <w:rFonts w:ascii="Times New Roman" w:hAnsi="Times New Roman" w:cs="Times New Roman"/>
          <w:sz w:val="24"/>
          <w:szCs w:val="24"/>
          <w:lang w:val="en-CA"/>
        </w:rPr>
        <w:t xml:space="preserve"> and Chen 2011). A schedule of strongly relative lines only emerges as the limiting case in which </w:t>
      </w:r>
      <w:r w:rsidRPr="00BA5FCD">
        <w:rPr>
          <w:rFonts w:ascii="Times New Roman" w:hAnsi="Times New Roman" w:cs="Times New Roman"/>
          <w:position w:val="-14"/>
          <w:sz w:val="24"/>
          <w:szCs w:val="24"/>
        </w:rPr>
        <w:object w:dxaOrig="279" w:dyaOrig="380" w14:anchorId="4E2F642E">
          <v:shape id="_x0000_i1037" type="#_x0000_t75" style="width:12pt;height:19.5pt" o:ole="">
            <v:imagedata r:id="rId31" o:title=""/>
          </v:shape>
          <o:OLEObject Type="Embed" ProgID="Equation.3" ShapeID="_x0000_i1037" DrawAspect="Content" ObjectID="_1666962228" r:id="rId32"/>
        </w:object>
      </w:r>
      <w:r w:rsidRPr="00BA5FCD">
        <w:rPr>
          <w:rFonts w:ascii="Times New Roman" w:hAnsi="Times New Roman" w:cs="Times New Roman"/>
          <w:sz w:val="24"/>
          <w:szCs w:val="24"/>
        </w:rPr>
        <w:t xml:space="preserve"> goes to zero, such that welfare</w:t>
      </w:r>
      <w:r w:rsidRPr="00BA5FCD">
        <w:rPr>
          <w:rFonts w:ascii="Times New Roman" w:hAnsi="Times New Roman" w:cs="Times New Roman"/>
          <w:sz w:val="24"/>
          <w:szCs w:val="24"/>
          <w:lang w:val="en-CA"/>
        </w:rPr>
        <w:t xml:space="preserve"> depends solely on relative income.</w:t>
      </w:r>
    </w:p>
    <w:p w14:paraId="59225F9C" w14:textId="77777777" w:rsidR="00025280" w:rsidRPr="00BA5FCD" w:rsidRDefault="00025280" w:rsidP="00025280">
      <w:pPr>
        <w:spacing w:after="0" w:line="360" w:lineRule="auto"/>
        <w:ind w:firstLine="720"/>
        <w:rPr>
          <w:rFonts w:ascii="Times New Roman" w:hAnsi="Times New Roman" w:cs="Times New Roman"/>
          <w:sz w:val="24"/>
          <w:szCs w:val="24"/>
          <w:lang w:val="en-CA"/>
        </w:rPr>
      </w:pPr>
      <w:r>
        <w:rPr>
          <w:rFonts w:ascii="Times New Roman" w:hAnsi="Times New Roman" w:cs="Times New Roman"/>
          <w:sz w:val="24"/>
          <w:szCs w:val="24"/>
          <w:lang w:val="en-CA"/>
        </w:rPr>
        <w:t>T</w:t>
      </w:r>
      <w:r w:rsidRPr="00BA5FCD">
        <w:rPr>
          <w:rFonts w:ascii="Times New Roman" w:hAnsi="Times New Roman" w:cs="Times New Roman"/>
          <w:sz w:val="24"/>
          <w:szCs w:val="24"/>
          <w:lang w:val="en-CA"/>
        </w:rPr>
        <w:t>he literature has been largely silent on the appropriate comparison group in discussing relative poverty.</w:t>
      </w:r>
      <w:r>
        <w:rPr>
          <w:rFonts w:ascii="Times New Roman" w:hAnsi="Times New Roman" w:cs="Times New Roman"/>
          <w:sz w:val="24"/>
          <w:szCs w:val="24"/>
          <w:lang w:val="en-CA"/>
        </w:rPr>
        <w:t xml:space="preserve"> The a</w:t>
      </w:r>
      <w:r w:rsidRPr="00BA5FCD">
        <w:rPr>
          <w:rFonts w:ascii="Times New Roman" w:hAnsi="Times New Roman" w:cs="Times New Roman"/>
          <w:sz w:val="24"/>
          <w:szCs w:val="24"/>
          <w:lang w:val="en-CA"/>
        </w:rPr>
        <w:t>ssumption of an (</w:t>
      </w:r>
      <w:proofErr w:type="gramStart"/>
      <w:r w:rsidRPr="00BA5FCD">
        <w:rPr>
          <w:rFonts w:ascii="Times New Roman" w:hAnsi="Times New Roman" w:cs="Times New Roman"/>
          <w:sz w:val="24"/>
          <w:szCs w:val="24"/>
          <w:lang w:val="en-CA"/>
        </w:rPr>
        <w:t>equally-weighted</w:t>
      </w:r>
      <w:proofErr w:type="gramEnd"/>
      <w:r w:rsidRPr="00BA5FCD">
        <w:rPr>
          <w:rFonts w:ascii="Times New Roman" w:hAnsi="Times New Roman" w:cs="Times New Roman"/>
          <w:sz w:val="24"/>
          <w:szCs w:val="24"/>
          <w:lang w:val="en-CA"/>
        </w:rPr>
        <w:t>) mean or the median is very common</w:t>
      </w:r>
      <w:r>
        <w:rPr>
          <w:rFonts w:ascii="Times New Roman" w:hAnsi="Times New Roman" w:cs="Times New Roman"/>
          <w:sz w:val="24"/>
          <w:szCs w:val="24"/>
          <w:lang w:val="en-CA"/>
        </w:rPr>
        <w:t xml:space="preserve"> but it is hard to find any effort to justify he assumption</w:t>
      </w:r>
      <w:r w:rsidRPr="00BA5FCD">
        <w:rPr>
          <w:rFonts w:ascii="Times New Roman" w:hAnsi="Times New Roman" w:cs="Times New Roman"/>
          <w:sz w:val="24"/>
          <w:szCs w:val="24"/>
          <w:lang w:val="en-CA"/>
        </w:rPr>
        <w:t xml:space="preserve">. In </w:t>
      </w:r>
      <w:proofErr w:type="spellStart"/>
      <w:r w:rsidRPr="00BA5FCD">
        <w:rPr>
          <w:rFonts w:ascii="Times New Roman" w:hAnsi="Times New Roman" w:cs="Times New Roman"/>
          <w:sz w:val="24"/>
          <w:szCs w:val="24"/>
        </w:rPr>
        <w:t>Duesenberry</w:t>
      </w:r>
      <w:proofErr w:type="spellEnd"/>
      <w:r w:rsidRPr="00BA5FCD">
        <w:rPr>
          <w:rFonts w:ascii="Times New Roman" w:hAnsi="Times New Roman" w:cs="Times New Roman"/>
          <w:sz w:val="24"/>
          <w:szCs w:val="24"/>
          <w:lang w:val="en-CA"/>
        </w:rPr>
        <w:t xml:space="preserve">’s (1949) formulation of </w:t>
      </w:r>
      <w:r w:rsidRPr="00BA5FCD">
        <w:rPr>
          <w:rFonts w:ascii="Times New Roman" w:hAnsi="Times New Roman" w:cs="Times New Roman"/>
          <w:sz w:val="24"/>
          <w:szCs w:val="24"/>
          <w:lang w:val="en-CA"/>
        </w:rPr>
        <w:lastRenderedPageBreak/>
        <w:t xml:space="preserve">the relative-income hypothesis, it was argued that an un-equally weighted mean could be more relevant, although this has been ignored in the literature on poverty since then. </w:t>
      </w:r>
    </w:p>
    <w:p w14:paraId="16BAD1E5" w14:textId="77777777" w:rsidR="00025280" w:rsidRPr="00BA5FCD" w:rsidRDefault="00025280" w:rsidP="00025280">
      <w:pPr>
        <w:spacing w:after="0" w:line="360" w:lineRule="auto"/>
        <w:ind w:firstLine="720"/>
        <w:rPr>
          <w:rFonts w:ascii="Times New Roman" w:hAnsi="Times New Roman" w:cs="Times New Roman"/>
          <w:sz w:val="24"/>
          <w:szCs w:val="24"/>
          <w:lang w:val="en-CA"/>
        </w:rPr>
      </w:pPr>
      <w:r>
        <w:rPr>
          <w:rFonts w:ascii="Times New Roman" w:hAnsi="Times New Roman" w:cs="Times New Roman"/>
          <w:sz w:val="24"/>
          <w:szCs w:val="24"/>
          <w:lang w:val="en-CA"/>
        </w:rPr>
        <w:t>W</w:t>
      </w:r>
      <w:r w:rsidRPr="00BA5FCD">
        <w:rPr>
          <w:rFonts w:ascii="Times New Roman" w:hAnsi="Times New Roman" w:cs="Times New Roman"/>
          <w:sz w:val="24"/>
          <w:szCs w:val="24"/>
          <w:lang w:val="en-CA"/>
        </w:rPr>
        <w:t>hen one allows the weights to vary by level of income, the extent of inequality can influence the level of the reference income used for relative comparisons (</w:t>
      </w:r>
      <w:proofErr w:type="spellStart"/>
      <w:r w:rsidRPr="00BA5FCD">
        <w:rPr>
          <w:rFonts w:ascii="Times New Roman" w:hAnsi="Times New Roman" w:cs="Times New Roman"/>
          <w:sz w:val="24"/>
          <w:szCs w:val="24"/>
          <w:lang w:val="en-CA"/>
        </w:rPr>
        <w:t>Ravallion</w:t>
      </w:r>
      <w:proofErr w:type="spellEnd"/>
      <w:r w:rsidRPr="00BA5FCD">
        <w:rPr>
          <w:rFonts w:ascii="Times New Roman" w:hAnsi="Times New Roman" w:cs="Times New Roman"/>
          <w:sz w:val="24"/>
          <w:szCs w:val="24"/>
          <w:lang w:val="en-CA"/>
        </w:rPr>
        <w:t xml:space="preserve"> and Chen 2019). For example, imagine that the poor and middle class are the more relevant comparators for most people. With higher inequality this reference group is seen as relatively poorer, indicating higher relative income at a given level of own income. One possible justification for using the median income as the reference is that the rich get too high a weight in the mean. Yet, while we might agree that the rich are less relevant comparators, they can still be pertinent comparators. Alternatively, one might believe that relativist comparisons are upward looking in that the rich are the comparators, in which case higher inequality requires a higher poverty line. </w:t>
      </w:r>
    </w:p>
    <w:p w14:paraId="1812F916" w14:textId="77777777" w:rsidR="00025280" w:rsidRPr="00BA5FCD" w:rsidRDefault="00025280" w:rsidP="00025280">
      <w:pPr>
        <w:spacing w:after="0" w:line="360" w:lineRule="auto"/>
        <w:ind w:firstLine="720"/>
        <w:rPr>
          <w:rFonts w:ascii="Times New Roman" w:hAnsi="Times New Roman" w:cs="Times New Roman"/>
          <w:sz w:val="24"/>
          <w:szCs w:val="24"/>
          <w:lang w:val="en-CA"/>
        </w:rPr>
      </w:pPr>
      <w:r w:rsidRPr="00BA5FCD">
        <w:rPr>
          <w:rFonts w:ascii="Times New Roman" w:hAnsi="Times New Roman" w:cs="Times New Roman"/>
          <w:sz w:val="24"/>
          <w:szCs w:val="24"/>
          <w:lang w:val="en-CA"/>
        </w:rPr>
        <w:t xml:space="preserve">The approach proposed in </w:t>
      </w:r>
      <w:proofErr w:type="spellStart"/>
      <w:r w:rsidRPr="00BA5FCD">
        <w:rPr>
          <w:rFonts w:ascii="Times New Roman" w:hAnsi="Times New Roman" w:cs="Times New Roman"/>
          <w:sz w:val="24"/>
          <w:szCs w:val="24"/>
          <w:lang w:val="en-CA"/>
        </w:rPr>
        <w:t>Ravallion</w:t>
      </w:r>
      <w:proofErr w:type="spellEnd"/>
      <w:r w:rsidRPr="00BA5FCD">
        <w:rPr>
          <w:rFonts w:ascii="Times New Roman" w:hAnsi="Times New Roman" w:cs="Times New Roman"/>
          <w:sz w:val="24"/>
          <w:szCs w:val="24"/>
          <w:lang w:val="en-CA"/>
        </w:rPr>
        <w:t xml:space="preserve"> and Chen (2019) encompasses both these “downward” and “upward” looking relativist comparisons. Imagine that a person makes random draws of pairs of incomes in assessing how she is doing relative to others. She picks a comparison point somewhere in the (closed) interval between the two incomes according to whether she looks upward or downward. Let </w:t>
      </w:r>
      <w:r w:rsidRPr="00BA5FCD">
        <w:rPr>
          <w:rFonts w:ascii="Times New Roman" w:hAnsi="Times New Roman" w:cs="Times New Roman"/>
          <w:position w:val="-14"/>
          <w:sz w:val="24"/>
          <w:szCs w:val="24"/>
        </w:rPr>
        <w:object w:dxaOrig="999" w:dyaOrig="380" w14:anchorId="0B232536">
          <v:shape id="_x0000_i1038" type="#_x0000_t75" style="width:50.25pt;height:19.5pt" o:ole="">
            <v:imagedata r:id="rId33" o:title=""/>
          </v:shape>
          <o:OLEObject Type="Embed" ProgID="Equation.3" ShapeID="_x0000_i1038" DrawAspect="Content" ObjectID="_1666962229" r:id="rId34"/>
        </w:object>
      </w:r>
      <w:r w:rsidRPr="00BA5FCD">
        <w:rPr>
          <w:rFonts w:ascii="Times New Roman" w:hAnsi="Times New Roman" w:cs="Times New Roman"/>
          <w:sz w:val="24"/>
          <w:szCs w:val="24"/>
        </w:rPr>
        <w:t xml:space="preserve">denote </w:t>
      </w:r>
      <w:r w:rsidRPr="00BA5FCD">
        <w:rPr>
          <w:rFonts w:ascii="Times New Roman" w:hAnsi="Times New Roman" w:cs="Times New Roman"/>
          <w:sz w:val="24"/>
          <w:szCs w:val="24"/>
          <w:lang w:val="en-CA"/>
        </w:rPr>
        <w:t>the contribution of the (</w:t>
      </w:r>
      <w:r w:rsidRPr="00BA5FCD">
        <w:rPr>
          <w:rFonts w:ascii="Times New Roman" w:hAnsi="Times New Roman" w:cs="Times New Roman"/>
          <w:i/>
          <w:sz w:val="24"/>
          <w:szCs w:val="24"/>
          <w:lang w:val="en-CA"/>
        </w:rPr>
        <w:t>k,</w:t>
      </w:r>
      <w:r w:rsidRPr="00BA5FCD">
        <w:t xml:space="preserve"> </w:t>
      </w:r>
      <w:r w:rsidRPr="00BA5FCD">
        <w:rPr>
          <w:rFonts w:ascii="Times New Roman" w:hAnsi="Times New Roman" w:cs="Times New Roman"/>
          <w:i/>
          <w:sz w:val="24"/>
          <w:szCs w:val="24"/>
          <w:lang w:val="en-CA"/>
        </w:rPr>
        <w:t>l</w:t>
      </w:r>
      <w:r w:rsidRPr="00BA5FCD">
        <w:rPr>
          <w:rFonts w:ascii="Times New Roman" w:hAnsi="Times New Roman" w:cs="Times New Roman"/>
          <w:sz w:val="24"/>
          <w:szCs w:val="24"/>
          <w:lang w:val="en-CA"/>
        </w:rPr>
        <w:t xml:space="preserve">) pair drawn at date </w:t>
      </w:r>
      <w:r w:rsidRPr="00BA5FCD">
        <w:rPr>
          <w:rFonts w:ascii="Times New Roman" w:hAnsi="Times New Roman" w:cs="Times New Roman"/>
          <w:i/>
          <w:sz w:val="24"/>
          <w:szCs w:val="24"/>
          <w:lang w:val="en-CA"/>
        </w:rPr>
        <w:t>j</w:t>
      </w:r>
      <w:r w:rsidRPr="00BA5FCD">
        <w:rPr>
          <w:rFonts w:ascii="Times New Roman" w:hAnsi="Times New Roman" w:cs="Times New Roman"/>
          <w:sz w:val="24"/>
          <w:szCs w:val="24"/>
          <w:lang w:val="en-CA"/>
        </w:rPr>
        <w:t xml:space="preserve"> to the assessment of the comparison mean for that date. We assume that</w:t>
      </w:r>
      <w:r w:rsidRPr="00BA5FCD">
        <w:rPr>
          <w:rFonts w:ascii="Times New Roman" w:hAnsi="Times New Roman" w:cs="Times New Roman"/>
          <w:sz w:val="24"/>
          <w:szCs w:val="24"/>
        </w:rPr>
        <w:t>:</w:t>
      </w:r>
      <w:r w:rsidRPr="00BA5FCD">
        <w:rPr>
          <w:rFonts w:ascii="Times New Roman" w:hAnsi="Times New Roman" w:cs="Times New Roman"/>
          <w:sz w:val="24"/>
          <w:szCs w:val="24"/>
          <w:lang w:val="en-CA"/>
        </w:rPr>
        <w:t xml:space="preserve"> </w:t>
      </w:r>
    </w:p>
    <w:p w14:paraId="2AEA91FE" w14:textId="77777777" w:rsidR="00025280" w:rsidRPr="00BA5FCD" w:rsidRDefault="00025280" w:rsidP="00025280">
      <w:pPr>
        <w:spacing w:after="0" w:line="360" w:lineRule="auto"/>
        <w:ind w:firstLine="720"/>
        <w:rPr>
          <w:rFonts w:ascii="Times New Roman" w:hAnsi="Times New Roman" w:cs="Times New Roman"/>
          <w:sz w:val="24"/>
          <w:szCs w:val="24"/>
          <w:lang w:val="en-CA"/>
        </w:rPr>
      </w:pPr>
      <w:r w:rsidRPr="00BA5FCD">
        <w:rPr>
          <w:rFonts w:ascii="Times New Roman" w:hAnsi="Times New Roman" w:cs="Times New Roman"/>
          <w:position w:val="-10"/>
          <w:sz w:val="24"/>
          <w:szCs w:val="24"/>
        </w:rPr>
        <w:object w:dxaOrig="180" w:dyaOrig="340" w14:anchorId="5E573CB1">
          <v:shape id="_x0000_i1039" type="#_x0000_t75" style="width:11.25pt;height:18pt" o:ole="">
            <v:imagedata r:id="rId35" o:title=""/>
          </v:shape>
          <o:OLEObject Type="Embed" ProgID="Equation.3" ShapeID="_x0000_i1039" DrawAspect="Content" ObjectID="_1666962230" r:id="rId36"/>
        </w:object>
      </w:r>
      <w:r w:rsidRPr="00BA5FCD">
        <w:rPr>
          <w:rFonts w:ascii="Times New Roman" w:hAnsi="Times New Roman" w:cs="Times New Roman"/>
          <w:sz w:val="24"/>
          <w:szCs w:val="24"/>
        </w:rPr>
        <w:tab/>
      </w:r>
      <w:r w:rsidRPr="00BA5FCD">
        <w:rPr>
          <w:rFonts w:ascii="Times New Roman" w:hAnsi="Times New Roman" w:cs="Times New Roman"/>
          <w:position w:val="-14"/>
          <w:sz w:val="24"/>
          <w:szCs w:val="24"/>
        </w:rPr>
        <w:object w:dxaOrig="4700" w:dyaOrig="380" w14:anchorId="53C0355B">
          <v:shape id="_x0000_i1040" type="#_x0000_t75" style="width:234.75pt;height:19.5pt" o:ole="">
            <v:imagedata r:id="rId37" o:title=""/>
          </v:shape>
          <o:OLEObject Type="Embed" ProgID="Equation.3" ShapeID="_x0000_i1040" DrawAspect="Content" ObjectID="_1666962231" r:id="rId38"/>
        </w:object>
      </w:r>
      <w:r w:rsidRPr="00BA5FCD">
        <w:rPr>
          <w:rFonts w:ascii="Times New Roman" w:hAnsi="Times New Roman" w:cs="Times New Roman"/>
          <w:sz w:val="24"/>
          <w:szCs w:val="24"/>
          <w:lang w:val="en-CA"/>
        </w:rPr>
        <w:t xml:space="preserve"> where </w:t>
      </w:r>
      <w:r w:rsidRPr="00BA5FCD">
        <w:rPr>
          <w:rFonts w:ascii="Times New Roman" w:hAnsi="Times New Roman" w:cs="Times New Roman"/>
          <w:position w:val="-10"/>
          <w:sz w:val="24"/>
          <w:szCs w:val="24"/>
        </w:rPr>
        <w:object w:dxaOrig="880" w:dyaOrig="320" w14:anchorId="0FCBC2D9">
          <v:shape id="_x0000_i1041" type="#_x0000_t75" style="width:43.5pt;height:18pt" o:ole="">
            <v:imagedata r:id="rId39" o:title=""/>
          </v:shape>
          <o:OLEObject Type="Embed" ProgID="Equation.3" ShapeID="_x0000_i1041" DrawAspect="Content" ObjectID="_1666962232" r:id="rId40"/>
        </w:object>
      </w:r>
      <w:r w:rsidRPr="00BA5FCD">
        <w:rPr>
          <w:rFonts w:ascii="Times New Roman" w:hAnsi="Times New Roman" w:cs="Times New Roman"/>
          <w:sz w:val="24"/>
          <w:szCs w:val="24"/>
        </w:rPr>
        <w:t xml:space="preserve"> </w:t>
      </w:r>
      <w:r w:rsidRPr="00BA5FCD">
        <w:rPr>
          <w:rFonts w:ascii="Times New Roman" w:hAnsi="Times New Roman" w:cs="Times New Roman"/>
          <w:sz w:val="24"/>
          <w:szCs w:val="24"/>
          <w:lang w:val="en-CA"/>
        </w:rPr>
        <w:t xml:space="preserve"> </w:t>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t>(A3)</w:t>
      </w:r>
    </w:p>
    <w:p w14:paraId="03EF7E51" w14:textId="77777777" w:rsidR="00025280" w:rsidRPr="00BA5FCD" w:rsidRDefault="00025280" w:rsidP="00025280">
      <w:pPr>
        <w:spacing w:after="0" w:line="360" w:lineRule="auto"/>
        <w:rPr>
          <w:rFonts w:ascii="Times New Roman" w:hAnsi="Times New Roman" w:cs="Times New Roman"/>
          <w:sz w:val="24"/>
          <w:szCs w:val="24"/>
        </w:rPr>
      </w:pPr>
      <w:r w:rsidRPr="00BA5FCD">
        <w:rPr>
          <w:rFonts w:ascii="Times New Roman" w:hAnsi="Times New Roman" w:cs="Times New Roman"/>
          <w:sz w:val="24"/>
          <w:szCs w:val="24"/>
          <w:lang w:val="en-CA"/>
        </w:rPr>
        <w:t xml:space="preserve">This is repeated for multiple pairs. </w:t>
      </w:r>
      <w:proofErr w:type="spellStart"/>
      <w:r w:rsidRPr="00BA5FCD">
        <w:rPr>
          <w:rFonts w:ascii="Times New Roman" w:hAnsi="Times New Roman" w:cs="Times New Roman"/>
          <w:sz w:val="24"/>
          <w:szCs w:val="24"/>
          <w:lang w:val="en-CA"/>
        </w:rPr>
        <w:t>Ravallion</w:t>
      </w:r>
      <w:proofErr w:type="spellEnd"/>
      <w:r w:rsidRPr="00BA5FCD">
        <w:rPr>
          <w:rFonts w:ascii="Times New Roman" w:hAnsi="Times New Roman" w:cs="Times New Roman"/>
          <w:sz w:val="24"/>
          <w:szCs w:val="24"/>
          <w:lang w:val="en-CA"/>
        </w:rPr>
        <w:t xml:space="preserve"> and Chen (2019) show that, with a large sample, in a large population of size</w:t>
      </w:r>
      <w:r w:rsidRPr="00BA5FCD">
        <w:rPr>
          <w:rFonts w:ascii="Times New Roman" w:hAnsi="Times New Roman" w:cs="Times New Roman"/>
          <w:position w:val="-14"/>
          <w:sz w:val="24"/>
          <w:szCs w:val="24"/>
        </w:rPr>
        <w:object w:dxaOrig="340" w:dyaOrig="380" w14:anchorId="16FEA9B2">
          <v:shape id="_x0000_i1042" type="#_x0000_t75" style="width:18pt;height:19.5pt" o:ole="">
            <v:imagedata r:id="rId41" o:title=""/>
          </v:shape>
          <o:OLEObject Type="Embed" ProgID="Equation.3" ShapeID="_x0000_i1042" DrawAspect="Content" ObjectID="_1666962233" r:id="rId42"/>
        </w:object>
      </w:r>
      <w:r w:rsidRPr="00BA5FCD">
        <w:rPr>
          <w:rFonts w:ascii="Times New Roman" w:hAnsi="Times New Roman" w:cs="Times New Roman"/>
          <w:sz w:val="24"/>
          <w:szCs w:val="24"/>
        </w:rPr>
        <w:t xml:space="preserve">, </w:t>
      </w:r>
      <w:r w:rsidRPr="00BA5FCD">
        <w:rPr>
          <w:rFonts w:ascii="Times New Roman" w:hAnsi="Times New Roman" w:cs="Times New Roman"/>
          <w:sz w:val="24"/>
          <w:szCs w:val="24"/>
          <w:lang w:val="en-CA"/>
        </w:rPr>
        <w:t>one will end up with an unbiased estimate of the comparison mean</w:t>
      </w:r>
      <w:r w:rsidRPr="00BA5FCD">
        <w:rPr>
          <w:rFonts w:ascii="Times New Roman" w:hAnsi="Times New Roman" w:cs="Times New Roman"/>
          <w:sz w:val="24"/>
          <w:szCs w:val="24"/>
        </w:rPr>
        <w:t xml:space="preserve"> as:</w:t>
      </w:r>
    </w:p>
    <w:p w14:paraId="15CD9004" w14:textId="77777777" w:rsidR="00025280" w:rsidRPr="00BA5FCD" w:rsidRDefault="00025280" w:rsidP="00025280">
      <w:pPr>
        <w:spacing w:after="0" w:line="360" w:lineRule="auto"/>
        <w:rPr>
          <w:rFonts w:ascii="Times New Roman" w:hAnsi="Times New Roman" w:cs="Times New Roman"/>
          <w:sz w:val="24"/>
          <w:szCs w:val="24"/>
        </w:rPr>
      </w:pP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position w:val="-14"/>
          <w:sz w:val="24"/>
          <w:szCs w:val="24"/>
        </w:rPr>
        <w:object w:dxaOrig="2340" w:dyaOrig="400" w14:anchorId="42C0C13E">
          <v:shape id="_x0000_i1043" type="#_x0000_t75" style="width:115.5pt;height:19.5pt" o:ole="">
            <v:imagedata r:id="rId43" o:title=""/>
          </v:shape>
          <o:OLEObject Type="Embed" ProgID="Equation.3" ShapeID="_x0000_i1043" DrawAspect="Content" ObjectID="_1666962234" r:id="rId44"/>
        </w:object>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r>
      <w:r w:rsidRPr="00BA5FCD">
        <w:rPr>
          <w:rFonts w:ascii="Times New Roman" w:hAnsi="Times New Roman" w:cs="Times New Roman"/>
          <w:sz w:val="24"/>
          <w:szCs w:val="24"/>
        </w:rPr>
        <w:tab/>
        <w:t>(A4)</w:t>
      </w:r>
    </w:p>
    <w:p w14:paraId="0A1AB1D6" w14:textId="77777777" w:rsidR="00025280" w:rsidRPr="00BA5FCD" w:rsidRDefault="00025280" w:rsidP="00025280">
      <w:pPr>
        <w:spacing w:after="0" w:line="360" w:lineRule="auto"/>
        <w:rPr>
          <w:rFonts w:ascii="Times New Roman" w:hAnsi="Times New Roman" w:cs="Times New Roman"/>
          <w:sz w:val="24"/>
          <w:szCs w:val="24"/>
        </w:rPr>
      </w:pPr>
      <w:r w:rsidRPr="00BA5FCD">
        <w:rPr>
          <w:rFonts w:ascii="Times New Roman" w:hAnsi="Times New Roman" w:cs="Times New Roman"/>
          <w:sz w:val="24"/>
          <w:szCs w:val="24"/>
          <w:lang w:val="en-CA"/>
        </w:rPr>
        <w:t xml:space="preserve">where </w:t>
      </w:r>
      <w:r w:rsidRPr="00BA5FCD">
        <w:rPr>
          <w:rFonts w:ascii="Times New Roman" w:hAnsi="Times New Roman" w:cs="Times New Roman"/>
          <w:position w:val="-14"/>
          <w:sz w:val="24"/>
          <w:szCs w:val="24"/>
        </w:rPr>
        <w:object w:dxaOrig="320" w:dyaOrig="380" w14:anchorId="77C24E79">
          <v:shape id="_x0000_i1044" type="#_x0000_t75" style="width:18pt;height:19.5pt" o:ole="">
            <v:imagedata r:id="rId45" o:title=""/>
          </v:shape>
          <o:OLEObject Type="Embed" ProgID="Equation.3" ShapeID="_x0000_i1044" DrawAspect="Content" ObjectID="_1666962235" r:id="rId46"/>
        </w:object>
      </w:r>
      <w:r w:rsidRPr="00BA5FCD">
        <w:rPr>
          <w:rFonts w:ascii="Times New Roman" w:hAnsi="Times New Roman" w:cs="Times New Roman"/>
          <w:sz w:val="24"/>
          <w:szCs w:val="24"/>
        </w:rPr>
        <w:t xml:space="preserve"> is the Gini coefficient for date </w:t>
      </w:r>
      <w:proofErr w:type="gramStart"/>
      <w:r w:rsidRPr="00BA5FCD">
        <w:rPr>
          <w:rFonts w:ascii="Times New Roman" w:hAnsi="Times New Roman" w:cs="Times New Roman"/>
          <w:i/>
          <w:sz w:val="24"/>
          <w:szCs w:val="24"/>
        </w:rPr>
        <w:t>j</w:t>
      </w:r>
      <w:r w:rsidRPr="00BA5FCD">
        <w:rPr>
          <w:rFonts w:ascii="Times New Roman" w:hAnsi="Times New Roman" w:cs="Times New Roman"/>
          <w:sz w:val="24"/>
          <w:szCs w:val="24"/>
        </w:rPr>
        <w:t>.</w:t>
      </w:r>
      <w:proofErr w:type="gramEnd"/>
      <w:r w:rsidRPr="00BA5FCD">
        <w:rPr>
          <w:rFonts w:ascii="Times New Roman" w:hAnsi="Times New Roman" w:cs="Times New Roman"/>
          <w:sz w:val="24"/>
          <w:szCs w:val="24"/>
        </w:rPr>
        <w:t xml:space="preserve"> </w:t>
      </w:r>
      <w:r w:rsidRPr="00BA5FCD">
        <w:rPr>
          <w:rFonts w:ascii="Times New Roman" w:hAnsi="Times New Roman" w:cs="Times New Roman"/>
          <w:sz w:val="24"/>
          <w:szCs w:val="24"/>
          <w:lang w:val="en-CA"/>
        </w:rPr>
        <w:t xml:space="preserve">We can say that relative comparisons tend to be downward looking if </w:t>
      </w:r>
      <w:r w:rsidRPr="00BA5FCD">
        <w:rPr>
          <w:rFonts w:ascii="Times New Roman" w:hAnsi="Times New Roman" w:cs="Times New Roman"/>
          <w:position w:val="-6"/>
          <w:sz w:val="24"/>
          <w:szCs w:val="24"/>
        </w:rPr>
        <w:object w:dxaOrig="760" w:dyaOrig="279" w14:anchorId="744967D2">
          <v:shape id="_x0000_i1045" type="#_x0000_t75" style="width:38.25pt;height:14.25pt" o:ole="">
            <v:imagedata r:id="rId47" o:title=""/>
          </v:shape>
          <o:OLEObject Type="Embed" ProgID="Equation.3" ShapeID="_x0000_i1045" DrawAspect="Content" ObjectID="_1666962236" r:id="rId48"/>
        </w:object>
      </w:r>
      <w:r w:rsidRPr="00BA5FCD">
        <w:rPr>
          <w:rFonts w:ascii="Times New Roman" w:hAnsi="Times New Roman" w:cs="Times New Roman"/>
          <w:sz w:val="24"/>
          <w:szCs w:val="24"/>
        </w:rPr>
        <w:t xml:space="preserve"> and upward looking if </w:t>
      </w:r>
      <w:r w:rsidRPr="00BA5FCD">
        <w:rPr>
          <w:rFonts w:ascii="Times New Roman" w:hAnsi="Times New Roman" w:cs="Times New Roman"/>
          <w:position w:val="-6"/>
          <w:sz w:val="24"/>
          <w:szCs w:val="24"/>
        </w:rPr>
        <w:object w:dxaOrig="760" w:dyaOrig="279" w14:anchorId="3F20EAD6">
          <v:shape id="_x0000_i1046" type="#_x0000_t75" style="width:38.25pt;height:14.25pt" o:ole="">
            <v:imagedata r:id="rId49" o:title=""/>
          </v:shape>
          <o:OLEObject Type="Embed" ProgID="Equation.3" ShapeID="_x0000_i1046" DrawAspect="Content" ObjectID="_1666962237" r:id="rId50"/>
        </w:object>
      </w:r>
      <w:r w:rsidRPr="00BA5FCD">
        <w:rPr>
          <w:rFonts w:ascii="Times New Roman" w:hAnsi="Times New Roman" w:cs="Times New Roman"/>
          <w:sz w:val="24"/>
          <w:szCs w:val="24"/>
        </w:rPr>
        <w:t xml:space="preserve">. If </w:t>
      </w:r>
      <w:r w:rsidRPr="00BA5FCD">
        <w:rPr>
          <w:rFonts w:ascii="Times New Roman" w:hAnsi="Times New Roman" w:cs="Times New Roman"/>
          <w:position w:val="-6"/>
          <w:sz w:val="24"/>
          <w:szCs w:val="24"/>
        </w:rPr>
        <w:object w:dxaOrig="760" w:dyaOrig="279" w14:anchorId="6CDDDDD8">
          <v:shape id="_x0000_i1047" type="#_x0000_t75" style="width:38.25pt;height:14.25pt" o:ole="">
            <v:imagedata r:id="rId51" o:title=""/>
          </v:shape>
          <o:OLEObject Type="Embed" ProgID="Equation.3" ShapeID="_x0000_i1047" DrawAspect="Content" ObjectID="_1666962238" r:id="rId52"/>
        </w:object>
      </w:r>
      <w:r w:rsidRPr="00BA5FCD">
        <w:rPr>
          <w:rFonts w:ascii="Times New Roman" w:hAnsi="Times New Roman" w:cs="Times New Roman"/>
          <w:sz w:val="24"/>
          <w:szCs w:val="24"/>
        </w:rPr>
        <w:t xml:space="preserve"> then we have the current practice in the literature of treating the overall mean as the comparison income.</w:t>
      </w:r>
    </w:p>
    <w:p w14:paraId="3D25240D" w14:textId="77777777" w:rsidR="00025280" w:rsidRPr="00BA5FCD" w:rsidRDefault="00025280" w:rsidP="00025280">
      <w:pPr>
        <w:spacing w:after="0" w:line="360" w:lineRule="auto"/>
        <w:ind w:firstLine="720"/>
        <w:rPr>
          <w:rFonts w:ascii="Times New Roman" w:hAnsi="Times New Roman" w:cs="Times New Roman"/>
          <w:sz w:val="24"/>
          <w:szCs w:val="24"/>
        </w:rPr>
      </w:pPr>
      <w:r w:rsidRPr="00BA5FCD">
        <w:rPr>
          <w:rFonts w:ascii="Times New Roman" w:hAnsi="Times New Roman" w:cs="Times New Roman"/>
          <w:sz w:val="24"/>
          <w:szCs w:val="24"/>
        </w:rPr>
        <w:t xml:space="preserve">The measures of global relative poverty proposed in Ravallion and Chen (2019) set </w:t>
      </w:r>
      <w:r w:rsidRPr="00BA5FCD">
        <w:rPr>
          <w:rFonts w:ascii="Times New Roman" w:hAnsi="Times New Roman" w:cs="Times New Roman"/>
          <w:position w:val="-6"/>
          <w:sz w:val="24"/>
          <w:szCs w:val="24"/>
        </w:rPr>
        <w:object w:dxaOrig="580" w:dyaOrig="279" w14:anchorId="169499F6">
          <v:shape id="_x0000_i1048" type="#_x0000_t75" style="width:29.25pt;height:14.25pt" o:ole="">
            <v:imagedata r:id="rId53" o:title=""/>
          </v:shape>
          <o:OLEObject Type="Embed" ProgID="Equation.3" ShapeID="_x0000_i1048" DrawAspect="Content" ObjectID="_1666962239" r:id="rId54"/>
        </w:object>
      </w:r>
      <w:r w:rsidRPr="00BA5FCD">
        <w:rPr>
          <w:rFonts w:ascii="Times New Roman" w:hAnsi="Times New Roman" w:cs="Times New Roman"/>
          <w:sz w:val="24"/>
          <w:szCs w:val="24"/>
        </w:rPr>
        <w:t xml:space="preserve">. This is shown to be consistent with cross-country comparisons of national poverty lines, for which the best linear predictor of the national poverty line is the Gini-adjusted mean, </w:t>
      </w:r>
      <w:r w:rsidRPr="00BA5FCD">
        <w:rPr>
          <w:rFonts w:ascii="Times New Roman" w:hAnsi="Times New Roman" w:cs="Times New Roman"/>
          <w:position w:val="-14"/>
          <w:sz w:val="24"/>
          <w:szCs w:val="24"/>
        </w:rPr>
        <w:object w:dxaOrig="1080" w:dyaOrig="380" w14:anchorId="5DE33AD2">
          <v:shape id="_x0000_i1049" type="#_x0000_t75" style="width:54pt;height:19.5pt" o:ole="">
            <v:imagedata r:id="rId55" o:title=""/>
          </v:shape>
          <o:OLEObject Type="Embed" ProgID="Equation.3" ShapeID="_x0000_i1049" DrawAspect="Content" ObjectID="_1666962240" r:id="rId56"/>
        </w:object>
      </w:r>
      <w:r w:rsidRPr="00BA5FCD">
        <w:rPr>
          <w:rFonts w:ascii="Times New Roman" w:hAnsi="Times New Roman" w:cs="Times New Roman"/>
          <w:sz w:val="24"/>
          <w:szCs w:val="24"/>
        </w:rPr>
        <w:t xml:space="preserve">, giving: </w:t>
      </w:r>
    </w:p>
    <w:p w14:paraId="54E4E13C" w14:textId="77777777" w:rsidR="00025280" w:rsidRPr="00BA5FCD" w:rsidRDefault="00025280" w:rsidP="00025280">
      <w:pPr>
        <w:spacing w:after="0" w:line="360" w:lineRule="auto"/>
        <w:ind w:left="720" w:firstLine="720"/>
        <w:rPr>
          <w:rFonts w:ascii="Times New Roman" w:hAnsi="Times New Roman" w:cs="Times New Roman"/>
          <w:spacing w:val="-2"/>
          <w:sz w:val="24"/>
          <w:szCs w:val="24"/>
        </w:rPr>
      </w:pPr>
      <w:r w:rsidRPr="00BA5FCD">
        <w:rPr>
          <w:rFonts w:ascii="Times New Roman" w:hAnsi="Times New Roman" w:cs="Times New Roman"/>
          <w:spacing w:val="-2"/>
          <w:position w:val="-14"/>
          <w:sz w:val="24"/>
          <w:szCs w:val="24"/>
        </w:rPr>
        <w:object w:dxaOrig="2760" w:dyaOrig="400" w14:anchorId="71547CED">
          <v:shape id="_x0000_i1050" type="#_x0000_t75" style="width:138pt;height:19.5pt" o:ole="">
            <v:imagedata r:id="rId57" o:title=""/>
          </v:shape>
          <o:OLEObject Type="Embed" ProgID="Equation.3" ShapeID="_x0000_i1050" DrawAspect="Content" ObjectID="_1666962241" r:id="rId58"/>
        </w:object>
      </w:r>
      <w:r w:rsidRPr="00BA5FCD">
        <w:rPr>
          <w:rFonts w:ascii="Times New Roman" w:hAnsi="Times New Roman" w:cs="Times New Roman"/>
          <w:spacing w:val="-2"/>
          <w:sz w:val="24"/>
          <w:szCs w:val="24"/>
        </w:rPr>
        <w:tab/>
      </w:r>
      <w:r w:rsidRPr="00BA5FCD">
        <w:rPr>
          <w:rFonts w:ascii="Times New Roman" w:hAnsi="Times New Roman" w:cs="Times New Roman"/>
          <w:spacing w:val="-2"/>
          <w:sz w:val="24"/>
          <w:szCs w:val="24"/>
        </w:rPr>
        <w:tab/>
      </w:r>
      <w:r w:rsidRPr="00BA5FCD">
        <w:rPr>
          <w:rFonts w:ascii="Times New Roman" w:hAnsi="Times New Roman" w:cs="Times New Roman"/>
          <w:spacing w:val="-2"/>
          <w:sz w:val="24"/>
          <w:szCs w:val="24"/>
        </w:rPr>
        <w:tab/>
      </w:r>
      <w:r w:rsidRPr="00BA5FCD">
        <w:rPr>
          <w:rFonts w:ascii="Times New Roman" w:hAnsi="Times New Roman" w:cs="Times New Roman"/>
          <w:spacing w:val="-2"/>
          <w:sz w:val="24"/>
          <w:szCs w:val="24"/>
        </w:rPr>
        <w:tab/>
      </w:r>
      <w:r w:rsidRPr="00BA5FCD">
        <w:rPr>
          <w:rFonts w:ascii="Times New Roman" w:hAnsi="Times New Roman" w:cs="Times New Roman"/>
          <w:spacing w:val="-2"/>
          <w:sz w:val="24"/>
          <w:szCs w:val="24"/>
        </w:rPr>
        <w:tab/>
      </w:r>
      <w:r w:rsidRPr="00BA5FCD">
        <w:rPr>
          <w:rFonts w:ascii="Times New Roman" w:hAnsi="Times New Roman" w:cs="Times New Roman"/>
          <w:spacing w:val="-2"/>
          <w:sz w:val="24"/>
          <w:szCs w:val="24"/>
        </w:rPr>
        <w:tab/>
      </w:r>
      <w:r w:rsidRPr="00BA5FCD">
        <w:rPr>
          <w:rFonts w:ascii="Times New Roman" w:hAnsi="Times New Roman" w:cs="Times New Roman"/>
          <w:spacing w:val="-2"/>
          <w:sz w:val="24"/>
          <w:szCs w:val="24"/>
        </w:rPr>
        <w:tab/>
        <w:t>(A5)</w:t>
      </w:r>
    </w:p>
    <w:p w14:paraId="6BA1A4D1" w14:textId="77777777" w:rsidR="00025280" w:rsidRPr="00BA5FCD" w:rsidRDefault="00025280" w:rsidP="00025280">
      <w:pPr>
        <w:spacing w:after="0" w:line="360" w:lineRule="auto"/>
        <w:rPr>
          <w:rFonts w:ascii="Times New Roman" w:hAnsi="Times New Roman" w:cs="Times New Roman"/>
          <w:sz w:val="24"/>
          <w:szCs w:val="24"/>
          <w:lang w:val="en-CA"/>
        </w:rPr>
      </w:pPr>
      <w:r w:rsidRPr="00BA5FCD">
        <w:rPr>
          <w:rFonts w:ascii="Times New Roman" w:hAnsi="Times New Roman" w:cs="Times New Roman"/>
          <w:sz w:val="24"/>
          <w:szCs w:val="24"/>
        </w:rPr>
        <w:t xml:space="preserve">This is equivalent to saying the comparison income for measuring relative poverty is the rank-weighted mean. More precisely, let incomes be </w:t>
      </w:r>
      <w:r w:rsidRPr="00BA5FCD">
        <w:rPr>
          <w:rFonts w:ascii="Times New Roman" w:hAnsi="Times New Roman" w:cs="Times New Roman"/>
          <w:sz w:val="24"/>
          <w:szCs w:val="24"/>
          <w:lang w:val="en-CA"/>
        </w:rPr>
        <w:t>ordered as</w:t>
      </w:r>
      <w:r w:rsidRPr="00BA5FCD">
        <w:rPr>
          <w:rFonts w:ascii="Times New Roman" w:hAnsi="Times New Roman" w:cs="Times New Roman"/>
          <w:position w:val="-16"/>
          <w:sz w:val="24"/>
          <w:szCs w:val="24"/>
        </w:rPr>
        <w:object w:dxaOrig="2000" w:dyaOrig="400" w14:anchorId="51498CDA">
          <v:shape id="_x0000_i1051" type="#_x0000_t75" style="width:102pt;height:19.5pt" o:ole="">
            <v:imagedata r:id="rId59" o:title=""/>
          </v:shape>
          <o:OLEObject Type="Embed" ProgID="Equation.3" ShapeID="_x0000_i1051" DrawAspect="Content" ObjectID="_1666962242" r:id="rId60"/>
        </w:object>
      </w:r>
      <w:r w:rsidRPr="00BA5FCD">
        <w:rPr>
          <w:rFonts w:ascii="Times New Roman" w:hAnsi="Times New Roman" w:cs="Times New Roman"/>
          <w:sz w:val="24"/>
          <w:szCs w:val="24"/>
        </w:rPr>
        <w:t xml:space="preserve">. </w:t>
      </w:r>
      <w:r>
        <w:rPr>
          <w:rFonts w:ascii="Times New Roman" w:hAnsi="Times New Roman" w:cs="Times New Roman"/>
          <w:sz w:val="24"/>
          <w:szCs w:val="24"/>
        </w:rPr>
        <w:t>Ravallion and Chen (2019) show that t</w:t>
      </w:r>
      <w:r w:rsidRPr="00BA5FCD">
        <w:rPr>
          <w:rFonts w:ascii="Times New Roman" w:hAnsi="Times New Roman" w:cs="Times New Roman"/>
          <w:sz w:val="24"/>
          <w:szCs w:val="24"/>
        </w:rPr>
        <w:t>he comparison income is then:</w:t>
      </w:r>
    </w:p>
    <w:p w14:paraId="333CE6F4" w14:textId="77777777" w:rsidR="00025280" w:rsidRPr="00BA5FCD" w:rsidRDefault="00025280" w:rsidP="00025280">
      <w:pPr>
        <w:spacing w:after="0" w:line="360" w:lineRule="auto"/>
        <w:ind w:firstLine="720"/>
        <w:rPr>
          <w:rFonts w:ascii="Times New Roman" w:hAnsi="Times New Roman" w:cs="Times New Roman"/>
          <w:sz w:val="24"/>
          <w:szCs w:val="24"/>
          <w:lang w:val="en-CA"/>
        </w:rPr>
      </w:pPr>
      <w:r w:rsidRPr="00BA5FCD">
        <w:rPr>
          <w:rFonts w:ascii="Times New Roman" w:hAnsi="Times New Roman" w:cs="Times New Roman"/>
          <w:sz w:val="24"/>
          <w:szCs w:val="24"/>
          <w:lang w:val="en-CA"/>
        </w:rPr>
        <w:tab/>
      </w:r>
      <w:r w:rsidRPr="00BA5FCD">
        <w:rPr>
          <w:rFonts w:ascii="Times New Roman" w:hAnsi="Times New Roman" w:cs="Times New Roman"/>
          <w:position w:val="-32"/>
          <w:sz w:val="24"/>
          <w:szCs w:val="24"/>
        </w:rPr>
        <w:object w:dxaOrig="1560" w:dyaOrig="800" w14:anchorId="0DAD71AC">
          <v:shape id="_x0000_i1052" type="#_x0000_t75" style="width:78.75pt;height:39pt" o:ole="">
            <v:imagedata r:id="rId61" o:title=""/>
          </v:shape>
          <o:OLEObject Type="Embed" ProgID="Equation.3" ShapeID="_x0000_i1052" DrawAspect="Content" ObjectID="_1666962243" r:id="rId62"/>
        </w:object>
      </w:r>
      <w:r w:rsidRPr="00BA5FCD">
        <w:rPr>
          <w:rFonts w:ascii="Times New Roman" w:hAnsi="Times New Roman" w:cs="Times New Roman"/>
          <w:sz w:val="24"/>
          <w:szCs w:val="24"/>
          <w:lang w:val="en-CA"/>
        </w:rPr>
        <w:t xml:space="preserve">   </w:t>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r>
      <w:r w:rsidRPr="00BA5FCD">
        <w:rPr>
          <w:rFonts w:ascii="Times New Roman" w:hAnsi="Times New Roman" w:cs="Times New Roman"/>
          <w:sz w:val="24"/>
          <w:szCs w:val="24"/>
          <w:lang w:val="en-CA"/>
        </w:rPr>
        <w:tab/>
        <w:t>(A6)</w:t>
      </w:r>
    </w:p>
    <w:p w14:paraId="4274F063" w14:textId="77777777" w:rsidR="00025280" w:rsidRDefault="00025280" w:rsidP="00025280">
      <w:pPr>
        <w:spacing w:after="0" w:line="360" w:lineRule="auto"/>
        <w:rPr>
          <w:rFonts w:ascii="Times New Roman" w:hAnsi="Times New Roman" w:cs="Times New Roman"/>
          <w:sz w:val="24"/>
          <w:szCs w:val="24"/>
        </w:rPr>
      </w:pPr>
      <w:r w:rsidRPr="00BA5FCD">
        <w:rPr>
          <w:rFonts w:ascii="Times New Roman" w:hAnsi="Times New Roman" w:cs="Times New Roman"/>
          <w:sz w:val="24"/>
          <w:szCs w:val="24"/>
        </w:rPr>
        <w:t xml:space="preserve">In contrast to the median, all incomes are relevant to the comparisons made against </w:t>
      </w:r>
      <w:r w:rsidRPr="00BA5FCD">
        <w:rPr>
          <w:rFonts w:ascii="Times New Roman" w:hAnsi="Times New Roman" w:cs="Times New Roman"/>
          <w:position w:val="-14"/>
          <w:sz w:val="24"/>
          <w:szCs w:val="24"/>
        </w:rPr>
        <w:object w:dxaOrig="320" w:dyaOrig="400" w14:anchorId="51EE8B3B">
          <v:shape id="_x0000_i1053" type="#_x0000_t75" style="width:18pt;height:19.5pt" o:ole="">
            <v:imagedata r:id="rId63" o:title=""/>
          </v:shape>
          <o:OLEObject Type="Embed" ProgID="Equation.3" ShapeID="_x0000_i1053" DrawAspect="Content" ObjectID="_1666962244" r:id="rId64"/>
        </w:object>
      </w:r>
      <w:r w:rsidRPr="00BA5FCD">
        <w:rPr>
          <w:rFonts w:ascii="Times New Roman" w:hAnsi="Times New Roman" w:cs="Times New Roman"/>
          <w:sz w:val="24"/>
          <w:szCs w:val="24"/>
        </w:rPr>
        <w:t xml:space="preserve">, but the weights fall with the rank, starting with the poorest. For our empirical application here we use the parameter estimates obtained by Ravallion and Chen (2019), namely </w:t>
      </w:r>
      <m:oMath>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=$0.90</m:t>
        </m:r>
      </m:oMath>
      <w:r w:rsidRPr="00BA5FCD">
        <w:rPr>
          <w:rFonts w:ascii="Times New Roman" w:eastAsiaTheme="minorEastAsia" w:hAnsi="Times New Roman" w:cs="Times New Roman"/>
          <w:sz w:val="24"/>
          <w:szCs w:val="24"/>
        </w:rPr>
        <w:t xml:space="preserve"> and </w:t>
      </w:r>
      <m:oMath>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=0.70</m:t>
        </m:r>
      </m:oMath>
      <w:r w:rsidRPr="00BA5FCD">
        <w:rPr>
          <w:rFonts w:ascii="Times New Roman" w:eastAsiaTheme="minorEastAsia" w:hAnsi="Times New Roman" w:cs="Times New Roman"/>
          <w:sz w:val="24"/>
          <w:szCs w:val="24"/>
        </w:rPr>
        <w:t xml:space="preserve">. </w:t>
      </w:r>
      <w:r w:rsidRPr="00BA5FCD">
        <w:rPr>
          <w:rFonts w:ascii="Times New Roman" w:hAnsi="Times New Roman" w:cs="Times New Roman"/>
          <w:sz w:val="24"/>
          <w:szCs w:val="24"/>
        </w:rPr>
        <w:t>A key property of this schedule of weakly relative lines is that the elasticity of the poverty line to the mean is not constant but rises with the mean.</w:t>
      </w:r>
    </w:p>
    <w:p w14:paraId="1B36E653" w14:textId="4591A69B" w:rsidR="00025280" w:rsidRDefault="00025280" w:rsidP="00025280">
      <w:pPr>
        <w:spacing w:after="0" w:line="240" w:lineRule="auto"/>
        <w:rPr>
          <w:rFonts w:ascii="Times New Roman" w:hAnsi="Times New Roman" w:cs="Times New Roman"/>
          <w:sz w:val="24"/>
          <w:szCs w:val="24"/>
        </w:rPr>
      </w:pPr>
    </w:p>
    <w:p w14:paraId="65294FC2" w14:textId="7CEDB04E" w:rsidR="00BA27B9" w:rsidRDefault="00BA27B9" w:rsidP="00BA27B9">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A</w:t>
      </w:r>
      <w:r w:rsidR="009501F0">
        <w:rPr>
          <w:rFonts w:ascii="Times New Roman" w:hAnsi="Times New Roman" w:cs="Times New Roman"/>
          <w:b/>
          <w:bCs/>
          <w:sz w:val="28"/>
          <w:szCs w:val="28"/>
        </w:rPr>
        <w:t>2</w:t>
      </w:r>
      <w:r>
        <w:rPr>
          <w:rFonts w:ascii="Times New Roman" w:hAnsi="Times New Roman" w:cs="Times New Roman"/>
          <w:b/>
          <w:bCs/>
          <w:sz w:val="28"/>
          <w:szCs w:val="28"/>
        </w:rPr>
        <w:t>3</w:t>
      </w:r>
      <w:r>
        <w:rPr>
          <w:rFonts w:ascii="Times New Roman" w:hAnsi="Times New Roman" w:cs="Times New Roman"/>
          <w:b/>
          <w:bCs/>
          <w:sz w:val="28"/>
          <w:szCs w:val="28"/>
        </w:rPr>
        <w:tab/>
        <w:t>Decomposition of the changes in poverty measures based on the official lines</w:t>
      </w:r>
    </w:p>
    <w:p w14:paraId="5468E198" w14:textId="50519761" w:rsidR="00BA27B9" w:rsidRPr="00BA5FCD" w:rsidRDefault="00BA27B9" w:rsidP="0032546A">
      <w:pPr>
        <w:spacing w:line="360" w:lineRule="auto"/>
        <w:ind w:firstLine="720"/>
        <w:rPr>
          <w:rFonts w:ascii="Times New Roman" w:eastAsiaTheme="minorEastAsia" w:hAnsi="Times New Roman" w:cs="Times New Roman"/>
          <w:sz w:val="24"/>
          <w:szCs w:val="24"/>
        </w:rPr>
      </w:pPr>
      <w:r w:rsidRPr="00BA5FCD">
        <w:rPr>
          <w:rFonts w:ascii="Times New Roman" w:hAnsi="Times New Roman" w:cs="Times New Roman"/>
          <w:sz w:val="24"/>
          <w:szCs w:val="24"/>
        </w:rPr>
        <w:t xml:space="preserve">A decomposition helps us quantify the large difference between the absolute measures in Figure 2 and those implied by the official poverty lines (Table 2). Quite generally, any poverty measure (within a broad class) for date </w:t>
      </w:r>
      <w:r w:rsidRPr="00BA5FCD">
        <w:rPr>
          <w:rFonts w:ascii="Times New Roman" w:hAnsi="Times New Roman" w:cs="Times New Roman"/>
          <w:i/>
          <w:iCs/>
          <w:sz w:val="24"/>
          <w:szCs w:val="24"/>
        </w:rPr>
        <w:t>t</w:t>
      </w:r>
      <w:r w:rsidRPr="00BA5FCD">
        <w:rPr>
          <w:rFonts w:ascii="Times New Roman" w:hAnsi="Times New Roman" w:cs="Times New Roman"/>
          <w:sz w:val="24"/>
          <w:szCs w:val="24"/>
        </w:rPr>
        <w:t xml:space="preserve"> can be written in the generic form </w:t>
      </w:r>
      <m:oMath>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e>
        </m:d>
      </m:oMath>
      <w:r w:rsidRPr="00BA5FCD">
        <w:rPr>
          <w:rFonts w:ascii="Times New Roman" w:eastAsiaTheme="minorEastAsia"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w:r w:rsidRPr="00BA5FCD">
        <w:rPr>
          <w:rFonts w:ascii="Times New Roman" w:eastAsiaTheme="minorEastAsia" w:hAnsi="Times New Roman" w:cs="Times New Roman"/>
          <w:sz w:val="24"/>
          <w:szCs w:val="24"/>
        </w:rPr>
        <w:t xml:space="preserve"> is the poverty line,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oMath>
      <w:r w:rsidRPr="00BA5FCD">
        <w:rPr>
          <w:rFonts w:ascii="Times New Roman" w:eastAsiaTheme="minorEastAsia" w:hAnsi="Times New Roman" w:cs="Times New Roman"/>
          <w:sz w:val="24"/>
          <w:szCs w:val="24"/>
        </w:rPr>
        <w:t xml:space="preserve"> is the mean 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oMath>
      <w:r w:rsidRPr="00BA5FCD">
        <w:rPr>
          <w:rFonts w:ascii="Times New Roman" w:eastAsiaTheme="minorEastAsia" w:hAnsi="Times New Roman" w:cs="Times New Roman"/>
          <w:sz w:val="24"/>
          <w:szCs w:val="24"/>
        </w:rPr>
        <w:t xml:space="preserve"> is a vector of parameters fully describing the Lorenz curve, representing “inequality.” </w:t>
      </w:r>
      <w:r w:rsidRPr="00BA5FCD">
        <w:rPr>
          <w:rFonts w:ascii="Times New Roman" w:hAnsi="Times New Roman" w:cs="Times New Roman"/>
          <w:sz w:val="24"/>
          <w:szCs w:val="24"/>
        </w:rPr>
        <w:t>We can think of the changes in the poverty measures based on the official lines as the combination of two opposing effects: absolute poverty reduction and an increase attributable to the higher poverty line. There are two ways of doing this decomposition, depending on whether one uses (</w:t>
      </w:r>
      <w:proofErr w:type="spellStart"/>
      <w:r w:rsidRPr="00BA5FCD">
        <w:rPr>
          <w:rFonts w:ascii="Times New Roman" w:hAnsi="Times New Roman" w:cs="Times New Roman"/>
          <w:sz w:val="24"/>
          <w:szCs w:val="24"/>
        </w:rPr>
        <w:t>i</w:t>
      </w:r>
      <w:proofErr w:type="spellEnd"/>
      <w:r w:rsidRPr="00BA5FCD">
        <w:rPr>
          <w:rFonts w:ascii="Times New Roman" w:hAnsi="Times New Roman" w:cs="Times New Roman"/>
          <w:sz w:val="24"/>
          <w:szCs w:val="24"/>
        </w:rPr>
        <w:t>) the 1985 line as the reference or (ii) the 2011 line. Thus:</w:t>
      </w:r>
    </w:p>
    <w:p w14:paraId="56A3621A" w14:textId="77777777" w:rsidR="00BA27B9" w:rsidRPr="00BA5FCD" w:rsidRDefault="00BA27B9" w:rsidP="00BA27B9">
      <w:pPr>
        <w:spacing w:line="360" w:lineRule="auto"/>
        <w:ind w:left="720" w:firstLine="720"/>
        <w:rPr>
          <w:rFonts w:ascii="Times New Roman" w:hAnsi="Times New Roman"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11</m:t>
                </m:r>
              </m:sub>
            </m:sSub>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11</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85</m:t>
                </m:r>
              </m:sub>
            </m:sSub>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85</m:t>
                </m:r>
              </m:sub>
            </m:sSub>
          </m:e>
        </m:d>
      </m:oMath>
      <w:r w:rsidRPr="00BA5FCD">
        <w:rPr>
          <w:rFonts w:ascii="Times New Roman" w:eastAsiaTheme="minorEastAsia" w:hAnsi="Times New Roman" w:cs="Times New Roman"/>
          <w:sz w:val="24"/>
          <w:szCs w:val="24"/>
        </w:rPr>
        <w:t xml:space="preserve">  (Total change in the poverty measure)</w:t>
      </w:r>
    </w:p>
    <w:p w14:paraId="54F77023" w14:textId="77777777" w:rsidR="00BA27B9" w:rsidRPr="00BA5FCD" w:rsidRDefault="00BA27B9" w:rsidP="00BA27B9">
      <w:pPr>
        <w:spacing w:line="360" w:lineRule="auto"/>
        <w:ind w:firstLine="720"/>
        <w:rPr>
          <w:rFonts w:ascii="Times New Roman" w:eastAsiaTheme="minorEastAsia" w:hAnsi="Times New Roman" w:cs="Times New Roman"/>
          <w:sz w:val="24"/>
          <w:szCs w:val="24"/>
        </w:rPr>
      </w:pPr>
      <w:r w:rsidRPr="00BA5FC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85</m:t>
            </m:r>
          </m:sub>
        </m:sSub>
        <m:r>
          <w:rPr>
            <w:rFonts w:ascii="Cambria Math" w:hAnsi="Cambria Math" w:cs="Times New Roman"/>
            <w:sz w:val="24"/>
            <w:szCs w:val="24"/>
          </w:rPr>
          <m:t>)</m:t>
        </m:r>
      </m:oMath>
      <w:r w:rsidRPr="00BA5FCD">
        <w:rPr>
          <w:rFonts w:ascii="Times New Roman" w:eastAsiaTheme="minorEastAsia" w:hAnsi="Times New Roman" w:cs="Times New Roman"/>
          <w:sz w:val="24"/>
          <w:szCs w:val="24"/>
        </w:rPr>
        <w:t xml:space="preserve">  (Change in absolute poverty 1985 line)</w:t>
      </w:r>
    </w:p>
    <w:p w14:paraId="3395CFC0" w14:textId="77777777" w:rsidR="00BA27B9" w:rsidRPr="00BA5FCD" w:rsidRDefault="00BA27B9" w:rsidP="00BA27B9">
      <w:pPr>
        <w:spacing w:line="360" w:lineRule="auto"/>
        <w:ind w:left="720"/>
        <w:rPr>
          <w:rFonts w:ascii="Times New Roman" w:eastAsiaTheme="minorEastAsia" w:hAnsi="Times New Roman" w:cs="Times New Roman"/>
          <w:sz w:val="24"/>
          <w:szCs w:val="24"/>
        </w:rPr>
      </w:pPr>
      <w:r w:rsidRPr="00BA5FCD">
        <w:rPr>
          <w:rFonts w:ascii="Times New Roman" w:eastAsiaTheme="minorEastAsia" w:hAnsi="Times New Roman" w:cs="Times New Roman"/>
          <w:sz w:val="24"/>
          <w:szCs w:val="24"/>
        </w:rPr>
        <w:t xml:space="preserve">        </w:t>
      </w:r>
      <m:oMath>
        <m:r>
          <w:rPr>
            <w:rFonts w:ascii="Cambria Math" w:hAnsi="Cambria Math" w:cs="Times New Roman"/>
            <w:sz w:val="24"/>
            <w:szCs w:val="24"/>
          </w:rPr>
          <m:t>+ P(</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11</m:t>
            </m:r>
          </m:sub>
        </m:sSub>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11</m:t>
            </m:r>
          </m:sub>
        </m:sSub>
        <m:r>
          <w:rPr>
            <w:rFonts w:ascii="Cambria Math" w:hAnsi="Cambria Math" w:cs="Times New Roman"/>
            <w:sz w:val="24"/>
            <w:szCs w:val="24"/>
          </w:rPr>
          <m:t>)</m:t>
        </m:r>
      </m:oMath>
      <w:r w:rsidRPr="00BA5FCD">
        <w:rPr>
          <w:rFonts w:ascii="Times New Roman" w:eastAsiaTheme="minorEastAsia" w:hAnsi="Times New Roman" w:cs="Times New Roman"/>
          <w:sz w:val="24"/>
          <w:szCs w:val="24"/>
        </w:rPr>
        <w:t xml:space="preserve"> (Change in poverty line, 2011 base) (</w:t>
      </w:r>
      <w:proofErr w:type="spellStart"/>
      <w:r w:rsidRPr="00BA5FCD">
        <w:rPr>
          <w:rFonts w:ascii="Times New Roman" w:eastAsiaTheme="minorEastAsia" w:hAnsi="Times New Roman" w:cs="Times New Roman"/>
          <w:sz w:val="24"/>
          <w:szCs w:val="24"/>
        </w:rPr>
        <w:t>i</w:t>
      </w:r>
      <w:proofErr w:type="spellEnd"/>
      <w:r w:rsidRPr="00BA5FCD">
        <w:rPr>
          <w:rFonts w:ascii="Times New Roman" w:eastAsiaTheme="minorEastAsia" w:hAnsi="Times New Roman" w:cs="Times New Roman"/>
          <w:sz w:val="24"/>
          <w:szCs w:val="24"/>
        </w:rPr>
        <w:t>)</w:t>
      </w:r>
    </w:p>
    <w:p w14:paraId="154FB4D8" w14:textId="77777777" w:rsidR="00BA27B9" w:rsidRPr="00BA5FCD" w:rsidRDefault="00BA27B9" w:rsidP="00BA27B9">
      <w:pPr>
        <w:spacing w:line="360" w:lineRule="auto"/>
        <w:ind w:firstLine="720"/>
        <w:rPr>
          <w:rFonts w:ascii="Times New Roman" w:eastAsiaTheme="minorEastAsia" w:hAnsi="Times New Roman" w:cs="Times New Roman"/>
          <w:sz w:val="24"/>
          <w:szCs w:val="24"/>
        </w:rPr>
      </w:pPr>
      <w:r w:rsidRPr="00BA5FC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85</m:t>
            </m:r>
          </m:sub>
        </m:sSub>
        <m:r>
          <w:rPr>
            <w:rFonts w:ascii="Cambria Math" w:hAnsi="Cambria Math" w:cs="Times New Roman"/>
            <w:sz w:val="24"/>
            <w:szCs w:val="24"/>
          </w:rPr>
          <m:t>)</m:t>
        </m:r>
      </m:oMath>
      <w:r w:rsidRPr="00BA5FCD">
        <w:rPr>
          <w:rFonts w:ascii="Times New Roman" w:eastAsiaTheme="minorEastAsia" w:hAnsi="Times New Roman" w:cs="Times New Roman"/>
          <w:sz w:val="24"/>
          <w:szCs w:val="24"/>
        </w:rPr>
        <w:t xml:space="preserve">  (Change in absolute poverty 2011 line)</w:t>
      </w:r>
    </w:p>
    <w:p w14:paraId="2DD98FDF" w14:textId="77777777" w:rsidR="00BA27B9" w:rsidRPr="00BA5FCD" w:rsidRDefault="00BA27B9" w:rsidP="00BA27B9">
      <w:pPr>
        <w:spacing w:line="360" w:lineRule="auto"/>
        <w:ind w:left="720"/>
        <w:rPr>
          <w:rFonts w:ascii="Times New Roman" w:eastAsiaTheme="minorEastAsia" w:hAnsi="Times New Roman" w:cs="Times New Roman"/>
          <w:sz w:val="24"/>
          <w:szCs w:val="24"/>
        </w:rPr>
      </w:pPr>
      <w:r w:rsidRPr="00BA5FCD">
        <w:rPr>
          <w:rFonts w:ascii="Times New Roman" w:eastAsiaTheme="minorEastAsia" w:hAnsi="Times New Roman" w:cs="Times New Roman"/>
          <w:sz w:val="24"/>
          <w:szCs w:val="24"/>
        </w:rPr>
        <w:t xml:space="preserve">        </w:t>
      </w:r>
      <m:oMath>
        <m:r>
          <w:rPr>
            <w:rFonts w:ascii="Cambria Math" w:hAnsi="Cambria Math" w:cs="Times New Roman"/>
            <w:sz w:val="24"/>
            <w:szCs w:val="24"/>
          </w:rPr>
          <m:t>+ P(</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85</m:t>
            </m:r>
          </m:sub>
        </m:sSub>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85</m:t>
                </m:r>
              </m:sub>
            </m:sSub>
            <m:r>
              <m:rPr>
                <m:lit/>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85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85</m:t>
                </m:r>
              </m:sub>
            </m:sSub>
          </m:e>
        </m:d>
        <m:r>
          <w:rPr>
            <w:rFonts w:ascii="Cambria Math" w:hAnsi="Cambria Math" w:cs="Times New Roman"/>
            <w:sz w:val="24"/>
            <w:szCs w:val="24"/>
          </w:rPr>
          <m:t xml:space="preserve"> </m:t>
        </m:r>
      </m:oMath>
      <w:r w:rsidRPr="00BA5FCD">
        <w:rPr>
          <w:rFonts w:ascii="Times New Roman" w:eastAsiaTheme="minorEastAsia" w:hAnsi="Times New Roman" w:cs="Times New Roman"/>
          <w:sz w:val="24"/>
          <w:szCs w:val="24"/>
        </w:rPr>
        <w:t>(Change in poverty line, 1985 base) (ii)</w:t>
      </w:r>
    </w:p>
    <w:p w14:paraId="0E7129D8" w14:textId="4C548EDE" w:rsidR="00BA27B9" w:rsidRPr="00BA5FCD" w:rsidRDefault="00BA27B9" w:rsidP="00BA27B9">
      <w:pPr>
        <w:spacing w:after="0" w:line="360" w:lineRule="auto"/>
        <w:rPr>
          <w:rFonts w:ascii="Times New Roman" w:eastAsiaTheme="minorEastAsia" w:hAnsi="Times New Roman" w:cs="Times New Roman"/>
          <w:sz w:val="24"/>
          <w:szCs w:val="24"/>
        </w:rPr>
      </w:pPr>
      <w:r w:rsidRPr="00BA5FCD">
        <w:rPr>
          <w:rFonts w:ascii="Times New Roman" w:eastAsiaTheme="minorEastAsia" w:hAnsi="Times New Roman" w:cs="Times New Roman"/>
          <w:sz w:val="24"/>
          <w:szCs w:val="24"/>
        </w:rPr>
        <w:lastRenderedPageBreak/>
        <w:t xml:space="preserve">Table </w:t>
      </w:r>
      <w:r w:rsidR="009501F0">
        <w:rPr>
          <w:rFonts w:ascii="Times New Roman" w:eastAsiaTheme="minorEastAsia" w:hAnsi="Times New Roman" w:cs="Times New Roman"/>
          <w:sz w:val="24"/>
          <w:szCs w:val="24"/>
        </w:rPr>
        <w:t>A1</w:t>
      </w:r>
      <w:r w:rsidRPr="00BA5FCD">
        <w:rPr>
          <w:rFonts w:ascii="Times New Roman" w:eastAsiaTheme="minorEastAsia" w:hAnsi="Times New Roman" w:cs="Times New Roman"/>
          <w:sz w:val="24"/>
          <w:szCs w:val="24"/>
        </w:rPr>
        <w:t xml:space="preserve"> provides this decomposition. We see marked reductions in absolute poverty measures anchored to either the 1985 or 2011 official line. Naturally, the reduction is very large with respect to the 2011 line. In both cases, we also see the large poverty increasing effect of the upward revision to the official lines. What is striking here is the size of the two opposing effects. For the poverty rate, the absolute poverty effect dominates on balance but the upward revision to the poverty line dominates for the two poverty gap indices.</w:t>
      </w:r>
    </w:p>
    <w:p w14:paraId="265EF00E" w14:textId="008C1E69" w:rsidR="00BA27B9" w:rsidRPr="00BA5FCD" w:rsidRDefault="00BA27B9" w:rsidP="00BA27B9">
      <w:pPr>
        <w:spacing w:after="0" w:line="360" w:lineRule="auto"/>
        <w:ind w:firstLine="720"/>
        <w:rPr>
          <w:rFonts w:ascii="Times New Roman" w:hAnsi="Times New Roman" w:cs="Times New Roman"/>
          <w:bCs/>
          <w:sz w:val="24"/>
          <w:szCs w:val="24"/>
        </w:rPr>
      </w:pPr>
      <w:r w:rsidRPr="00BA5FCD">
        <w:rPr>
          <w:rFonts w:ascii="Times New Roman" w:eastAsiaTheme="minorEastAsia" w:hAnsi="Times New Roman" w:cs="Times New Roman"/>
          <w:sz w:val="24"/>
          <w:szCs w:val="24"/>
        </w:rPr>
        <w:t>Notice that there are two roughly offsetting ways that growth in mean income impacts the poverty measures based on the date-specific official lines. The first is the negative impact of growth in the mean on the absolute lines while the second is the positive impact of growth in the mean on the official poverty lines. Since inequality rose over the period, all of the reduction in absolute poverty is attributable to growth in the mean.</w:t>
      </w:r>
      <w:r>
        <w:rPr>
          <w:rStyle w:val="FootnoteReference"/>
          <w:rFonts w:ascii="Times New Roman" w:eastAsiaTheme="minorEastAsia" w:hAnsi="Times New Roman" w:cs="Times New Roman"/>
          <w:szCs w:val="24"/>
        </w:rPr>
        <w:footnoteReference w:id="1"/>
      </w:r>
      <w:r w:rsidRPr="00BA5FCD">
        <w:rPr>
          <w:rFonts w:ascii="Times New Roman" w:eastAsiaTheme="minorEastAsia" w:hAnsi="Times New Roman" w:cs="Times New Roman"/>
          <w:sz w:val="24"/>
          <w:szCs w:val="24"/>
        </w:rPr>
        <w:t xml:space="preserve"> (For example, while the headcount index for 2011 would have fallen to 4.3% if the 1985 line had not been updated, it would have fallen to virtually zero if the 1985 Lorenz curve had not changed, as well as using the 1985 poverty line.) And, since the ratio of the official poverty line to the mean fell over time (Table 1</w:t>
      </w:r>
      <w:r w:rsidR="009501F0">
        <w:rPr>
          <w:rFonts w:ascii="Times New Roman" w:eastAsiaTheme="minorEastAsia" w:hAnsi="Times New Roman" w:cs="Times New Roman"/>
          <w:sz w:val="24"/>
          <w:szCs w:val="24"/>
        </w:rPr>
        <w:t>, main text</w:t>
      </w:r>
      <w:r w:rsidRPr="00BA5FCD">
        <w:rPr>
          <w:rFonts w:ascii="Times New Roman" w:eastAsiaTheme="minorEastAsia" w:hAnsi="Times New Roman" w:cs="Times New Roman"/>
          <w:sz w:val="24"/>
          <w:szCs w:val="24"/>
        </w:rPr>
        <w:t>), the component attributed to the higher official poverty line can be entirely attributed to the higher mean income.</w:t>
      </w:r>
    </w:p>
    <w:p w14:paraId="48A489A4" w14:textId="1BC0D382" w:rsidR="00025280" w:rsidRDefault="00025280">
      <w:pPr>
        <w:spacing w:after="0" w:line="240" w:lineRule="auto"/>
        <w:rPr>
          <w:rFonts w:ascii="Times New Roman" w:hAnsi="Times New Roman" w:cs="Times New Roman"/>
          <w:b/>
          <w:bCs/>
          <w:sz w:val="28"/>
          <w:szCs w:val="28"/>
        </w:rPr>
      </w:pPr>
    </w:p>
    <w:p w14:paraId="4FA84E43" w14:textId="4A3C3877" w:rsidR="00BA27B9" w:rsidRPr="00BA5FCD" w:rsidRDefault="00BA27B9" w:rsidP="00BA27B9">
      <w:pPr>
        <w:spacing w:after="0" w:line="360" w:lineRule="auto"/>
        <w:ind w:left="720" w:hanging="720"/>
        <w:rPr>
          <w:rFonts w:ascii="Times New Roman" w:hAnsi="Times New Roman" w:cs="Times New Roman"/>
          <w:b/>
          <w:bCs/>
          <w:sz w:val="24"/>
          <w:szCs w:val="24"/>
        </w:rPr>
      </w:pPr>
      <w:r w:rsidRPr="00BA5FCD">
        <w:rPr>
          <w:rFonts w:ascii="Times New Roman" w:hAnsi="Times New Roman" w:cs="Times New Roman"/>
          <w:b/>
          <w:bCs/>
          <w:sz w:val="24"/>
          <w:szCs w:val="24"/>
        </w:rPr>
        <w:t xml:space="preserve">Table </w:t>
      </w:r>
      <w:r>
        <w:rPr>
          <w:rFonts w:ascii="Times New Roman" w:hAnsi="Times New Roman" w:cs="Times New Roman"/>
          <w:b/>
          <w:bCs/>
          <w:sz w:val="24"/>
          <w:szCs w:val="24"/>
        </w:rPr>
        <w:t>A1</w:t>
      </w:r>
      <w:r w:rsidRPr="00BA5FCD">
        <w:rPr>
          <w:rFonts w:ascii="Times New Roman" w:hAnsi="Times New Roman" w:cs="Times New Roman"/>
          <w:b/>
          <w:bCs/>
          <w:sz w:val="24"/>
          <w:szCs w:val="24"/>
        </w:rPr>
        <w:t>: Decompositions for the change in rural income-poverty measures over 1985-2011</w:t>
      </w:r>
    </w:p>
    <w:tbl>
      <w:tblPr>
        <w:tblW w:w="9900" w:type="dxa"/>
        <w:tblBorders>
          <w:top w:val="single" w:sz="4" w:space="0" w:color="auto"/>
          <w:bottom w:val="single" w:sz="4" w:space="0" w:color="auto"/>
        </w:tblBorders>
        <w:tblLayout w:type="fixed"/>
        <w:tblLook w:val="04A0" w:firstRow="1" w:lastRow="0" w:firstColumn="1" w:lastColumn="0" w:noHBand="0" w:noVBand="1"/>
      </w:tblPr>
      <w:tblGrid>
        <w:gridCol w:w="1890"/>
        <w:gridCol w:w="810"/>
        <w:gridCol w:w="810"/>
        <w:gridCol w:w="1080"/>
        <w:gridCol w:w="1170"/>
        <w:gridCol w:w="1530"/>
        <w:gridCol w:w="1080"/>
        <w:gridCol w:w="1530"/>
      </w:tblGrid>
      <w:tr w:rsidR="00BA27B9" w:rsidRPr="00BA5FCD" w14:paraId="353FC57B" w14:textId="77777777" w:rsidTr="00272555">
        <w:trPr>
          <w:trHeight w:val="377"/>
        </w:trPr>
        <w:tc>
          <w:tcPr>
            <w:tcW w:w="1890" w:type="dxa"/>
            <w:vMerge w:val="restart"/>
            <w:shd w:val="clear" w:color="auto" w:fill="auto"/>
            <w:noWrap/>
            <w:vAlign w:val="bottom"/>
          </w:tcPr>
          <w:p w14:paraId="06CF3311" w14:textId="77777777" w:rsidR="00BA27B9" w:rsidRPr="00BA5FCD" w:rsidRDefault="00BA27B9" w:rsidP="00272555">
            <w:pPr>
              <w:spacing w:after="0" w:line="240" w:lineRule="auto"/>
              <w:rPr>
                <w:rFonts w:ascii="Times New Roman" w:eastAsia="Times New Roman" w:hAnsi="Times New Roman" w:cs="Times New Roman"/>
                <w:sz w:val="24"/>
                <w:szCs w:val="24"/>
              </w:rPr>
            </w:pPr>
          </w:p>
        </w:tc>
        <w:tc>
          <w:tcPr>
            <w:tcW w:w="1620" w:type="dxa"/>
            <w:gridSpan w:val="2"/>
          </w:tcPr>
          <w:p w14:paraId="55E6B4AB" w14:textId="77777777" w:rsidR="00BA27B9" w:rsidRPr="00BA5FCD" w:rsidRDefault="00BA27B9" w:rsidP="00272555">
            <w:pPr>
              <w:spacing w:after="0" w:line="240" w:lineRule="auto"/>
              <w:jc w:val="center"/>
              <w:rPr>
                <w:rFonts w:ascii="Times New Roman" w:eastAsia="Times New Roman" w:hAnsi="Times New Roman" w:cs="Times New Roman"/>
                <w:color w:val="000000"/>
              </w:rPr>
            </w:pPr>
            <w:r w:rsidRPr="00BA5FCD">
              <w:rPr>
                <w:rFonts w:ascii="Times New Roman" w:eastAsia="Times New Roman" w:hAnsi="Times New Roman" w:cs="Times New Roman"/>
                <w:color w:val="000000"/>
              </w:rPr>
              <w:t xml:space="preserve">Poverty index </w:t>
            </w:r>
          </w:p>
        </w:tc>
        <w:tc>
          <w:tcPr>
            <w:tcW w:w="1080" w:type="dxa"/>
            <w:vMerge w:val="restart"/>
            <w:shd w:val="clear" w:color="auto" w:fill="auto"/>
            <w:noWrap/>
          </w:tcPr>
          <w:p w14:paraId="0EADE562" w14:textId="77777777" w:rsidR="00BA27B9" w:rsidRDefault="00BA27B9" w:rsidP="00272555">
            <w:pPr>
              <w:spacing w:after="0" w:line="240" w:lineRule="auto"/>
              <w:jc w:val="center"/>
              <w:rPr>
                <w:rFonts w:ascii="Times New Roman" w:eastAsia="Times New Roman" w:hAnsi="Times New Roman" w:cs="Times New Roman"/>
                <w:color w:val="000000"/>
              </w:rPr>
            </w:pPr>
            <w:r w:rsidRPr="00BA5FCD">
              <w:rPr>
                <w:rFonts w:ascii="Times New Roman" w:eastAsia="Times New Roman" w:hAnsi="Times New Roman" w:cs="Times New Roman"/>
                <w:color w:val="000000"/>
              </w:rPr>
              <w:t xml:space="preserve">Change in the poverty index </w:t>
            </w:r>
          </w:p>
          <w:p w14:paraId="40458B3C" w14:textId="77777777" w:rsidR="00BA27B9" w:rsidRPr="00BA5FCD" w:rsidRDefault="00BA27B9" w:rsidP="00272555">
            <w:pPr>
              <w:spacing w:after="0" w:line="240" w:lineRule="auto"/>
              <w:jc w:val="center"/>
              <w:rPr>
                <w:rFonts w:ascii="Times New Roman" w:eastAsia="Times New Roman" w:hAnsi="Times New Roman" w:cs="Times New Roman"/>
                <w:color w:val="000000"/>
              </w:rPr>
            </w:pPr>
            <w:r w:rsidRPr="00BA5FCD">
              <w:rPr>
                <w:rFonts w:ascii="Times New Roman" w:eastAsia="Times New Roman" w:hAnsi="Times New Roman" w:cs="Times New Roman"/>
                <w:color w:val="000000"/>
              </w:rPr>
              <w:t>(</w:t>
            </w:r>
            <w:r>
              <w:rPr>
                <w:rFonts w:ascii="Times New Roman" w:eastAsia="Times New Roman" w:hAnsi="Times New Roman" w:cs="Times New Roman"/>
                <w:color w:val="000000"/>
              </w:rPr>
              <w:t>% point</w:t>
            </w:r>
            <w:r w:rsidRPr="00BA5FCD">
              <w:rPr>
                <w:rFonts w:ascii="Times New Roman" w:eastAsia="Times New Roman" w:hAnsi="Times New Roman" w:cs="Times New Roman"/>
                <w:color w:val="000000"/>
              </w:rPr>
              <w:t>)</w:t>
            </w:r>
          </w:p>
        </w:tc>
        <w:tc>
          <w:tcPr>
            <w:tcW w:w="5310" w:type="dxa"/>
            <w:gridSpan w:val="4"/>
            <w:shd w:val="clear" w:color="auto" w:fill="auto"/>
            <w:noWrap/>
          </w:tcPr>
          <w:p w14:paraId="46FB6433" w14:textId="77777777" w:rsidR="00BA27B9" w:rsidRPr="00BA5FCD" w:rsidRDefault="00BA27B9" w:rsidP="00272555">
            <w:pPr>
              <w:spacing w:after="0" w:line="240" w:lineRule="auto"/>
              <w:jc w:val="center"/>
              <w:rPr>
                <w:rFonts w:ascii="Times New Roman" w:hAnsi="Times New Roman" w:cs="Times New Roman"/>
                <w:color w:val="000000"/>
              </w:rPr>
            </w:pPr>
            <w:r w:rsidRPr="00BA5FCD">
              <w:rPr>
                <w:rFonts w:ascii="Times New Roman" w:hAnsi="Times New Roman" w:cs="Times New Roman"/>
                <w:color w:val="000000"/>
              </w:rPr>
              <w:t>Components of the change (</w:t>
            </w:r>
            <w:r>
              <w:rPr>
                <w:rFonts w:ascii="Times New Roman" w:hAnsi="Times New Roman" w:cs="Times New Roman"/>
                <w:color w:val="000000"/>
              </w:rPr>
              <w:t>% point</w:t>
            </w:r>
            <w:r w:rsidRPr="00BA5FCD">
              <w:rPr>
                <w:rFonts w:ascii="Times New Roman" w:hAnsi="Times New Roman" w:cs="Times New Roman"/>
                <w:color w:val="000000"/>
              </w:rPr>
              <w:t>)</w:t>
            </w:r>
          </w:p>
        </w:tc>
      </w:tr>
      <w:tr w:rsidR="00BA27B9" w:rsidRPr="00BA5FCD" w14:paraId="4D0F57E3" w14:textId="77777777" w:rsidTr="00272555">
        <w:trPr>
          <w:trHeight w:val="178"/>
        </w:trPr>
        <w:tc>
          <w:tcPr>
            <w:tcW w:w="1890" w:type="dxa"/>
            <w:vMerge/>
            <w:shd w:val="clear" w:color="auto" w:fill="auto"/>
            <w:noWrap/>
            <w:vAlign w:val="bottom"/>
          </w:tcPr>
          <w:p w14:paraId="6A87C810" w14:textId="77777777" w:rsidR="00BA27B9" w:rsidRPr="00BA5FCD" w:rsidRDefault="00BA27B9" w:rsidP="00272555">
            <w:pPr>
              <w:spacing w:after="0" w:line="240" w:lineRule="auto"/>
              <w:rPr>
                <w:rFonts w:ascii="Times New Roman" w:eastAsia="Times New Roman" w:hAnsi="Times New Roman" w:cs="Times New Roman"/>
                <w:sz w:val="24"/>
                <w:szCs w:val="24"/>
              </w:rPr>
            </w:pPr>
          </w:p>
        </w:tc>
        <w:tc>
          <w:tcPr>
            <w:tcW w:w="810" w:type="dxa"/>
            <w:vMerge w:val="restart"/>
          </w:tcPr>
          <w:p w14:paraId="7612F97B"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50F9E48F"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1DC22BFA"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3D1DCA1F"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3ADFD8DC" w14:textId="77777777" w:rsidR="00BA27B9" w:rsidRPr="00BA5FCD" w:rsidRDefault="00BA27B9" w:rsidP="00272555">
            <w:pPr>
              <w:spacing w:after="0" w:line="240" w:lineRule="auto"/>
              <w:jc w:val="center"/>
              <w:rPr>
                <w:rFonts w:ascii="Times New Roman" w:eastAsia="Times New Roman" w:hAnsi="Times New Roman" w:cs="Times New Roman"/>
                <w:color w:val="000000"/>
              </w:rPr>
            </w:pPr>
            <w:r w:rsidRPr="00BA5FCD">
              <w:rPr>
                <w:rFonts w:ascii="Times New Roman" w:eastAsia="Times New Roman" w:hAnsi="Times New Roman" w:cs="Times New Roman"/>
                <w:color w:val="000000"/>
              </w:rPr>
              <w:t>1985</w:t>
            </w:r>
          </w:p>
        </w:tc>
        <w:tc>
          <w:tcPr>
            <w:tcW w:w="810" w:type="dxa"/>
            <w:vMerge w:val="restart"/>
          </w:tcPr>
          <w:p w14:paraId="388F4258"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6AF0FC50"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3A0C7ACE"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0BD0007D"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p w14:paraId="45AF721C" w14:textId="77777777" w:rsidR="00BA27B9" w:rsidRPr="00BA5FCD" w:rsidRDefault="00BA27B9" w:rsidP="00272555">
            <w:pPr>
              <w:spacing w:after="0" w:line="240" w:lineRule="auto"/>
              <w:jc w:val="center"/>
              <w:rPr>
                <w:rFonts w:ascii="Times New Roman" w:eastAsia="Times New Roman" w:hAnsi="Times New Roman" w:cs="Times New Roman"/>
                <w:color w:val="000000"/>
              </w:rPr>
            </w:pPr>
            <w:r w:rsidRPr="00BA5FCD">
              <w:rPr>
                <w:rFonts w:ascii="Times New Roman" w:eastAsia="Times New Roman" w:hAnsi="Times New Roman" w:cs="Times New Roman"/>
                <w:color w:val="000000"/>
              </w:rPr>
              <w:t>2011</w:t>
            </w:r>
          </w:p>
        </w:tc>
        <w:tc>
          <w:tcPr>
            <w:tcW w:w="1080" w:type="dxa"/>
            <w:vMerge/>
            <w:shd w:val="clear" w:color="auto" w:fill="auto"/>
            <w:noWrap/>
          </w:tcPr>
          <w:p w14:paraId="76B96693"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tc>
        <w:tc>
          <w:tcPr>
            <w:tcW w:w="2700" w:type="dxa"/>
            <w:gridSpan w:val="2"/>
            <w:shd w:val="clear" w:color="auto" w:fill="auto"/>
            <w:noWrap/>
          </w:tcPr>
          <w:p w14:paraId="41A0FD67" w14:textId="77777777" w:rsidR="00BA27B9" w:rsidRPr="00BA5FCD" w:rsidRDefault="00BA27B9" w:rsidP="00272555">
            <w:pPr>
              <w:spacing w:after="0" w:line="240" w:lineRule="auto"/>
              <w:jc w:val="center"/>
              <w:rPr>
                <w:rFonts w:ascii="Times New Roman" w:hAnsi="Times New Roman" w:cs="Times New Roman"/>
                <w:color w:val="000000"/>
              </w:rPr>
            </w:pPr>
            <w:r w:rsidRPr="00BA5FCD">
              <w:rPr>
                <w:rFonts w:ascii="Times New Roman" w:hAnsi="Times New Roman" w:cs="Times New Roman"/>
                <w:color w:val="000000"/>
              </w:rPr>
              <w:t>(</w:t>
            </w:r>
            <w:proofErr w:type="spellStart"/>
            <w:r w:rsidRPr="00BA5FCD">
              <w:rPr>
                <w:rFonts w:ascii="Times New Roman" w:hAnsi="Times New Roman" w:cs="Times New Roman"/>
                <w:color w:val="000000"/>
              </w:rPr>
              <w:t>i</w:t>
            </w:r>
            <w:proofErr w:type="spellEnd"/>
            <w:r w:rsidRPr="00BA5FCD">
              <w:rPr>
                <w:rFonts w:ascii="Times New Roman" w:hAnsi="Times New Roman" w:cs="Times New Roman"/>
                <w:color w:val="000000"/>
              </w:rPr>
              <w:t>)</w:t>
            </w:r>
          </w:p>
        </w:tc>
        <w:tc>
          <w:tcPr>
            <w:tcW w:w="2610" w:type="dxa"/>
            <w:gridSpan w:val="2"/>
            <w:tcBorders>
              <w:bottom w:val="nil"/>
            </w:tcBorders>
            <w:shd w:val="clear" w:color="auto" w:fill="auto"/>
          </w:tcPr>
          <w:p w14:paraId="582636C0" w14:textId="77777777" w:rsidR="00BA27B9" w:rsidRPr="00BA5FCD" w:rsidRDefault="00BA27B9" w:rsidP="00272555">
            <w:pPr>
              <w:spacing w:after="0" w:line="240" w:lineRule="auto"/>
              <w:jc w:val="center"/>
              <w:rPr>
                <w:rFonts w:ascii="Times New Roman" w:hAnsi="Times New Roman" w:cs="Times New Roman"/>
                <w:color w:val="000000"/>
              </w:rPr>
            </w:pPr>
            <w:r w:rsidRPr="00BA5FCD">
              <w:rPr>
                <w:rFonts w:ascii="Times New Roman" w:hAnsi="Times New Roman" w:cs="Times New Roman"/>
                <w:color w:val="000000"/>
              </w:rPr>
              <w:t>(ii)</w:t>
            </w:r>
          </w:p>
        </w:tc>
      </w:tr>
      <w:tr w:rsidR="00BA27B9" w:rsidRPr="00BA5FCD" w14:paraId="7B3B6A46" w14:textId="77777777" w:rsidTr="00272555">
        <w:trPr>
          <w:trHeight w:val="177"/>
        </w:trPr>
        <w:tc>
          <w:tcPr>
            <w:tcW w:w="1890" w:type="dxa"/>
            <w:vMerge/>
            <w:shd w:val="clear" w:color="auto" w:fill="auto"/>
            <w:noWrap/>
            <w:vAlign w:val="bottom"/>
          </w:tcPr>
          <w:p w14:paraId="60AB8E22" w14:textId="77777777" w:rsidR="00BA27B9" w:rsidRPr="00BA5FCD" w:rsidRDefault="00BA27B9" w:rsidP="00272555">
            <w:pPr>
              <w:spacing w:after="0" w:line="240" w:lineRule="auto"/>
              <w:rPr>
                <w:rFonts w:ascii="Times New Roman" w:eastAsia="Times New Roman" w:hAnsi="Times New Roman" w:cs="Times New Roman"/>
                <w:sz w:val="24"/>
                <w:szCs w:val="24"/>
              </w:rPr>
            </w:pPr>
          </w:p>
        </w:tc>
        <w:tc>
          <w:tcPr>
            <w:tcW w:w="810" w:type="dxa"/>
            <w:vMerge/>
          </w:tcPr>
          <w:p w14:paraId="3078930E"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tc>
        <w:tc>
          <w:tcPr>
            <w:tcW w:w="810" w:type="dxa"/>
            <w:vMerge/>
          </w:tcPr>
          <w:p w14:paraId="1CAE5EB9"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tc>
        <w:tc>
          <w:tcPr>
            <w:tcW w:w="1080" w:type="dxa"/>
            <w:vMerge/>
            <w:shd w:val="clear" w:color="auto" w:fill="auto"/>
            <w:noWrap/>
          </w:tcPr>
          <w:p w14:paraId="6874A27E" w14:textId="77777777" w:rsidR="00BA27B9" w:rsidRPr="00BA5FCD" w:rsidRDefault="00BA27B9" w:rsidP="00272555">
            <w:pPr>
              <w:spacing w:after="0" w:line="240" w:lineRule="auto"/>
              <w:jc w:val="center"/>
              <w:rPr>
                <w:rFonts w:ascii="Times New Roman" w:eastAsia="Times New Roman" w:hAnsi="Times New Roman" w:cs="Times New Roman"/>
                <w:color w:val="000000"/>
              </w:rPr>
            </w:pPr>
          </w:p>
        </w:tc>
        <w:tc>
          <w:tcPr>
            <w:tcW w:w="1170" w:type="dxa"/>
            <w:shd w:val="clear" w:color="auto" w:fill="auto"/>
            <w:noWrap/>
          </w:tcPr>
          <w:p w14:paraId="5D8A99F5" w14:textId="77777777" w:rsidR="00BA27B9" w:rsidRPr="00BA5FCD" w:rsidRDefault="00BA27B9" w:rsidP="00272555">
            <w:pPr>
              <w:spacing w:after="0" w:line="240" w:lineRule="auto"/>
              <w:jc w:val="center"/>
              <w:rPr>
                <w:rFonts w:ascii="Times New Roman" w:hAnsi="Times New Roman" w:cs="Times New Roman"/>
                <w:color w:val="000000"/>
              </w:rPr>
            </w:pPr>
            <w:r w:rsidRPr="00BA5FCD">
              <w:rPr>
                <w:rFonts w:ascii="Times New Roman" w:hAnsi="Times New Roman" w:cs="Times New Roman"/>
                <w:color w:val="000000"/>
              </w:rPr>
              <w:t>Absolute poverty reduction 1985 line</w:t>
            </w:r>
          </w:p>
        </w:tc>
        <w:tc>
          <w:tcPr>
            <w:tcW w:w="1530" w:type="dxa"/>
            <w:shd w:val="clear" w:color="auto" w:fill="auto"/>
          </w:tcPr>
          <w:p w14:paraId="29413235" w14:textId="77777777" w:rsidR="00BA27B9" w:rsidRPr="00BA5FCD" w:rsidRDefault="00BA27B9" w:rsidP="00272555">
            <w:pPr>
              <w:spacing w:after="0" w:line="240" w:lineRule="auto"/>
              <w:jc w:val="center"/>
              <w:rPr>
                <w:rFonts w:ascii="Times New Roman" w:hAnsi="Times New Roman" w:cs="Times New Roman"/>
                <w:color w:val="000000"/>
              </w:rPr>
            </w:pPr>
            <w:r w:rsidRPr="00BA5FCD">
              <w:rPr>
                <w:rFonts w:ascii="Times New Roman" w:hAnsi="Times New Roman" w:cs="Times New Roman"/>
                <w:color w:val="000000"/>
              </w:rPr>
              <w:t>Upward revision to the poverty line, 2011 base</w:t>
            </w:r>
          </w:p>
        </w:tc>
        <w:tc>
          <w:tcPr>
            <w:tcW w:w="1080" w:type="dxa"/>
            <w:tcBorders>
              <w:top w:val="nil"/>
              <w:bottom w:val="single" w:sz="4" w:space="0" w:color="auto"/>
            </w:tcBorders>
            <w:shd w:val="clear" w:color="auto" w:fill="auto"/>
          </w:tcPr>
          <w:p w14:paraId="452FEBCD" w14:textId="77777777" w:rsidR="00BA27B9" w:rsidRPr="00BA5FCD" w:rsidRDefault="00BA27B9" w:rsidP="00272555">
            <w:pPr>
              <w:spacing w:after="0" w:line="240" w:lineRule="auto"/>
              <w:jc w:val="center"/>
              <w:rPr>
                <w:rFonts w:ascii="Times New Roman" w:hAnsi="Times New Roman" w:cs="Times New Roman"/>
                <w:color w:val="000000"/>
              </w:rPr>
            </w:pPr>
            <w:r w:rsidRPr="00BA5FCD">
              <w:rPr>
                <w:rFonts w:ascii="Times New Roman" w:hAnsi="Times New Roman" w:cs="Times New Roman"/>
                <w:color w:val="000000"/>
              </w:rPr>
              <w:t xml:space="preserve">Absolute poverty reduction 2011 line </w:t>
            </w:r>
          </w:p>
        </w:tc>
        <w:tc>
          <w:tcPr>
            <w:tcW w:w="1530" w:type="dxa"/>
            <w:tcBorders>
              <w:top w:val="nil"/>
              <w:bottom w:val="single" w:sz="4" w:space="0" w:color="auto"/>
            </w:tcBorders>
            <w:shd w:val="clear" w:color="auto" w:fill="auto"/>
          </w:tcPr>
          <w:p w14:paraId="5A75FB6D" w14:textId="77777777" w:rsidR="00BA27B9" w:rsidRPr="00BA5FCD" w:rsidRDefault="00BA27B9" w:rsidP="00272555">
            <w:pPr>
              <w:spacing w:after="0" w:line="240" w:lineRule="auto"/>
              <w:jc w:val="center"/>
              <w:rPr>
                <w:rFonts w:ascii="Times New Roman" w:hAnsi="Times New Roman" w:cs="Times New Roman"/>
                <w:color w:val="000000"/>
              </w:rPr>
            </w:pPr>
            <w:r w:rsidRPr="00BA5FCD">
              <w:rPr>
                <w:rFonts w:ascii="Times New Roman" w:hAnsi="Times New Roman" w:cs="Times New Roman"/>
                <w:color w:val="000000"/>
              </w:rPr>
              <w:t>Upward revision to the poverty line, 1985 base</w:t>
            </w:r>
          </w:p>
        </w:tc>
      </w:tr>
      <w:tr w:rsidR="00BA27B9" w:rsidRPr="00BA5FCD" w14:paraId="0EA6247B" w14:textId="77777777" w:rsidTr="00272555">
        <w:trPr>
          <w:trHeight w:val="288"/>
        </w:trPr>
        <w:tc>
          <w:tcPr>
            <w:tcW w:w="1890" w:type="dxa"/>
            <w:tcBorders>
              <w:top w:val="single" w:sz="4" w:space="0" w:color="auto"/>
              <w:bottom w:val="nil"/>
            </w:tcBorders>
            <w:shd w:val="clear" w:color="auto" w:fill="auto"/>
            <w:noWrap/>
            <w:hideMark/>
          </w:tcPr>
          <w:p w14:paraId="3168EBED" w14:textId="77777777" w:rsidR="00BA27B9" w:rsidRPr="00BA5FCD" w:rsidRDefault="00BA27B9" w:rsidP="00272555">
            <w:pPr>
              <w:spacing w:after="0" w:line="240" w:lineRule="auto"/>
              <w:rPr>
                <w:rFonts w:ascii="Times New Roman" w:hAnsi="Times New Roman" w:cs="Times New Roman"/>
                <w:sz w:val="24"/>
                <w:szCs w:val="24"/>
              </w:rPr>
            </w:pPr>
            <w:r w:rsidRPr="00BA5FCD">
              <w:rPr>
                <w:rFonts w:ascii="Times New Roman" w:hAnsi="Times New Roman" w:cs="Times New Roman"/>
                <w:sz w:val="24"/>
                <w:szCs w:val="24"/>
              </w:rPr>
              <w:t>Poverty rate (%)</w:t>
            </w:r>
          </w:p>
        </w:tc>
        <w:tc>
          <w:tcPr>
            <w:tcW w:w="810" w:type="dxa"/>
            <w:tcBorders>
              <w:top w:val="single" w:sz="4" w:space="0" w:color="auto"/>
              <w:bottom w:val="nil"/>
            </w:tcBorders>
            <w:vAlign w:val="bottom"/>
          </w:tcPr>
          <w:p w14:paraId="212FBD8A"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24.11</w:t>
            </w:r>
          </w:p>
        </w:tc>
        <w:tc>
          <w:tcPr>
            <w:tcW w:w="810" w:type="dxa"/>
            <w:tcBorders>
              <w:top w:val="single" w:sz="4" w:space="0" w:color="auto"/>
              <w:bottom w:val="nil"/>
            </w:tcBorders>
            <w:vAlign w:val="bottom"/>
          </w:tcPr>
          <w:p w14:paraId="3F8713D3"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16.35</w:t>
            </w:r>
          </w:p>
        </w:tc>
        <w:tc>
          <w:tcPr>
            <w:tcW w:w="1080" w:type="dxa"/>
            <w:tcBorders>
              <w:top w:val="single" w:sz="4" w:space="0" w:color="auto"/>
              <w:bottom w:val="nil"/>
            </w:tcBorders>
            <w:shd w:val="clear" w:color="auto" w:fill="auto"/>
            <w:noWrap/>
            <w:vAlign w:val="bottom"/>
            <w:hideMark/>
          </w:tcPr>
          <w:p w14:paraId="3C106470"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-7.76</w:t>
            </w:r>
          </w:p>
        </w:tc>
        <w:tc>
          <w:tcPr>
            <w:tcW w:w="1170" w:type="dxa"/>
            <w:tcBorders>
              <w:top w:val="single" w:sz="4" w:space="0" w:color="auto"/>
              <w:bottom w:val="nil"/>
            </w:tcBorders>
            <w:shd w:val="clear" w:color="auto" w:fill="auto"/>
            <w:noWrap/>
            <w:vAlign w:val="bottom"/>
          </w:tcPr>
          <w:p w14:paraId="5BE9EDE9"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-19.79</w:t>
            </w:r>
          </w:p>
        </w:tc>
        <w:tc>
          <w:tcPr>
            <w:tcW w:w="1530" w:type="dxa"/>
            <w:tcBorders>
              <w:top w:val="single" w:sz="4" w:space="0" w:color="auto"/>
              <w:bottom w:val="nil"/>
            </w:tcBorders>
            <w:shd w:val="clear" w:color="auto" w:fill="auto"/>
            <w:noWrap/>
            <w:vAlign w:val="bottom"/>
          </w:tcPr>
          <w:p w14:paraId="3858D997"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12.03</w:t>
            </w:r>
          </w:p>
        </w:tc>
        <w:tc>
          <w:tcPr>
            <w:tcW w:w="1080" w:type="dxa"/>
            <w:tcBorders>
              <w:top w:val="single" w:sz="4" w:space="0" w:color="auto"/>
            </w:tcBorders>
            <w:shd w:val="clear" w:color="auto" w:fill="auto"/>
            <w:noWrap/>
            <w:vAlign w:val="bottom"/>
          </w:tcPr>
          <w:p w14:paraId="43A03672"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-70.91</w:t>
            </w:r>
          </w:p>
        </w:tc>
        <w:tc>
          <w:tcPr>
            <w:tcW w:w="1530" w:type="dxa"/>
            <w:tcBorders>
              <w:top w:val="single" w:sz="4" w:space="0" w:color="auto"/>
            </w:tcBorders>
            <w:shd w:val="clear" w:color="auto" w:fill="auto"/>
            <w:vAlign w:val="bottom"/>
          </w:tcPr>
          <w:p w14:paraId="74557CEA"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63.15</w:t>
            </w:r>
          </w:p>
        </w:tc>
      </w:tr>
      <w:tr w:rsidR="00BA27B9" w:rsidRPr="00BA5FCD" w14:paraId="3CAD2229" w14:textId="77777777" w:rsidTr="00272555">
        <w:trPr>
          <w:trHeight w:val="288"/>
        </w:trPr>
        <w:tc>
          <w:tcPr>
            <w:tcW w:w="1890" w:type="dxa"/>
            <w:tcBorders>
              <w:top w:val="nil"/>
            </w:tcBorders>
            <w:shd w:val="clear" w:color="auto" w:fill="auto"/>
            <w:noWrap/>
            <w:hideMark/>
          </w:tcPr>
          <w:p w14:paraId="16D245BF" w14:textId="77777777" w:rsidR="00BA27B9" w:rsidRPr="00BA5FCD" w:rsidRDefault="00BA27B9" w:rsidP="00272555">
            <w:pPr>
              <w:spacing w:after="0" w:line="240" w:lineRule="auto"/>
              <w:rPr>
                <w:rFonts w:ascii="Times New Roman" w:hAnsi="Times New Roman" w:cs="Times New Roman"/>
                <w:sz w:val="24"/>
                <w:szCs w:val="24"/>
              </w:rPr>
            </w:pPr>
            <w:r w:rsidRPr="00BA5FCD">
              <w:rPr>
                <w:rFonts w:ascii="Times New Roman" w:hAnsi="Times New Roman" w:cs="Times New Roman"/>
                <w:sz w:val="24"/>
                <w:szCs w:val="24"/>
              </w:rPr>
              <w:t>Poverty gap (%)</w:t>
            </w:r>
          </w:p>
        </w:tc>
        <w:tc>
          <w:tcPr>
            <w:tcW w:w="810" w:type="dxa"/>
            <w:tcBorders>
              <w:top w:val="nil"/>
            </w:tcBorders>
            <w:vAlign w:val="bottom"/>
          </w:tcPr>
          <w:p w14:paraId="1BCA79AB"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5.7</w:t>
            </w:r>
          </w:p>
        </w:tc>
        <w:tc>
          <w:tcPr>
            <w:tcW w:w="810" w:type="dxa"/>
            <w:tcBorders>
              <w:top w:val="nil"/>
            </w:tcBorders>
            <w:vAlign w:val="bottom"/>
          </w:tcPr>
          <w:p w14:paraId="41AA6153"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6.29</w:t>
            </w:r>
          </w:p>
        </w:tc>
        <w:tc>
          <w:tcPr>
            <w:tcW w:w="1080" w:type="dxa"/>
            <w:tcBorders>
              <w:top w:val="nil"/>
            </w:tcBorders>
            <w:shd w:val="clear" w:color="auto" w:fill="auto"/>
            <w:noWrap/>
            <w:vAlign w:val="bottom"/>
            <w:hideMark/>
          </w:tcPr>
          <w:p w14:paraId="40647C94"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0.59</w:t>
            </w:r>
          </w:p>
        </w:tc>
        <w:tc>
          <w:tcPr>
            <w:tcW w:w="1170" w:type="dxa"/>
            <w:tcBorders>
              <w:top w:val="nil"/>
            </w:tcBorders>
            <w:shd w:val="clear" w:color="auto" w:fill="auto"/>
            <w:noWrap/>
            <w:vAlign w:val="bottom"/>
          </w:tcPr>
          <w:p w14:paraId="6A0C01EB"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-4.43</w:t>
            </w:r>
          </w:p>
        </w:tc>
        <w:tc>
          <w:tcPr>
            <w:tcW w:w="1530" w:type="dxa"/>
            <w:tcBorders>
              <w:top w:val="nil"/>
            </w:tcBorders>
            <w:shd w:val="clear" w:color="auto" w:fill="auto"/>
            <w:noWrap/>
            <w:vAlign w:val="bottom"/>
          </w:tcPr>
          <w:p w14:paraId="69B29180"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5.02</w:t>
            </w:r>
          </w:p>
        </w:tc>
        <w:tc>
          <w:tcPr>
            <w:tcW w:w="1080" w:type="dxa"/>
            <w:shd w:val="clear" w:color="auto" w:fill="auto"/>
            <w:noWrap/>
            <w:vAlign w:val="bottom"/>
          </w:tcPr>
          <w:p w14:paraId="0284C261"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-31.82</w:t>
            </w:r>
          </w:p>
        </w:tc>
        <w:tc>
          <w:tcPr>
            <w:tcW w:w="1530" w:type="dxa"/>
            <w:shd w:val="clear" w:color="auto" w:fill="auto"/>
            <w:vAlign w:val="bottom"/>
          </w:tcPr>
          <w:p w14:paraId="3A21C5C6"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32.41</w:t>
            </w:r>
          </w:p>
        </w:tc>
      </w:tr>
      <w:tr w:rsidR="00BA27B9" w:rsidRPr="00BA5FCD" w14:paraId="0E8BF5AD" w14:textId="77777777" w:rsidTr="00272555">
        <w:trPr>
          <w:trHeight w:val="288"/>
        </w:trPr>
        <w:tc>
          <w:tcPr>
            <w:tcW w:w="1890" w:type="dxa"/>
            <w:shd w:val="clear" w:color="auto" w:fill="auto"/>
            <w:noWrap/>
            <w:hideMark/>
          </w:tcPr>
          <w:p w14:paraId="59045895" w14:textId="77777777" w:rsidR="00BA27B9" w:rsidRPr="00BA5FCD" w:rsidRDefault="00BA27B9" w:rsidP="00272555">
            <w:pPr>
              <w:spacing w:after="0" w:line="240" w:lineRule="auto"/>
              <w:rPr>
                <w:rFonts w:ascii="Times New Roman" w:hAnsi="Times New Roman" w:cs="Times New Roman"/>
                <w:sz w:val="24"/>
                <w:szCs w:val="24"/>
              </w:rPr>
            </w:pPr>
            <w:r w:rsidRPr="00BA5FCD">
              <w:rPr>
                <w:rFonts w:ascii="Times New Roman" w:hAnsi="Times New Roman" w:cs="Times New Roman"/>
                <w:sz w:val="24"/>
                <w:szCs w:val="24"/>
              </w:rPr>
              <w:t>Squared poverty gap (x100)</w:t>
            </w:r>
          </w:p>
        </w:tc>
        <w:tc>
          <w:tcPr>
            <w:tcW w:w="810" w:type="dxa"/>
          </w:tcPr>
          <w:p w14:paraId="16C7363B"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1.91</w:t>
            </w:r>
          </w:p>
        </w:tc>
        <w:tc>
          <w:tcPr>
            <w:tcW w:w="810" w:type="dxa"/>
          </w:tcPr>
          <w:p w14:paraId="737830B3"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3.35</w:t>
            </w:r>
          </w:p>
        </w:tc>
        <w:tc>
          <w:tcPr>
            <w:tcW w:w="1080" w:type="dxa"/>
            <w:shd w:val="clear" w:color="auto" w:fill="auto"/>
            <w:noWrap/>
            <w:hideMark/>
          </w:tcPr>
          <w:p w14:paraId="64F136DD"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1.44</w:t>
            </w:r>
          </w:p>
        </w:tc>
        <w:tc>
          <w:tcPr>
            <w:tcW w:w="1170" w:type="dxa"/>
            <w:shd w:val="clear" w:color="auto" w:fill="auto"/>
            <w:noWrap/>
          </w:tcPr>
          <w:p w14:paraId="14D2B599"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-1.4</w:t>
            </w:r>
          </w:p>
        </w:tc>
        <w:tc>
          <w:tcPr>
            <w:tcW w:w="1530" w:type="dxa"/>
            <w:shd w:val="clear" w:color="auto" w:fill="auto"/>
            <w:noWrap/>
          </w:tcPr>
          <w:p w14:paraId="728D64FA"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2.84</w:t>
            </w:r>
          </w:p>
        </w:tc>
        <w:tc>
          <w:tcPr>
            <w:tcW w:w="1080" w:type="dxa"/>
            <w:shd w:val="clear" w:color="auto" w:fill="auto"/>
            <w:noWrap/>
          </w:tcPr>
          <w:p w14:paraId="3567C614"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-16.65</w:t>
            </w:r>
          </w:p>
        </w:tc>
        <w:tc>
          <w:tcPr>
            <w:tcW w:w="1530" w:type="dxa"/>
            <w:shd w:val="clear" w:color="auto" w:fill="auto"/>
          </w:tcPr>
          <w:p w14:paraId="6926BF76" w14:textId="77777777" w:rsidR="00BA27B9" w:rsidRPr="00BA5FCD" w:rsidRDefault="00BA27B9" w:rsidP="00272555">
            <w:pPr>
              <w:spacing w:after="0" w:line="360" w:lineRule="auto"/>
              <w:jc w:val="center"/>
              <w:rPr>
                <w:rFonts w:ascii="Times New Roman" w:hAnsi="Times New Roman" w:cs="Times New Roman"/>
                <w:sz w:val="24"/>
                <w:szCs w:val="24"/>
              </w:rPr>
            </w:pPr>
            <w:r w:rsidRPr="00BA5FCD">
              <w:rPr>
                <w:rFonts w:ascii="Times New Roman" w:hAnsi="Times New Roman" w:cs="Times New Roman"/>
                <w:color w:val="000000"/>
              </w:rPr>
              <w:t>18.09</w:t>
            </w:r>
          </w:p>
        </w:tc>
      </w:tr>
    </w:tbl>
    <w:p w14:paraId="2A5C9F3A" w14:textId="77777777" w:rsidR="00BA27B9" w:rsidRPr="00BA5FCD" w:rsidRDefault="00BA27B9" w:rsidP="00BA27B9">
      <w:pPr>
        <w:spacing w:after="0" w:line="240" w:lineRule="auto"/>
        <w:rPr>
          <w:rFonts w:ascii="Times New Roman" w:hAnsi="Times New Roman" w:cs="Times New Roman"/>
          <w:sz w:val="20"/>
          <w:szCs w:val="20"/>
        </w:rPr>
      </w:pPr>
      <w:r w:rsidRPr="00BA5FCD">
        <w:rPr>
          <w:rFonts w:ascii="Times New Roman" w:hAnsi="Times New Roman" w:cs="Times New Roman"/>
          <w:sz w:val="20"/>
          <w:szCs w:val="20"/>
          <w:u w:val="single"/>
        </w:rPr>
        <w:t>Note</w:t>
      </w:r>
      <w:r w:rsidRPr="00BA5FCD">
        <w:rPr>
          <w:rFonts w:ascii="Times New Roman" w:hAnsi="Times New Roman" w:cs="Times New Roman"/>
          <w:sz w:val="20"/>
          <w:szCs w:val="20"/>
        </w:rPr>
        <w:t>: China’s official poverty lines are explicitly for rural areas. Authors’ estimates of the poverty measures using distributions of household per capita income produced by China’s National Bureau of Statistics. See text for more detail.</w:t>
      </w:r>
    </w:p>
    <w:p w14:paraId="3E554272" w14:textId="34E26FDA" w:rsidR="00BA27B9" w:rsidRDefault="00BA27B9" w:rsidP="00BA27B9"/>
    <w:p w14:paraId="6DE9C1A1" w14:textId="69E1D99F" w:rsidR="0032546A" w:rsidRPr="0032546A" w:rsidRDefault="0032546A" w:rsidP="0032546A">
      <w:pPr>
        <w:rPr>
          <w:rFonts w:ascii="Times New Roman" w:hAnsi="Times New Roman" w:cs="Times New Roman"/>
          <w:b/>
          <w:bCs/>
          <w:sz w:val="28"/>
          <w:szCs w:val="28"/>
        </w:rPr>
      </w:pPr>
      <w:r w:rsidRPr="0032546A">
        <w:rPr>
          <w:rFonts w:ascii="Times New Roman" w:hAnsi="Times New Roman" w:cs="Times New Roman"/>
          <w:b/>
          <w:bCs/>
          <w:sz w:val="28"/>
          <w:szCs w:val="28"/>
        </w:rPr>
        <w:lastRenderedPageBreak/>
        <w:t>References</w:t>
      </w:r>
    </w:p>
    <w:p w14:paraId="7469BC26" w14:textId="77777777" w:rsidR="0032546A" w:rsidRPr="00BA5FCD" w:rsidRDefault="0032546A" w:rsidP="0032546A">
      <w:pPr>
        <w:spacing w:after="0" w:line="360" w:lineRule="auto"/>
        <w:ind w:left="720" w:hanging="720"/>
        <w:rPr>
          <w:rFonts w:ascii="Times New Roman" w:hAnsi="Times New Roman" w:cs="Times New Roman"/>
          <w:sz w:val="24"/>
          <w:szCs w:val="24"/>
        </w:rPr>
      </w:pPr>
      <w:bookmarkStart w:id="0" w:name="_Hlk53920764"/>
      <w:proofErr w:type="spellStart"/>
      <w:r w:rsidRPr="00BA5FCD">
        <w:rPr>
          <w:rFonts w:ascii="Times New Roman" w:hAnsi="Times New Roman" w:cs="Times New Roman"/>
          <w:sz w:val="24"/>
          <w:szCs w:val="24"/>
        </w:rPr>
        <w:t>Duesenberry</w:t>
      </w:r>
      <w:proofErr w:type="spellEnd"/>
      <w:r w:rsidRPr="00BA5FCD">
        <w:rPr>
          <w:rFonts w:ascii="Times New Roman" w:hAnsi="Times New Roman" w:cs="Times New Roman"/>
          <w:sz w:val="24"/>
          <w:szCs w:val="24"/>
        </w:rPr>
        <w:t xml:space="preserve">, James S., 1949, </w:t>
      </w:r>
      <w:r w:rsidRPr="00BA5FCD">
        <w:rPr>
          <w:rFonts w:ascii="Times New Roman" w:hAnsi="Times New Roman" w:cs="Times New Roman"/>
          <w:i/>
          <w:sz w:val="24"/>
          <w:szCs w:val="24"/>
        </w:rPr>
        <w:t xml:space="preserve">Income, Saving and the Theory of Consumer Behavior, </w:t>
      </w:r>
      <w:r w:rsidRPr="00BA5FCD">
        <w:rPr>
          <w:rFonts w:ascii="Times New Roman" w:hAnsi="Times New Roman" w:cs="Times New Roman"/>
          <w:sz w:val="24"/>
          <w:szCs w:val="24"/>
        </w:rPr>
        <w:t>Cambridge, Mass.: Harvard University Press.</w:t>
      </w:r>
    </w:p>
    <w:p w14:paraId="04A88FCC" w14:textId="6923B6AE" w:rsidR="0032546A" w:rsidRPr="00BA5FCD" w:rsidRDefault="0032546A" w:rsidP="0032546A">
      <w:pPr>
        <w:spacing w:after="0" w:line="360" w:lineRule="auto"/>
        <w:ind w:left="720" w:hanging="720"/>
        <w:rPr>
          <w:rFonts w:ascii="Times New Roman" w:hAnsi="Times New Roman" w:cs="Times New Roman"/>
          <w:sz w:val="24"/>
          <w:szCs w:val="24"/>
        </w:rPr>
      </w:pPr>
      <w:r w:rsidRPr="00BA5FCD">
        <w:rPr>
          <w:rFonts w:ascii="Times New Roman" w:hAnsi="Times New Roman" w:cs="Times New Roman"/>
          <w:sz w:val="24"/>
          <w:szCs w:val="24"/>
        </w:rPr>
        <w:t xml:space="preserve">Ravallion, Martin, and Shaohua Chen, 2011, “Weakly Relative Poverty,” </w:t>
      </w:r>
      <w:r w:rsidRPr="00BA5FCD">
        <w:rPr>
          <w:rFonts w:ascii="Times New Roman" w:hAnsi="Times New Roman" w:cs="Times New Roman"/>
          <w:i/>
          <w:sz w:val="24"/>
          <w:szCs w:val="24"/>
        </w:rPr>
        <w:t>Review of Economics and Statistics</w:t>
      </w:r>
      <w:r w:rsidRPr="00BA5FCD">
        <w:rPr>
          <w:rFonts w:ascii="Times New Roman" w:hAnsi="Times New Roman" w:cs="Times New Roman"/>
          <w:sz w:val="24"/>
          <w:szCs w:val="24"/>
        </w:rPr>
        <w:t xml:space="preserve"> 93(4): 1251-1261.</w:t>
      </w:r>
    </w:p>
    <w:p w14:paraId="51A14240" w14:textId="77777777" w:rsidR="0032546A" w:rsidRPr="003E6B94" w:rsidRDefault="0032546A" w:rsidP="0032546A">
      <w:pPr>
        <w:spacing w:after="0" w:line="360" w:lineRule="auto"/>
        <w:ind w:left="720" w:hanging="720"/>
        <w:rPr>
          <w:rFonts w:ascii="Times New Roman" w:hAnsi="Times New Roman" w:cs="Times New Roman"/>
          <w:sz w:val="24"/>
          <w:szCs w:val="24"/>
        </w:rPr>
      </w:pPr>
      <w:r w:rsidRPr="00BA5FCD">
        <w:rPr>
          <w:rFonts w:ascii="Times New Roman" w:hAnsi="Times New Roman" w:cs="Times New Roman"/>
          <w:sz w:val="24"/>
          <w:szCs w:val="24"/>
        </w:rPr>
        <w:t>______________, and ____________, 2019, “</w:t>
      </w:r>
      <w:r w:rsidRPr="00BA5FCD">
        <w:rPr>
          <w:rFonts w:ascii="Times New Roman" w:hAnsi="Times New Roman" w:cs="Times New Roman"/>
          <w:sz w:val="24"/>
          <w:szCs w:val="24"/>
          <w:lang w:val="en-CA"/>
        </w:rPr>
        <w:t xml:space="preserve">Global Poverty Measurement when Relative </w:t>
      </w:r>
      <w:r w:rsidRPr="003E6B94">
        <w:rPr>
          <w:rFonts w:ascii="Times New Roman" w:hAnsi="Times New Roman" w:cs="Times New Roman"/>
          <w:sz w:val="24"/>
          <w:szCs w:val="24"/>
          <w:lang w:val="en-CA"/>
        </w:rPr>
        <w:t xml:space="preserve">Income Matters,” </w:t>
      </w:r>
      <w:r w:rsidRPr="003E6B94">
        <w:rPr>
          <w:rFonts w:ascii="Times New Roman" w:hAnsi="Times New Roman" w:cs="Times New Roman"/>
          <w:i/>
          <w:iCs/>
          <w:sz w:val="24"/>
          <w:szCs w:val="24"/>
          <w:lang w:val="en-CA"/>
        </w:rPr>
        <w:t>Journal of Public Economics</w:t>
      </w:r>
      <w:r w:rsidRPr="003E6B94">
        <w:rPr>
          <w:rFonts w:ascii="Times New Roman" w:hAnsi="Times New Roman" w:cs="Times New Roman"/>
          <w:sz w:val="24"/>
          <w:szCs w:val="24"/>
          <w:lang w:val="en-CA"/>
        </w:rPr>
        <w:t xml:space="preserve">, </w:t>
      </w:r>
      <w:r w:rsidRPr="003E6B94">
        <w:rPr>
          <w:rFonts w:ascii="Times New Roman" w:hAnsi="Times New Roman" w:cs="Times New Roman"/>
          <w:bCs/>
          <w:sz w:val="24"/>
          <w:szCs w:val="24"/>
          <w:lang w:val="en-GB"/>
        </w:rPr>
        <w:t>177: 1-13</w:t>
      </w:r>
      <w:r w:rsidRPr="003E6B94">
        <w:rPr>
          <w:rFonts w:ascii="Times New Roman" w:hAnsi="Times New Roman" w:cs="Times New Roman"/>
          <w:sz w:val="24"/>
          <w:szCs w:val="24"/>
          <w:lang w:val="en-CA"/>
        </w:rPr>
        <w:t>.</w:t>
      </w:r>
      <w:r w:rsidRPr="003E6B94">
        <w:rPr>
          <w:rFonts w:ascii="Times New Roman" w:hAnsi="Times New Roman" w:cs="Times New Roman"/>
          <w:sz w:val="24"/>
          <w:szCs w:val="24"/>
        </w:rPr>
        <w:t xml:space="preserve"> </w:t>
      </w:r>
    </w:p>
    <w:bookmarkEnd w:id="0"/>
    <w:p w14:paraId="4F7ED46E" w14:textId="77777777" w:rsidR="00BA27B9" w:rsidRDefault="00BA27B9">
      <w:pPr>
        <w:spacing w:after="0" w:line="240" w:lineRule="auto"/>
        <w:rPr>
          <w:rFonts w:ascii="Times New Roman" w:hAnsi="Times New Roman" w:cs="Times New Roman"/>
          <w:b/>
          <w:bCs/>
          <w:sz w:val="28"/>
          <w:szCs w:val="28"/>
        </w:rPr>
      </w:pPr>
    </w:p>
    <w:sectPr w:rsidR="00BA27B9" w:rsidSect="00B2505F">
      <w:footerReference w:type="defaul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95FF5" w14:textId="77777777" w:rsidR="00E1655F" w:rsidRDefault="00E1655F" w:rsidP="00366F78">
      <w:pPr>
        <w:spacing w:after="0" w:line="240" w:lineRule="auto"/>
      </w:pPr>
      <w:r>
        <w:separator/>
      </w:r>
    </w:p>
  </w:endnote>
  <w:endnote w:type="continuationSeparator" w:id="0">
    <w:p w14:paraId="3F2098E6" w14:textId="77777777" w:rsidR="00E1655F" w:rsidRDefault="00E1655F" w:rsidP="0036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TIX-Regular">
    <w:altName w:val="Cambria"/>
    <w:panose1 w:val="00000000000000000000"/>
    <w:charset w:val="00"/>
    <w:family w:val="roman"/>
    <w:notTrueType/>
    <w:pitch w:val="default"/>
  </w:font>
  <w:font w:name="STIX-Itali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4553560"/>
      <w:docPartObj>
        <w:docPartGallery w:val="Page Numbers (Bottom of Page)"/>
        <w:docPartUnique/>
      </w:docPartObj>
    </w:sdtPr>
    <w:sdtEndPr>
      <w:rPr>
        <w:noProof/>
      </w:rPr>
    </w:sdtEndPr>
    <w:sdtContent>
      <w:p w14:paraId="6F6F2839" w14:textId="77777777" w:rsidR="00E1655F" w:rsidRDefault="00E1655F">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166708A6" w14:textId="77777777" w:rsidR="00E1655F" w:rsidRDefault="00E1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8E83D" w14:textId="77777777" w:rsidR="00E1655F" w:rsidRDefault="00E1655F" w:rsidP="00366F78">
      <w:pPr>
        <w:spacing w:after="0" w:line="240" w:lineRule="auto"/>
      </w:pPr>
      <w:r>
        <w:separator/>
      </w:r>
    </w:p>
  </w:footnote>
  <w:footnote w:type="continuationSeparator" w:id="0">
    <w:p w14:paraId="56CAA30D" w14:textId="77777777" w:rsidR="00E1655F" w:rsidRDefault="00E1655F" w:rsidP="00366F78">
      <w:pPr>
        <w:spacing w:after="0" w:line="240" w:lineRule="auto"/>
      </w:pPr>
      <w:r>
        <w:continuationSeparator/>
      </w:r>
    </w:p>
  </w:footnote>
  <w:footnote w:id="1">
    <w:p w14:paraId="69F50CF0" w14:textId="77777777" w:rsidR="00BA27B9" w:rsidRDefault="00BA27B9" w:rsidP="00BA27B9">
      <w:pPr>
        <w:pStyle w:val="FootnoteText"/>
      </w:pPr>
      <w:r>
        <w:rPr>
          <w:rStyle w:val="FootnoteReference"/>
        </w:rPr>
        <w:footnoteRef/>
      </w:r>
      <w:r>
        <w:t xml:space="preserve"> For example, the national Gini index for consumption rose from 0.26 in 1990 to 0.38 in 2016 (</w:t>
      </w:r>
      <w:proofErr w:type="spellStart"/>
      <w:r>
        <w:rPr>
          <w:i/>
          <w:iCs/>
        </w:rPr>
        <w:fldChar w:fldCharType="begin"/>
      </w:r>
      <w:r>
        <w:rPr>
          <w:i/>
          <w:iCs/>
        </w:rPr>
        <w:instrText xml:space="preserve"> HYPERLINK "http://iresearch.worldbank.org/PovcalNet/povOnDemand.aspx" </w:instrText>
      </w:r>
      <w:r>
        <w:rPr>
          <w:i/>
          <w:iCs/>
        </w:rPr>
        <w:fldChar w:fldCharType="separate"/>
      </w:r>
      <w:r w:rsidRPr="007C4090">
        <w:rPr>
          <w:rStyle w:val="Hyperlink"/>
          <w:i/>
          <w:iCs/>
        </w:rPr>
        <w:t>PovcalNet</w:t>
      </w:r>
      <w:proofErr w:type="spellEnd"/>
      <w:r>
        <w:rPr>
          <w:i/>
          <w:iCs/>
        </w:rPr>
        <w:fldChar w:fldCharType="end"/>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2428"/>
    <w:multiLevelType w:val="hybridMultilevel"/>
    <w:tmpl w:val="98AA5B12"/>
    <w:lvl w:ilvl="0" w:tplc="3CD425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71C1"/>
    <w:multiLevelType w:val="hybridMultilevel"/>
    <w:tmpl w:val="857EC0EE"/>
    <w:lvl w:ilvl="0" w:tplc="3D765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D27BE"/>
    <w:multiLevelType w:val="hybridMultilevel"/>
    <w:tmpl w:val="C4941072"/>
    <w:lvl w:ilvl="0" w:tplc="4F7E258A">
      <w:start w:val="1"/>
      <w:numFmt w:val="bullet"/>
      <w:lvlText w:val="•"/>
      <w:lvlJc w:val="left"/>
      <w:pPr>
        <w:tabs>
          <w:tab w:val="num" w:pos="720"/>
        </w:tabs>
        <w:ind w:left="720" w:hanging="360"/>
      </w:pPr>
      <w:rPr>
        <w:rFonts w:ascii="Arial" w:hAnsi="Arial" w:hint="default"/>
      </w:rPr>
    </w:lvl>
    <w:lvl w:ilvl="1" w:tplc="9A6241B2" w:tentative="1">
      <w:start w:val="1"/>
      <w:numFmt w:val="bullet"/>
      <w:lvlText w:val="•"/>
      <w:lvlJc w:val="left"/>
      <w:pPr>
        <w:tabs>
          <w:tab w:val="num" w:pos="1440"/>
        </w:tabs>
        <w:ind w:left="1440" w:hanging="360"/>
      </w:pPr>
      <w:rPr>
        <w:rFonts w:ascii="Arial" w:hAnsi="Arial" w:hint="default"/>
      </w:rPr>
    </w:lvl>
    <w:lvl w:ilvl="2" w:tplc="AB684ED0" w:tentative="1">
      <w:start w:val="1"/>
      <w:numFmt w:val="bullet"/>
      <w:lvlText w:val="•"/>
      <w:lvlJc w:val="left"/>
      <w:pPr>
        <w:tabs>
          <w:tab w:val="num" w:pos="2160"/>
        </w:tabs>
        <w:ind w:left="2160" w:hanging="360"/>
      </w:pPr>
      <w:rPr>
        <w:rFonts w:ascii="Arial" w:hAnsi="Arial" w:hint="default"/>
      </w:rPr>
    </w:lvl>
    <w:lvl w:ilvl="3" w:tplc="F7561F18" w:tentative="1">
      <w:start w:val="1"/>
      <w:numFmt w:val="bullet"/>
      <w:lvlText w:val="•"/>
      <w:lvlJc w:val="left"/>
      <w:pPr>
        <w:tabs>
          <w:tab w:val="num" w:pos="2880"/>
        </w:tabs>
        <w:ind w:left="2880" w:hanging="360"/>
      </w:pPr>
      <w:rPr>
        <w:rFonts w:ascii="Arial" w:hAnsi="Arial" w:hint="default"/>
      </w:rPr>
    </w:lvl>
    <w:lvl w:ilvl="4" w:tplc="4718DA5E" w:tentative="1">
      <w:start w:val="1"/>
      <w:numFmt w:val="bullet"/>
      <w:lvlText w:val="•"/>
      <w:lvlJc w:val="left"/>
      <w:pPr>
        <w:tabs>
          <w:tab w:val="num" w:pos="3600"/>
        </w:tabs>
        <w:ind w:left="3600" w:hanging="360"/>
      </w:pPr>
      <w:rPr>
        <w:rFonts w:ascii="Arial" w:hAnsi="Arial" w:hint="default"/>
      </w:rPr>
    </w:lvl>
    <w:lvl w:ilvl="5" w:tplc="0C149AE2" w:tentative="1">
      <w:start w:val="1"/>
      <w:numFmt w:val="bullet"/>
      <w:lvlText w:val="•"/>
      <w:lvlJc w:val="left"/>
      <w:pPr>
        <w:tabs>
          <w:tab w:val="num" w:pos="4320"/>
        </w:tabs>
        <w:ind w:left="4320" w:hanging="360"/>
      </w:pPr>
      <w:rPr>
        <w:rFonts w:ascii="Arial" w:hAnsi="Arial" w:hint="default"/>
      </w:rPr>
    </w:lvl>
    <w:lvl w:ilvl="6" w:tplc="3A60DEE6" w:tentative="1">
      <w:start w:val="1"/>
      <w:numFmt w:val="bullet"/>
      <w:lvlText w:val="•"/>
      <w:lvlJc w:val="left"/>
      <w:pPr>
        <w:tabs>
          <w:tab w:val="num" w:pos="5040"/>
        </w:tabs>
        <w:ind w:left="5040" w:hanging="360"/>
      </w:pPr>
      <w:rPr>
        <w:rFonts w:ascii="Arial" w:hAnsi="Arial" w:hint="default"/>
      </w:rPr>
    </w:lvl>
    <w:lvl w:ilvl="7" w:tplc="BCFCBAE8" w:tentative="1">
      <w:start w:val="1"/>
      <w:numFmt w:val="bullet"/>
      <w:lvlText w:val="•"/>
      <w:lvlJc w:val="left"/>
      <w:pPr>
        <w:tabs>
          <w:tab w:val="num" w:pos="5760"/>
        </w:tabs>
        <w:ind w:left="5760" w:hanging="360"/>
      </w:pPr>
      <w:rPr>
        <w:rFonts w:ascii="Arial" w:hAnsi="Arial" w:hint="default"/>
      </w:rPr>
    </w:lvl>
    <w:lvl w:ilvl="8" w:tplc="D7A6A1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381F10"/>
    <w:multiLevelType w:val="hybridMultilevel"/>
    <w:tmpl w:val="C3FE85A0"/>
    <w:lvl w:ilvl="0" w:tplc="9000F71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DA26073"/>
    <w:multiLevelType w:val="hybridMultilevel"/>
    <w:tmpl w:val="76028B90"/>
    <w:lvl w:ilvl="0" w:tplc="86562E02">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600F78EB"/>
    <w:multiLevelType w:val="hybridMultilevel"/>
    <w:tmpl w:val="325AF3FA"/>
    <w:lvl w:ilvl="0" w:tplc="9CB67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15F78"/>
    <w:multiLevelType w:val="hybridMultilevel"/>
    <w:tmpl w:val="BC00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78"/>
    <w:rsid w:val="00002783"/>
    <w:rsid w:val="000028A2"/>
    <w:rsid w:val="00003A52"/>
    <w:rsid w:val="00003DDF"/>
    <w:rsid w:val="000043B9"/>
    <w:rsid w:val="00004CDB"/>
    <w:rsid w:val="00005287"/>
    <w:rsid w:val="00005E82"/>
    <w:rsid w:val="00006805"/>
    <w:rsid w:val="000126E6"/>
    <w:rsid w:val="000133E1"/>
    <w:rsid w:val="00013C68"/>
    <w:rsid w:val="00014C60"/>
    <w:rsid w:val="0001709D"/>
    <w:rsid w:val="000173B2"/>
    <w:rsid w:val="0002072C"/>
    <w:rsid w:val="00020BE4"/>
    <w:rsid w:val="000218BF"/>
    <w:rsid w:val="000223D7"/>
    <w:rsid w:val="000228A2"/>
    <w:rsid w:val="00022C64"/>
    <w:rsid w:val="000231EA"/>
    <w:rsid w:val="00023F24"/>
    <w:rsid w:val="00025280"/>
    <w:rsid w:val="000254C2"/>
    <w:rsid w:val="00025C64"/>
    <w:rsid w:val="00026335"/>
    <w:rsid w:val="0003023E"/>
    <w:rsid w:val="00030573"/>
    <w:rsid w:val="00033275"/>
    <w:rsid w:val="00033E18"/>
    <w:rsid w:val="0003436F"/>
    <w:rsid w:val="0003580A"/>
    <w:rsid w:val="00036C1D"/>
    <w:rsid w:val="00040CA1"/>
    <w:rsid w:val="00041896"/>
    <w:rsid w:val="00041A15"/>
    <w:rsid w:val="0004239C"/>
    <w:rsid w:val="00042529"/>
    <w:rsid w:val="00042642"/>
    <w:rsid w:val="000428A1"/>
    <w:rsid w:val="00042D9B"/>
    <w:rsid w:val="00043027"/>
    <w:rsid w:val="0004319B"/>
    <w:rsid w:val="00043407"/>
    <w:rsid w:val="00044AC7"/>
    <w:rsid w:val="0004594B"/>
    <w:rsid w:val="00045B2C"/>
    <w:rsid w:val="000475C8"/>
    <w:rsid w:val="00050604"/>
    <w:rsid w:val="00051CC7"/>
    <w:rsid w:val="00052830"/>
    <w:rsid w:val="0005290B"/>
    <w:rsid w:val="0005394D"/>
    <w:rsid w:val="000547F9"/>
    <w:rsid w:val="000551AA"/>
    <w:rsid w:val="0005688F"/>
    <w:rsid w:val="0005713B"/>
    <w:rsid w:val="00057D9D"/>
    <w:rsid w:val="00060457"/>
    <w:rsid w:val="0006071E"/>
    <w:rsid w:val="00060EE7"/>
    <w:rsid w:val="00061163"/>
    <w:rsid w:val="00061285"/>
    <w:rsid w:val="00062BA4"/>
    <w:rsid w:val="000630C1"/>
    <w:rsid w:val="000661ED"/>
    <w:rsid w:val="00066265"/>
    <w:rsid w:val="00067075"/>
    <w:rsid w:val="00070557"/>
    <w:rsid w:val="00070CE4"/>
    <w:rsid w:val="000721B7"/>
    <w:rsid w:val="000728AB"/>
    <w:rsid w:val="00072FAD"/>
    <w:rsid w:val="00074741"/>
    <w:rsid w:val="00075415"/>
    <w:rsid w:val="00075DF4"/>
    <w:rsid w:val="00076F79"/>
    <w:rsid w:val="000774FA"/>
    <w:rsid w:val="0007781A"/>
    <w:rsid w:val="00080323"/>
    <w:rsid w:val="00080792"/>
    <w:rsid w:val="0008089D"/>
    <w:rsid w:val="00083840"/>
    <w:rsid w:val="00083C7D"/>
    <w:rsid w:val="0008438E"/>
    <w:rsid w:val="0008628C"/>
    <w:rsid w:val="0008766B"/>
    <w:rsid w:val="00090720"/>
    <w:rsid w:val="00090B44"/>
    <w:rsid w:val="0009262F"/>
    <w:rsid w:val="00092B56"/>
    <w:rsid w:val="000965C6"/>
    <w:rsid w:val="000A17E5"/>
    <w:rsid w:val="000A2619"/>
    <w:rsid w:val="000A296C"/>
    <w:rsid w:val="000A47DC"/>
    <w:rsid w:val="000A5DEA"/>
    <w:rsid w:val="000A600C"/>
    <w:rsid w:val="000A7469"/>
    <w:rsid w:val="000B014F"/>
    <w:rsid w:val="000B0430"/>
    <w:rsid w:val="000B1C58"/>
    <w:rsid w:val="000B2A98"/>
    <w:rsid w:val="000B2B11"/>
    <w:rsid w:val="000B3C9D"/>
    <w:rsid w:val="000B55F3"/>
    <w:rsid w:val="000B64FF"/>
    <w:rsid w:val="000B6EC2"/>
    <w:rsid w:val="000B718F"/>
    <w:rsid w:val="000B7831"/>
    <w:rsid w:val="000B7960"/>
    <w:rsid w:val="000B7F47"/>
    <w:rsid w:val="000C0314"/>
    <w:rsid w:val="000C1350"/>
    <w:rsid w:val="000C189A"/>
    <w:rsid w:val="000C27D0"/>
    <w:rsid w:val="000C2BD3"/>
    <w:rsid w:val="000C3D68"/>
    <w:rsid w:val="000C4C83"/>
    <w:rsid w:val="000C4FB0"/>
    <w:rsid w:val="000C678F"/>
    <w:rsid w:val="000C7A05"/>
    <w:rsid w:val="000D00A0"/>
    <w:rsid w:val="000D02C0"/>
    <w:rsid w:val="000D20D6"/>
    <w:rsid w:val="000D24EA"/>
    <w:rsid w:val="000D2918"/>
    <w:rsid w:val="000D3E02"/>
    <w:rsid w:val="000D48AE"/>
    <w:rsid w:val="000D50CD"/>
    <w:rsid w:val="000D5E43"/>
    <w:rsid w:val="000D74A6"/>
    <w:rsid w:val="000D7B74"/>
    <w:rsid w:val="000E040E"/>
    <w:rsid w:val="000E04B3"/>
    <w:rsid w:val="000E17EF"/>
    <w:rsid w:val="000E26F3"/>
    <w:rsid w:val="000E2EF5"/>
    <w:rsid w:val="000E31A2"/>
    <w:rsid w:val="000E357B"/>
    <w:rsid w:val="000E3CAA"/>
    <w:rsid w:val="000E3DFB"/>
    <w:rsid w:val="000E4046"/>
    <w:rsid w:val="000E7C0A"/>
    <w:rsid w:val="000F231B"/>
    <w:rsid w:val="000F2427"/>
    <w:rsid w:val="000F5B39"/>
    <w:rsid w:val="001002F9"/>
    <w:rsid w:val="0010234F"/>
    <w:rsid w:val="001049DC"/>
    <w:rsid w:val="0010559C"/>
    <w:rsid w:val="00106FA1"/>
    <w:rsid w:val="00107E85"/>
    <w:rsid w:val="00110C72"/>
    <w:rsid w:val="00110F27"/>
    <w:rsid w:val="0011275C"/>
    <w:rsid w:val="00112EB3"/>
    <w:rsid w:val="00113D24"/>
    <w:rsid w:val="00114230"/>
    <w:rsid w:val="001143AF"/>
    <w:rsid w:val="00116293"/>
    <w:rsid w:val="00116993"/>
    <w:rsid w:val="0011755C"/>
    <w:rsid w:val="001210DE"/>
    <w:rsid w:val="00121177"/>
    <w:rsid w:val="00121246"/>
    <w:rsid w:val="001222A2"/>
    <w:rsid w:val="00122452"/>
    <w:rsid w:val="0012257A"/>
    <w:rsid w:val="00124517"/>
    <w:rsid w:val="00124E9C"/>
    <w:rsid w:val="00125840"/>
    <w:rsid w:val="00127F1A"/>
    <w:rsid w:val="00131806"/>
    <w:rsid w:val="00131B9C"/>
    <w:rsid w:val="00132C0A"/>
    <w:rsid w:val="00133BCB"/>
    <w:rsid w:val="00134B6E"/>
    <w:rsid w:val="00134EF5"/>
    <w:rsid w:val="00137645"/>
    <w:rsid w:val="00140472"/>
    <w:rsid w:val="00140D89"/>
    <w:rsid w:val="001417E7"/>
    <w:rsid w:val="00141BC4"/>
    <w:rsid w:val="00144D3D"/>
    <w:rsid w:val="00144DAB"/>
    <w:rsid w:val="00145012"/>
    <w:rsid w:val="001458AD"/>
    <w:rsid w:val="00146DAA"/>
    <w:rsid w:val="001473FF"/>
    <w:rsid w:val="00151DBD"/>
    <w:rsid w:val="001531DA"/>
    <w:rsid w:val="00154491"/>
    <w:rsid w:val="00154572"/>
    <w:rsid w:val="00155C35"/>
    <w:rsid w:val="00155DAA"/>
    <w:rsid w:val="00161F33"/>
    <w:rsid w:val="00163CE0"/>
    <w:rsid w:val="0016492E"/>
    <w:rsid w:val="00165476"/>
    <w:rsid w:val="001662F5"/>
    <w:rsid w:val="001663FD"/>
    <w:rsid w:val="001706A6"/>
    <w:rsid w:val="00170A04"/>
    <w:rsid w:val="0017142B"/>
    <w:rsid w:val="00172E44"/>
    <w:rsid w:val="00174A5E"/>
    <w:rsid w:val="00174ADE"/>
    <w:rsid w:val="0017652F"/>
    <w:rsid w:val="0017762F"/>
    <w:rsid w:val="00177EAD"/>
    <w:rsid w:val="0018295A"/>
    <w:rsid w:val="00183C1D"/>
    <w:rsid w:val="00184546"/>
    <w:rsid w:val="00184FB8"/>
    <w:rsid w:val="00190B49"/>
    <w:rsid w:val="001913F1"/>
    <w:rsid w:val="00193DB3"/>
    <w:rsid w:val="001945C5"/>
    <w:rsid w:val="00197620"/>
    <w:rsid w:val="00197CB7"/>
    <w:rsid w:val="001A1237"/>
    <w:rsid w:val="001A2C5A"/>
    <w:rsid w:val="001A3C42"/>
    <w:rsid w:val="001A3F57"/>
    <w:rsid w:val="001A4992"/>
    <w:rsid w:val="001A4BD9"/>
    <w:rsid w:val="001A7BF6"/>
    <w:rsid w:val="001A7DEB"/>
    <w:rsid w:val="001B0594"/>
    <w:rsid w:val="001B24D6"/>
    <w:rsid w:val="001B35E7"/>
    <w:rsid w:val="001B36A4"/>
    <w:rsid w:val="001B3BE3"/>
    <w:rsid w:val="001B5275"/>
    <w:rsid w:val="001B782F"/>
    <w:rsid w:val="001C0033"/>
    <w:rsid w:val="001C1D99"/>
    <w:rsid w:val="001C2EBB"/>
    <w:rsid w:val="001C3211"/>
    <w:rsid w:val="001C4A48"/>
    <w:rsid w:val="001C64BF"/>
    <w:rsid w:val="001C7E6D"/>
    <w:rsid w:val="001D11FE"/>
    <w:rsid w:val="001D3506"/>
    <w:rsid w:val="001D5031"/>
    <w:rsid w:val="001D6471"/>
    <w:rsid w:val="001D6580"/>
    <w:rsid w:val="001D6A57"/>
    <w:rsid w:val="001E0801"/>
    <w:rsid w:val="001E2F18"/>
    <w:rsid w:val="001E2FB9"/>
    <w:rsid w:val="001E2FE4"/>
    <w:rsid w:val="001E32EB"/>
    <w:rsid w:val="001E4B57"/>
    <w:rsid w:val="001E5715"/>
    <w:rsid w:val="001F1A73"/>
    <w:rsid w:val="001F1ACC"/>
    <w:rsid w:val="001F1C1B"/>
    <w:rsid w:val="001F2885"/>
    <w:rsid w:val="001F3F09"/>
    <w:rsid w:val="001F6F86"/>
    <w:rsid w:val="001F7CB8"/>
    <w:rsid w:val="00201A04"/>
    <w:rsid w:val="00202CEC"/>
    <w:rsid w:val="00204C77"/>
    <w:rsid w:val="00204EB2"/>
    <w:rsid w:val="00205125"/>
    <w:rsid w:val="00205C02"/>
    <w:rsid w:val="00206282"/>
    <w:rsid w:val="00207DBC"/>
    <w:rsid w:val="0021063A"/>
    <w:rsid w:val="002106D3"/>
    <w:rsid w:val="00211EE4"/>
    <w:rsid w:val="00211EFE"/>
    <w:rsid w:val="00211F15"/>
    <w:rsid w:val="00212405"/>
    <w:rsid w:val="002125F3"/>
    <w:rsid w:val="0021467A"/>
    <w:rsid w:val="00216FC8"/>
    <w:rsid w:val="00217DD9"/>
    <w:rsid w:val="0022128B"/>
    <w:rsid w:val="00224868"/>
    <w:rsid w:val="002251E3"/>
    <w:rsid w:val="00225812"/>
    <w:rsid w:val="00225AAA"/>
    <w:rsid w:val="002261C6"/>
    <w:rsid w:val="00227105"/>
    <w:rsid w:val="00227414"/>
    <w:rsid w:val="00231C58"/>
    <w:rsid w:val="002322AD"/>
    <w:rsid w:val="002333F6"/>
    <w:rsid w:val="00234455"/>
    <w:rsid w:val="0023531A"/>
    <w:rsid w:val="002357E3"/>
    <w:rsid w:val="00235BCF"/>
    <w:rsid w:val="002371CC"/>
    <w:rsid w:val="002374E2"/>
    <w:rsid w:val="00237D01"/>
    <w:rsid w:val="00240160"/>
    <w:rsid w:val="00240594"/>
    <w:rsid w:val="00241F4E"/>
    <w:rsid w:val="00246484"/>
    <w:rsid w:val="0024724D"/>
    <w:rsid w:val="00247326"/>
    <w:rsid w:val="00251DFA"/>
    <w:rsid w:val="00252CF9"/>
    <w:rsid w:val="00254ED6"/>
    <w:rsid w:val="00255C20"/>
    <w:rsid w:val="0025605F"/>
    <w:rsid w:val="00257F38"/>
    <w:rsid w:val="00261215"/>
    <w:rsid w:val="0026393E"/>
    <w:rsid w:val="002639DC"/>
    <w:rsid w:val="00264C11"/>
    <w:rsid w:val="00264F55"/>
    <w:rsid w:val="002651B8"/>
    <w:rsid w:val="00266011"/>
    <w:rsid w:val="002660B2"/>
    <w:rsid w:val="00266F5F"/>
    <w:rsid w:val="002673A8"/>
    <w:rsid w:val="002721C0"/>
    <w:rsid w:val="00272555"/>
    <w:rsid w:val="002725F1"/>
    <w:rsid w:val="0027608F"/>
    <w:rsid w:val="0027706C"/>
    <w:rsid w:val="00280F01"/>
    <w:rsid w:val="0028166A"/>
    <w:rsid w:val="0028297E"/>
    <w:rsid w:val="0028402D"/>
    <w:rsid w:val="0028475C"/>
    <w:rsid w:val="002866DA"/>
    <w:rsid w:val="002873A9"/>
    <w:rsid w:val="002875B5"/>
    <w:rsid w:val="0029020D"/>
    <w:rsid w:val="00291D1F"/>
    <w:rsid w:val="00292162"/>
    <w:rsid w:val="00295076"/>
    <w:rsid w:val="002A1326"/>
    <w:rsid w:val="002A2CC4"/>
    <w:rsid w:val="002A2DB7"/>
    <w:rsid w:val="002A5BE9"/>
    <w:rsid w:val="002A614F"/>
    <w:rsid w:val="002B0A52"/>
    <w:rsid w:val="002B34FC"/>
    <w:rsid w:val="002B4A00"/>
    <w:rsid w:val="002B4BB1"/>
    <w:rsid w:val="002C1D78"/>
    <w:rsid w:val="002C2A9C"/>
    <w:rsid w:val="002C52E9"/>
    <w:rsid w:val="002C55A4"/>
    <w:rsid w:val="002C65BA"/>
    <w:rsid w:val="002C6668"/>
    <w:rsid w:val="002C7493"/>
    <w:rsid w:val="002C7513"/>
    <w:rsid w:val="002C7961"/>
    <w:rsid w:val="002D05F4"/>
    <w:rsid w:val="002D24DA"/>
    <w:rsid w:val="002D2F01"/>
    <w:rsid w:val="002D3D02"/>
    <w:rsid w:val="002D492C"/>
    <w:rsid w:val="002D5936"/>
    <w:rsid w:val="002D6AEC"/>
    <w:rsid w:val="002D6E2B"/>
    <w:rsid w:val="002D7C67"/>
    <w:rsid w:val="002E0534"/>
    <w:rsid w:val="002E1AB9"/>
    <w:rsid w:val="002E1C25"/>
    <w:rsid w:val="002E2680"/>
    <w:rsid w:val="002E3623"/>
    <w:rsid w:val="002E4C69"/>
    <w:rsid w:val="002E52E8"/>
    <w:rsid w:val="002E7571"/>
    <w:rsid w:val="002E7F90"/>
    <w:rsid w:val="002F1045"/>
    <w:rsid w:val="002F113E"/>
    <w:rsid w:val="002F136A"/>
    <w:rsid w:val="002F3DF9"/>
    <w:rsid w:val="002F659B"/>
    <w:rsid w:val="002F6E90"/>
    <w:rsid w:val="002F7476"/>
    <w:rsid w:val="002F7583"/>
    <w:rsid w:val="00302A8E"/>
    <w:rsid w:val="00304170"/>
    <w:rsid w:val="00304507"/>
    <w:rsid w:val="003047F0"/>
    <w:rsid w:val="00304B8A"/>
    <w:rsid w:val="00305E40"/>
    <w:rsid w:val="00307773"/>
    <w:rsid w:val="00307C04"/>
    <w:rsid w:val="003104B8"/>
    <w:rsid w:val="003124C8"/>
    <w:rsid w:val="00312E0D"/>
    <w:rsid w:val="003139B4"/>
    <w:rsid w:val="00314E0B"/>
    <w:rsid w:val="00315F9E"/>
    <w:rsid w:val="003161B4"/>
    <w:rsid w:val="00316C70"/>
    <w:rsid w:val="00317D9B"/>
    <w:rsid w:val="00320CDA"/>
    <w:rsid w:val="00321EF9"/>
    <w:rsid w:val="0032223F"/>
    <w:rsid w:val="00322893"/>
    <w:rsid w:val="00323081"/>
    <w:rsid w:val="0032546A"/>
    <w:rsid w:val="003278D1"/>
    <w:rsid w:val="003332D1"/>
    <w:rsid w:val="0033380E"/>
    <w:rsid w:val="00336267"/>
    <w:rsid w:val="0034010C"/>
    <w:rsid w:val="003408E0"/>
    <w:rsid w:val="003524A5"/>
    <w:rsid w:val="00352519"/>
    <w:rsid w:val="00353654"/>
    <w:rsid w:val="003539C9"/>
    <w:rsid w:val="00355850"/>
    <w:rsid w:val="00356816"/>
    <w:rsid w:val="0035692E"/>
    <w:rsid w:val="00357B99"/>
    <w:rsid w:val="00360CC6"/>
    <w:rsid w:val="00361BC9"/>
    <w:rsid w:val="003647D2"/>
    <w:rsid w:val="00366020"/>
    <w:rsid w:val="00366F78"/>
    <w:rsid w:val="00370124"/>
    <w:rsid w:val="00370455"/>
    <w:rsid w:val="00371D3B"/>
    <w:rsid w:val="00372584"/>
    <w:rsid w:val="00372738"/>
    <w:rsid w:val="003727DD"/>
    <w:rsid w:val="003730C7"/>
    <w:rsid w:val="003738E1"/>
    <w:rsid w:val="003739BC"/>
    <w:rsid w:val="00373C55"/>
    <w:rsid w:val="00373FE6"/>
    <w:rsid w:val="003762EF"/>
    <w:rsid w:val="0037651C"/>
    <w:rsid w:val="00377022"/>
    <w:rsid w:val="003772D4"/>
    <w:rsid w:val="0038004F"/>
    <w:rsid w:val="003822EA"/>
    <w:rsid w:val="003828FF"/>
    <w:rsid w:val="0038396E"/>
    <w:rsid w:val="00383970"/>
    <w:rsid w:val="00383CC1"/>
    <w:rsid w:val="003859EB"/>
    <w:rsid w:val="00390CC5"/>
    <w:rsid w:val="003912FD"/>
    <w:rsid w:val="0039321E"/>
    <w:rsid w:val="003934F1"/>
    <w:rsid w:val="003938E6"/>
    <w:rsid w:val="00393E11"/>
    <w:rsid w:val="0039445B"/>
    <w:rsid w:val="00395168"/>
    <w:rsid w:val="00395B4C"/>
    <w:rsid w:val="00396CCE"/>
    <w:rsid w:val="00396DF7"/>
    <w:rsid w:val="003A3918"/>
    <w:rsid w:val="003A3ECD"/>
    <w:rsid w:val="003A4C59"/>
    <w:rsid w:val="003A501F"/>
    <w:rsid w:val="003A557B"/>
    <w:rsid w:val="003B0837"/>
    <w:rsid w:val="003B2581"/>
    <w:rsid w:val="003B3B88"/>
    <w:rsid w:val="003B48BC"/>
    <w:rsid w:val="003B5470"/>
    <w:rsid w:val="003C158C"/>
    <w:rsid w:val="003C1E99"/>
    <w:rsid w:val="003C20FA"/>
    <w:rsid w:val="003C2D09"/>
    <w:rsid w:val="003C442A"/>
    <w:rsid w:val="003C5EE6"/>
    <w:rsid w:val="003C7620"/>
    <w:rsid w:val="003C786D"/>
    <w:rsid w:val="003D07B7"/>
    <w:rsid w:val="003D16C5"/>
    <w:rsid w:val="003D196E"/>
    <w:rsid w:val="003D3D39"/>
    <w:rsid w:val="003D420C"/>
    <w:rsid w:val="003D432B"/>
    <w:rsid w:val="003D5102"/>
    <w:rsid w:val="003D6E8D"/>
    <w:rsid w:val="003D796D"/>
    <w:rsid w:val="003D7D52"/>
    <w:rsid w:val="003E0FB5"/>
    <w:rsid w:val="003E130C"/>
    <w:rsid w:val="003E1728"/>
    <w:rsid w:val="003E2638"/>
    <w:rsid w:val="003E2662"/>
    <w:rsid w:val="003E2B7A"/>
    <w:rsid w:val="003E33B7"/>
    <w:rsid w:val="003E46D9"/>
    <w:rsid w:val="003E4856"/>
    <w:rsid w:val="003E5F45"/>
    <w:rsid w:val="003E6B94"/>
    <w:rsid w:val="003F1142"/>
    <w:rsid w:val="003F2CBE"/>
    <w:rsid w:val="003F2FC6"/>
    <w:rsid w:val="003F35DF"/>
    <w:rsid w:val="003F4E6F"/>
    <w:rsid w:val="003F4F63"/>
    <w:rsid w:val="003F6796"/>
    <w:rsid w:val="003F6B9F"/>
    <w:rsid w:val="003F6DCD"/>
    <w:rsid w:val="003F7284"/>
    <w:rsid w:val="00400230"/>
    <w:rsid w:val="004022E9"/>
    <w:rsid w:val="00404745"/>
    <w:rsid w:val="00405277"/>
    <w:rsid w:val="00407968"/>
    <w:rsid w:val="00410692"/>
    <w:rsid w:val="00410CA0"/>
    <w:rsid w:val="00410D47"/>
    <w:rsid w:val="00410EAA"/>
    <w:rsid w:val="00412F6C"/>
    <w:rsid w:val="00413672"/>
    <w:rsid w:val="004138C8"/>
    <w:rsid w:val="00414D2E"/>
    <w:rsid w:val="00416B3B"/>
    <w:rsid w:val="0041766E"/>
    <w:rsid w:val="00421A03"/>
    <w:rsid w:val="0042274B"/>
    <w:rsid w:val="00427219"/>
    <w:rsid w:val="004300B0"/>
    <w:rsid w:val="0043048E"/>
    <w:rsid w:val="0043173D"/>
    <w:rsid w:val="0043186E"/>
    <w:rsid w:val="004327F7"/>
    <w:rsid w:val="0043364E"/>
    <w:rsid w:val="00435AAC"/>
    <w:rsid w:val="00437397"/>
    <w:rsid w:val="0044167A"/>
    <w:rsid w:val="00442CCF"/>
    <w:rsid w:val="00442FD5"/>
    <w:rsid w:val="004435D6"/>
    <w:rsid w:val="0044391B"/>
    <w:rsid w:val="00444763"/>
    <w:rsid w:val="004468FE"/>
    <w:rsid w:val="0044748B"/>
    <w:rsid w:val="00450B2D"/>
    <w:rsid w:val="0045141F"/>
    <w:rsid w:val="004535B0"/>
    <w:rsid w:val="00453FB2"/>
    <w:rsid w:val="0045626C"/>
    <w:rsid w:val="00457CED"/>
    <w:rsid w:val="00460581"/>
    <w:rsid w:val="004625D2"/>
    <w:rsid w:val="00463FB5"/>
    <w:rsid w:val="0046410E"/>
    <w:rsid w:val="00465304"/>
    <w:rsid w:val="00465B93"/>
    <w:rsid w:val="00466FBD"/>
    <w:rsid w:val="004674C6"/>
    <w:rsid w:val="00467A13"/>
    <w:rsid w:val="00475A60"/>
    <w:rsid w:val="00476839"/>
    <w:rsid w:val="00480381"/>
    <w:rsid w:val="0048196A"/>
    <w:rsid w:val="00481DED"/>
    <w:rsid w:val="00482004"/>
    <w:rsid w:val="0048217A"/>
    <w:rsid w:val="004833AA"/>
    <w:rsid w:val="004836E9"/>
    <w:rsid w:val="004843CD"/>
    <w:rsid w:val="004844F2"/>
    <w:rsid w:val="004855CA"/>
    <w:rsid w:val="004873EF"/>
    <w:rsid w:val="004908C6"/>
    <w:rsid w:val="00490A80"/>
    <w:rsid w:val="00490EB5"/>
    <w:rsid w:val="0049119F"/>
    <w:rsid w:val="00491E0B"/>
    <w:rsid w:val="00493012"/>
    <w:rsid w:val="00493BFD"/>
    <w:rsid w:val="00494244"/>
    <w:rsid w:val="00495901"/>
    <w:rsid w:val="00497453"/>
    <w:rsid w:val="00497C86"/>
    <w:rsid w:val="004A1FDF"/>
    <w:rsid w:val="004A3857"/>
    <w:rsid w:val="004A4B28"/>
    <w:rsid w:val="004A568C"/>
    <w:rsid w:val="004A5917"/>
    <w:rsid w:val="004A65CE"/>
    <w:rsid w:val="004A7255"/>
    <w:rsid w:val="004A7714"/>
    <w:rsid w:val="004A7E4A"/>
    <w:rsid w:val="004B0737"/>
    <w:rsid w:val="004B0982"/>
    <w:rsid w:val="004B2779"/>
    <w:rsid w:val="004B2C9D"/>
    <w:rsid w:val="004B37DB"/>
    <w:rsid w:val="004B39FF"/>
    <w:rsid w:val="004B3DE4"/>
    <w:rsid w:val="004B3FD6"/>
    <w:rsid w:val="004B531F"/>
    <w:rsid w:val="004B62A7"/>
    <w:rsid w:val="004B6A22"/>
    <w:rsid w:val="004C105C"/>
    <w:rsid w:val="004C1F5B"/>
    <w:rsid w:val="004C5EBD"/>
    <w:rsid w:val="004C7178"/>
    <w:rsid w:val="004D2C4B"/>
    <w:rsid w:val="004D3F81"/>
    <w:rsid w:val="004D532A"/>
    <w:rsid w:val="004D5954"/>
    <w:rsid w:val="004D67F5"/>
    <w:rsid w:val="004E10A3"/>
    <w:rsid w:val="004E1567"/>
    <w:rsid w:val="004E4097"/>
    <w:rsid w:val="004E4562"/>
    <w:rsid w:val="004E6209"/>
    <w:rsid w:val="004E7FE2"/>
    <w:rsid w:val="004F0225"/>
    <w:rsid w:val="004F27F7"/>
    <w:rsid w:val="004F2833"/>
    <w:rsid w:val="004F3083"/>
    <w:rsid w:val="004F3E81"/>
    <w:rsid w:val="004F3EEF"/>
    <w:rsid w:val="004F44F5"/>
    <w:rsid w:val="004F59D5"/>
    <w:rsid w:val="004F5E60"/>
    <w:rsid w:val="00500E04"/>
    <w:rsid w:val="00500EE2"/>
    <w:rsid w:val="00501186"/>
    <w:rsid w:val="00501698"/>
    <w:rsid w:val="00501722"/>
    <w:rsid w:val="0050195B"/>
    <w:rsid w:val="00502BC9"/>
    <w:rsid w:val="00504C07"/>
    <w:rsid w:val="00504EB1"/>
    <w:rsid w:val="0050600B"/>
    <w:rsid w:val="00506151"/>
    <w:rsid w:val="00506978"/>
    <w:rsid w:val="00507184"/>
    <w:rsid w:val="00507987"/>
    <w:rsid w:val="00511A40"/>
    <w:rsid w:val="005131DD"/>
    <w:rsid w:val="005135DC"/>
    <w:rsid w:val="005136A9"/>
    <w:rsid w:val="005139E7"/>
    <w:rsid w:val="00513A3D"/>
    <w:rsid w:val="00514A2F"/>
    <w:rsid w:val="00515277"/>
    <w:rsid w:val="0051576F"/>
    <w:rsid w:val="00516450"/>
    <w:rsid w:val="00516812"/>
    <w:rsid w:val="0051704D"/>
    <w:rsid w:val="005171F8"/>
    <w:rsid w:val="00520019"/>
    <w:rsid w:val="00521FD1"/>
    <w:rsid w:val="00522E04"/>
    <w:rsid w:val="00523244"/>
    <w:rsid w:val="0052375D"/>
    <w:rsid w:val="00523BA4"/>
    <w:rsid w:val="00524823"/>
    <w:rsid w:val="005259E4"/>
    <w:rsid w:val="005260A6"/>
    <w:rsid w:val="00526CEE"/>
    <w:rsid w:val="00530322"/>
    <w:rsid w:val="00530AE4"/>
    <w:rsid w:val="00531FB2"/>
    <w:rsid w:val="005337A1"/>
    <w:rsid w:val="00534BD3"/>
    <w:rsid w:val="00535EFE"/>
    <w:rsid w:val="00541795"/>
    <w:rsid w:val="005418B1"/>
    <w:rsid w:val="005427BD"/>
    <w:rsid w:val="00543E2C"/>
    <w:rsid w:val="00544FCB"/>
    <w:rsid w:val="00546C44"/>
    <w:rsid w:val="005504BB"/>
    <w:rsid w:val="0055076B"/>
    <w:rsid w:val="00550AE2"/>
    <w:rsid w:val="005510F3"/>
    <w:rsid w:val="00554618"/>
    <w:rsid w:val="0055571F"/>
    <w:rsid w:val="00557699"/>
    <w:rsid w:val="00557F62"/>
    <w:rsid w:val="005610C4"/>
    <w:rsid w:val="0056137F"/>
    <w:rsid w:val="005625CC"/>
    <w:rsid w:val="005650DE"/>
    <w:rsid w:val="0056552A"/>
    <w:rsid w:val="0056585C"/>
    <w:rsid w:val="005671B2"/>
    <w:rsid w:val="0056783D"/>
    <w:rsid w:val="00567E1E"/>
    <w:rsid w:val="005714B5"/>
    <w:rsid w:val="00572586"/>
    <w:rsid w:val="00572E62"/>
    <w:rsid w:val="00574A24"/>
    <w:rsid w:val="005752CD"/>
    <w:rsid w:val="00575DD1"/>
    <w:rsid w:val="00576B2C"/>
    <w:rsid w:val="00576F26"/>
    <w:rsid w:val="00577A1A"/>
    <w:rsid w:val="00581947"/>
    <w:rsid w:val="00581A40"/>
    <w:rsid w:val="00581DF2"/>
    <w:rsid w:val="005826A2"/>
    <w:rsid w:val="0058298E"/>
    <w:rsid w:val="005838B0"/>
    <w:rsid w:val="005846B0"/>
    <w:rsid w:val="00585ED1"/>
    <w:rsid w:val="005860C5"/>
    <w:rsid w:val="00590BD5"/>
    <w:rsid w:val="00591036"/>
    <w:rsid w:val="00591055"/>
    <w:rsid w:val="005910DA"/>
    <w:rsid w:val="00592178"/>
    <w:rsid w:val="00592834"/>
    <w:rsid w:val="0059285A"/>
    <w:rsid w:val="0059342C"/>
    <w:rsid w:val="005A0F62"/>
    <w:rsid w:val="005A192B"/>
    <w:rsid w:val="005A28F4"/>
    <w:rsid w:val="005A3027"/>
    <w:rsid w:val="005A5EDE"/>
    <w:rsid w:val="005A781C"/>
    <w:rsid w:val="005B0901"/>
    <w:rsid w:val="005B373C"/>
    <w:rsid w:val="005B422B"/>
    <w:rsid w:val="005B4DA6"/>
    <w:rsid w:val="005B5A6B"/>
    <w:rsid w:val="005B7655"/>
    <w:rsid w:val="005B7F96"/>
    <w:rsid w:val="005C0087"/>
    <w:rsid w:val="005C09EB"/>
    <w:rsid w:val="005C0A12"/>
    <w:rsid w:val="005C1010"/>
    <w:rsid w:val="005C1162"/>
    <w:rsid w:val="005C210E"/>
    <w:rsid w:val="005C2210"/>
    <w:rsid w:val="005C2227"/>
    <w:rsid w:val="005C3EC3"/>
    <w:rsid w:val="005C4013"/>
    <w:rsid w:val="005C570A"/>
    <w:rsid w:val="005C5D03"/>
    <w:rsid w:val="005C67E5"/>
    <w:rsid w:val="005C75E1"/>
    <w:rsid w:val="005D02C2"/>
    <w:rsid w:val="005D1115"/>
    <w:rsid w:val="005D1A50"/>
    <w:rsid w:val="005D1F21"/>
    <w:rsid w:val="005D253E"/>
    <w:rsid w:val="005D296E"/>
    <w:rsid w:val="005D2FDA"/>
    <w:rsid w:val="005D4E61"/>
    <w:rsid w:val="005D629A"/>
    <w:rsid w:val="005D7170"/>
    <w:rsid w:val="005E266B"/>
    <w:rsid w:val="005E3EA7"/>
    <w:rsid w:val="005E4BDD"/>
    <w:rsid w:val="005E5C3F"/>
    <w:rsid w:val="005E5CCF"/>
    <w:rsid w:val="005E7BF8"/>
    <w:rsid w:val="005F3174"/>
    <w:rsid w:val="005F320E"/>
    <w:rsid w:val="005F525B"/>
    <w:rsid w:val="005F615C"/>
    <w:rsid w:val="005F640F"/>
    <w:rsid w:val="005F6A83"/>
    <w:rsid w:val="005F723E"/>
    <w:rsid w:val="005F7436"/>
    <w:rsid w:val="006005D5"/>
    <w:rsid w:val="00600723"/>
    <w:rsid w:val="006008D0"/>
    <w:rsid w:val="00601316"/>
    <w:rsid w:val="00603E2B"/>
    <w:rsid w:val="006045FE"/>
    <w:rsid w:val="00605D12"/>
    <w:rsid w:val="006063A6"/>
    <w:rsid w:val="00606797"/>
    <w:rsid w:val="00607D2A"/>
    <w:rsid w:val="0061099E"/>
    <w:rsid w:val="00611229"/>
    <w:rsid w:val="006120FD"/>
    <w:rsid w:val="006128CC"/>
    <w:rsid w:val="006135A5"/>
    <w:rsid w:val="006139BA"/>
    <w:rsid w:val="00613CC3"/>
    <w:rsid w:val="00614AD4"/>
    <w:rsid w:val="006151DE"/>
    <w:rsid w:val="00615753"/>
    <w:rsid w:val="00616D84"/>
    <w:rsid w:val="0061709A"/>
    <w:rsid w:val="00620286"/>
    <w:rsid w:val="00620577"/>
    <w:rsid w:val="00620D4B"/>
    <w:rsid w:val="00621054"/>
    <w:rsid w:val="006223F9"/>
    <w:rsid w:val="00623653"/>
    <w:rsid w:val="00630824"/>
    <w:rsid w:val="00630E04"/>
    <w:rsid w:val="006313F8"/>
    <w:rsid w:val="00631955"/>
    <w:rsid w:val="00631B5E"/>
    <w:rsid w:val="00635375"/>
    <w:rsid w:val="00635A67"/>
    <w:rsid w:val="00635ABF"/>
    <w:rsid w:val="00635C17"/>
    <w:rsid w:val="00635DEB"/>
    <w:rsid w:val="00636B44"/>
    <w:rsid w:val="0063708D"/>
    <w:rsid w:val="00637555"/>
    <w:rsid w:val="006418B7"/>
    <w:rsid w:val="00642861"/>
    <w:rsid w:val="00642931"/>
    <w:rsid w:val="00642C3A"/>
    <w:rsid w:val="00644111"/>
    <w:rsid w:val="00645952"/>
    <w:rsid w:val="00647E22"/>
    <w:rsid w:val="00650E7A"/>
    <w:rsid w:val="00651ED6"/>
    <w:rsid w:val="006528CC"/>
    <w:rsid w:val="00652A41"/>
    <w:rsid w:val="00655091"/>
    <w:rsid w:val="006558E1"/>
    <w:rsid w:val="00655CD0"/>
    <w:rsid w:val="006564DD"/>
    <w:rsid w:val="00656889"/>
    <w:rsid w:val="00656C45"/>
    <w:rsid w:val="00657FE6"/>
    <w:rsid w:val="0066255A"/>
    <w:rsid w:val="00662D31"/>
    <w:rsid w:val="00667499"/>
    <w:rsid w:val="00667A68"/>
    <w:rsid w:val="00667D0F"/>
    <w:rsid w:val="00667E23"/>
    <w:rsid w:val="006704EF"/>
    <w:rsid w:val="00670FFC"/>
    <w:rsid w:val="006726EE"/>
    <w:rsid w:val="00673341"/>
    <w:rsid w:val="00673407"/>
    <w:rsid w:val="00673926"/>
    <w:rsid w:val="006739CB"/>
    <w:rsid w:val="00674D8F"/>
    <w:rsid w:val="00674E2E"/>
    <w:rsid w:val="0067590B"/>
    <w:rsid w:val="006760E1"/>
    <w:rsid w:val="00676AD7"/>
    <w:rsid w:val="00676D1B"/>
    <w:rsid w:val="00677167"/>
    <w:rsid w:val="00677AFB"/>
    <w:rsid w:val="00680F83"/>
    <w:rsid w:val="00681BA3"/>
    <w:rsid w:val="00684FD6"/>
    <w:rsid w:val="006854A8"/>
    <w:rsid w:val="0068704D"/>
    <w:rsid w:val="00687EEA"/>
    <w:rsid w:val="00690451"/>
    <w:rsid w:val="006904CE"/>
    <w:rsid w:val="00692215"/>
    <w:rsid w:val="00692A84"/>
    <w:rsid w:val="006936D3"/>
    <w:rsid w:val="006939C0"/>
    <w:rsid w:val="00693A8C"/>
    <w:rsid w:val="00697571"/>
    <w:rsid w:val="006A0BB2"/>
    <w:rsid w:val="006A10C5"/>
    <w:rsid w:val="006A2CC0"/>
    <w:rsid w:val="006A35A9"/>
    <w:rsid w:val="006A7917"/>
    <w:rsid w:val="006A79F6"/>
    <w:rsid w:val="006B017F"/>
    <w:rsid w:val="006B0980"/>
    <w:rsid w:val="006B0EDA"/>
    <w:rsid w:val="006B3B63"/>
    <w:rsid w:val="006B4514"/>
    <w:rsid w:val="006B65EE"/>
    <w:rsid w:val="006B70F0"/>
    <w:rsid w:val="006C1059"/>
    <w:rsid w:val="006C25E2"/>
    <w:rsid w:val="006C405A"/>
    <w:rsid w:val="006C5C6A"/>
    <w:rsid w:val="006C66C2"/>
    <w:rsid w:val="006C78B1"/>
    <w:rsid w:val="006C7C9C"/>
    <w:rsid w:val="006D2901"/>
    <w:rsid w:val="006D3D16"/>
    <w:rsid w:val="006D4275"/>
    <w:rsid w:val="006D4428"/>
    <w:rsid w:val="006D5A27"/>
    <w:rsid w:val="006D62CE"/>
    <w:rsid w:val="006D673D"/>
    <w:rsid w:val="006D6ABF"/>
    <w:rsid w:val="006D7CE5"/>
    <w:rsid w:val="006E1307"/>
    <w:rsid w:val="006E202E"/>
    <w:rsid w:val="006E2384"/>
    <w:rsid w:val="006E2856"/>
    <w:rsid w:val="006E4882"/>
    <w:rsid w:val="006E5D80"/>
    <w:rsid w:val="006E5DED"/>
    <w:rsid w:val="006E73D6"/>
    <w:rsid w:val="006F0BE5"/>
    <w:rsid w:val="006F132A"/>
    <w:rsid w:val="006F1D54"/>
    <w:rsid w:val="006F3780"/>
    <w:rsid w:val="006F43C6"/>
    <w:rsid w:val="006F4D61"/>
    <w:rsid w:val="006F5506"/>
    <w:rsid w:val="006F6BAD"/>
    <w:rsid w:val="006F7176"/>
    <w:rsid w:val="006F7A05"/>
    <w:rsid w:val="00700352"/>
    <w:rsid w:val="00700698"/>
    <w:rsid w:val="00700B6E"/>
    <w:rsid w:val="00700E6A"/>
    <w:rsid w:val="00700E7D"/>
    <w:rsid w:val="00700FA1"/>
    <w:rsid w:val="00701EE8"/>
    <w:rsid w:val="00702A89"/>
    <w:rsid w:val="00703467"/>
    <w:rsid w:val="00706D18"/>
    <w:rsid w:val="00707CD2"/>
    <w:rsid w:val="00712CF1"/>
    <w:rsid w:val="007138DF"/>
    <w:rsid w:val="00716181"/>
    <w:rsid w:val="00716CF1"/>
    <w:rsid w:val="0072068C"/>
    <w:rsid w:val="00720C34"/>
    <w:rsid w:val="00721F64"/>
    <w:rsid w:val="00725FDA"/>
    <w:rsid w:val="00727B5B"/>
    <w:rsid w:val="00727B89"/>
    <w:rsid w:val="00730027"/>
    <w:rsid w:val="007308FA"/>
    <w:rsid w:val="00731172"/>
    <w:rsid w:val="0073196C"/>
    <w:rsid w:val="007320F4"/>
    <w:rsid w:val="007349FD"/>
    <w:rsid w:val="00735C8C"/>
    <w:rsid w:val="00736748"/>
    <w:rsid w:val="007411FA"/>
    <w:rsid w:val="00742120"/>
    <w:rsid w:val="00743BC1"/>
    <w:rsid w:val="0074757F"/>
    <w:rsid w:val="00750492"/>
    <w:rsid w:val="00751F0D"/>
    <w:rsid w:val="007527DD"/>
    <w:rsid w:val="00753022"/>
    <w:rsid w:val="0075364F"/>
    <w:rsid w:val="00754AAB"/>
    <w:rsid w:val="00755D64"/>
    <w:rsid w:val="00756685"/>
    <w:rsid w:val="007646EC"/>
    <w:rsid w:val="00765348"/>
    <w:rsid w:val="00766ABF"/>
    <w:rsid w:val="00766E9D"/>
    <w:rsid w:val="007671E3"/>
    <w:rsid w:val="00767CFA"/>
    <w:rsid w:val="00771CCB"/>
    <w:rsid w:val="00775181"/>
    <w:rsid w:val="00775246"/>
    <w:rsid w:val="00775DD6"/>
    <w:rsid w:val="00776729"/>
    <w:rsid w:val="007769A1"/>
    <w:rsid w:val="0078040F"/>
    <w:rsid w:val="00780586"/>
    <w:rsid w:val="00781822"/>
    <w:rsid w:val="007822EE"/>
    <w:rsid w:val="007824F3"/>
    <w:rsid w:val="007826A6"/>
    <w:rsid w:val="00783400"/>
    <w:rsid w:val="00783B16"/>
    <w:rsid w:val="00784233"/>
    <w:rsid w:val="00784999"/>
    <w:rsid w:val="00784AA5"/>
    <w:rsid w:val="00784E88"/>
    <w:rsid w:val="007863A6"/>
    <w:rsid w:val="007864EA"/>
    <w:rsid w:val="00786759"/>
    <w:rsid w:val="00786F91"/>
    <w:rsid w:val="007878DA"/>
    <w:rsid w:val="00790462"/>
    <w:rsid w:val="0079107D"/>
    <w:rsid w:val="007911A4"/>
    <w:rsid w:val="007911C4"/>
    <w:rsid w:val="0079282F"/>
    <w:rsid w:val="00792CC8"/>
    <w:rsid w:val="0079336E"/>
    <w:rsid w:val="00793479"/>
    <w:rsid w:val="00796D7E"/>
    <w:rsid w:val="00797B6C"/>
    <w:rsid w:val="00797FAB"/>
    <w:rsid w:val="007A0757"/>
    <w:rsid w:val="007A0BED"/>
    <w:rsid w:val="007A1340"/>
    <w:rsid w:val="007A409F"/>
    <w:rsid w:val="007A4261"/>
    <w:rsid w:val="007A6C07"/>
    <w:rsid w:val="007B016B"/>
    <w:rsid w:val="007B033E"/>
    <w:rsid w:val="007B0853"/>
    <w:rsid w:val="007B0F14"/>
    <w:rsid w:val="007B1988"/>
    <w:rsid w:val="007B2047"/>
    <w:rsid w:val="007B2DCE"/>
    <w:rsid w:val="007B2F7A"/>
    <w:rsid w:val="007B340F"/>
    <w:rsid w:val="007B4052"/>
    <w:rsid w:val="007B58DB"/>
    <w:rsid w:val="007B5D0F"/>
    <w:rsid w:val="007B709F"/>
    <w:rsid w:val="007B75BF"/>
    <w:rsid w:val="007B7F5D"/>
    <w:rsid w:val="007C0069"/>
    <w:rsid w:val="007C0FDC"/>
    <w:rsid w:val="007C14D2"/>
    <w:rsid w:val="007C3784"/>
    <w:rsid w:val="007C3EDF"/>
    <w:rsid w:val="007C4090"/>
    <w:rsid w:val="007C5C03"/>
    <w:rsid w:val="007C7426"/>
    <w:rsid w:val="007D0039"/>
    <w:rsid w:val="007D06B6"/>
    <w:rsid w:val="007D0989"/>
    <w:rsid w:val="007D0B24"/>
    <w:rsid w:val="007D1188"/>
    <w:rsid w:val="007D1649"/>
    <w:rsid w:val="007D1DF6"/>
    <w:rsid w:val="007D38A9"/>
    <w:rsid w:val="007D6369"/>
    <w:rsid w:val="007D695F"/>
    <w:rsid w:val="007D7368"/>
    <w:rsid w:val="007E12AD"/>
    <w:rsid w:val="007E270B"/>
    <w:rsid w:val="007E33FC"/>
    <w:rsid w:val="007E3BDA"/>
    <w:rsid w:val="007E4194"/>
    <w:rsid w:val="007E47C4"/>
    <w:rsid w:val="007E673F"/>
    <w:rsid w:val="007E7478"/>
    <w:rsid w:val="007E7BE9"/>
    <w:rsid w:val="007F0BBA"/>
    <w:rsid w:val="007F29FC"/>
    <w:rsid w:val="007F3F1F"/>
    <w:rsid w:val="007F44C4"/>
    <w:rsid w:val="007F50B3"/>
    <w:rsid w:val="007F52D4"/>
    <w:rsid w:val="007F69C1"/>
    <w:rsid w:val="007F6DED"/>
    <w:rsid w:val="007F7DDD"/>
    <w:rsid w:val="00801779"/>
    <w:rsid w:val="00802485"/>
    <w:rsid w:val="008035ED"/>
    <w:rsid w:val="008037A5"/>
    <w:rsid w:val="00803C2B"/>
    <w:rsid w:val="00806D1E"/>
    <w:rsid w:val="008070FF"/>
    <w:rsid w:val="00807FC5"/>
    <w:rsid w:val="008127DA"/>
    <w:rsid w:val="00812A0F"/>
    <w:rsid w:val="008130CB"/>
    <w:rsid w:val="008139B2"/>
    <w:rsid w:val="008145D3"/>
    <w:rsid w:val="00814BBC"/>
    <w:rsid w:val="00814E6F"/>
    <w:rsid w:val="0081525D"/>
    <w:rsid w:val="008152B0"/>
    <w:rsid w:val="00815BF7"/>
    <w:rsid w:val="00815E14"/>
    <w:rsid w:val="00816203"/>
    <w:rsid w:val="00816775"/>
    <w:rsid w:val="00821AFD"/>
    <w:rsid w:val="008232E3"/>
    <w:rsid w:val="00823527"/>
    <w:rsid w:val="00826413"/>
    <w:rsid w:val="00826C84"/>
    <w:rsid w:val="00826D5B"/>
    <w:rsid w:val="00827934"/>
    <w:rsid w:val="00827B60"/>
    <w:rsid w:val="0083138C"/>
    <w:rsid w:val="00831AF2"/>
    <w:rsid w:val="00834EA4"/>
    <w:rsid w:val="00834F6C"/>
    <w:rsid w:val="008413AF"/>
    <w:rsid w:val="008414BE"/>
    <w:rsid w:val="008417BE"/>
    <w:rsid w:val="008433A0"/>
    <w:rsid w:val="008439B9"/>
    <w:rsid w:val="00844867"/>
    <w:rsid w:val="0084525D"/>
    <w:rsid w:val="00847F97"/>
    <w:rsid w:val="008516E4"/>
    <w:rsid w:val="00851C48"/>
    <w:rsid w:val="00852294"/>
    <w:rsid w:val="00854167"/>
    <w:rsid w:val="008557F6"/>
    <w:rsid w:val="008558FD"/>
    <w:rsid w:val="00855F23"/>
    <w:rsid w:val="00856588"/>
    <w:rsid w:val="008568CB"/>
    <w:rsid w:val="00856CEE"/>
    <w:rsid w:val="008606FA"/>
    <w:rsid w:val="0086103C"/>
    <w:rsid w:val="00862312"/>
    <w:rsid w:val="0086260A"/>
    <w:rsid w:val="00862BC1"/>
    <w:rsid w:val="00864D48"/>
    <w:rsid w:val="00865919"/>
    <w:rsid w:val="00866084"/>
    <w:rsid w:val="00867336"/>
    <w:rsid w:val="00867808"/>
    <w:rsid w:val="00870A0E"/>
    <w:rsid w:val="008724ED"/>
    <w:rsid w:val="00873F4D"/>
    <w:rsid w:val="008742ED"/>
    <w:rsid w:val="0087461C"/>
    <w:rsid w:val="00875D94"/>
    <w:rsid w:val="00875E8D"/>
    <w:rsid w:val="00876A61"/>
    <w:rsid w:val="00880B75"/>
    <w:rsid w:val="008840C8"/>
    <w:rsid w:val="00884C29"/>
    <w:rsid w:val="00885CEC"/>
    <w:rsid w:val="008872C8"/>
    <w:rsid w:val="00890C29"/>
    <w:rsid w:val="00890DC6"/>
    <w:rsid w:val="00891F71"/>
    <w:rsid w:val="00892004"/>
    <w:rsid w:val="00892AE9"/>
    <w:rsid w:val="00893EC4"/>
    <w:rsid w:val="00895190"/>
    <w:rsid w:val="00896DCA"/>
    <w:rsid w:val="00897C4C"/>
    <w:rsid w:val="008A1C8E"/>
    <w:rsid w:val="008A259D"/>
    <w:rsid w:val="008A7932"/>
    <w:rsid w:val="008A7CB6"/>
    <w:rsid w:val="008A7E34"/>
    <w:rsid w:val="008B0116"/>
    <w:rsid w:val="008B0725"/>
    <w:rsid w:val="008B0748"/>
    <w:rsid w:val="008B51EE"/>
    <w:rsid w:val="008B5431"/>
    <w:rsid w:val="008B57CC"/>
    <w:rsid w:val="008B7B30"/>
    <w:rsid w:val="008B7B6D"/>
    <w:rsid w:val="008C153A"/>
    <w:rsid w:val="008C1BF9"/>
    <w:rsid w:val="008C60BA"/>
    <w:rsid w:val="008D0C86"/>
    <w:rsid w:val="008D0D49"/>
    <w:rsid w:val="008D0E47"/>
    <w:rsid w:val="008D20A2"/>
    <w:rsid w:val="008D245D"/>
    <w:rsid w:val="008D390B"/>
    <w:rsid w:val="008D4AC4"/>
    <w:rsid w:val="008D4FAE"/>
    <w:rsid w:val="008D5B6C"/>
    <w:rsid w:val="008D62FE"/>
    <w:rsid w:val="008E0314"/>
    <w:rsid w:val="008E0922"/>
    <w:rsid w:val="008E0D05"/>
    <w:rsid w:val="008E1AA4"/>
    <w:rsid w:val="008E27B3"/>
    <w:rsid w:val="008E2ACA"/>
    <w:rsid w:val="008E36E7"/>
    <w:rsid w:val="008E485D"/>
    <w:rsid w:val="008E55F3"/>
    <w:rsid w:val="008E6A91"/>
    <w:rsid w:val="008E6DC2"/>
    <w:rsid w:val="008F0AFC"/>
    <w:rsid w:val="008F0C9D"/>
    <w:rsid w:val="008F36CC"/>
    <w:rsid w:val="008F39F7"/>
    <w:rsid w:val="008F575E"/>
    <w:rsid w:val="008F6DD4"/>
    <w:rsid w:val="0090016F"/>
    <w:rsid w:val="009005DD"/>
    <w:rsid w:val="009006F3"/>
    <w:rsid w:val="00901B81"/>
    <w:rsid w:val="00903D4B"/>
    <w:rsid w:val="0090504F"/>
    <w:rsid w:val="009064EC"/>
    <w:rsid w:val="00906C52"/>
    <w:rsid w:val="00910647"/>
    <w:rsid w:val="00910868"/>
    <w:rsid w:val="00912687"/>
    <w:rsid w:val="00914736"/>
    <w:rsid w:val="00916410"/>
    <w:rsid w:val="0091670C"/>
    <w:rsid w:val="00917008"/>
    <w:rsid w:val="00917528"/>
    <w:rsid w:val="0091777B"/>
    <w:rsid w:val="00920068"/>
    <w:rsid w:val="00920F40"/>
    <w:rsid w:val="00921BB5"/>
    <w:rsid w:val="00921F8F"/>
    <w:rsid w:val="0092203B"/>
    <w:rsid w:val="00922CD3"/>
    <w:rsid w:val="00924E98"/>
    <w:rsid w:val="00925286"/>
    <w:rsid w:val="00925DBE"/>
    <w:rsid w:val="00927B21"/>
    <w:rsid w:val="00927F73"/>
    <w:rsid w:val="00931300"/>
    <w:rsid w:val="009314A2"/>
    <w:rsid w:val="00932102"/>
    <w:rsid w:val="009321A3"/>
    <w:rsid w:val="00932482"/>
    <w:rsid w:val="00932A43"/>
    <w:rsid w:val="00932A99"/>
    <w:rsid w:val="009332AC"/>
    <w:rsid w:val="00936A3E"/>
    <w:rsid w:val="00940C75"/>
    <w:rsid w:val="00940D2E"/>
    <w:rsid w:val="0094169E"/>
    <w:rsid w:val="00941CDD"/>
    <w:rsid w:val="00944405"/>
    <w:rsid w:val="009501F0"/>
    <w:rsid w:val="009507D9"/>
    <w:rsid w:val="0095086C"/>
    <w:rsid w:val="00950CB9"/>
    <w:rsid w:val="009511E5"/>
    <w:rsid w:val="009519C1"/>
    <w:rsid w:val="009524CC"/>
    <w:rsid w:val="00952512"/>
    <w:rsid w:val="00952CC1"/>
    <w:rsid w:val="00953591"/>
    <w:rsid w:val="009538A7"/>
    <w:rsid w:val="00953B08"/>
    <w:rsid w:val="00953E5B"/>
    <w:rsid w:val="00954848"/>
    <w:rsid w:val="00956738"/>
    <w:rsid w:val="00957CFF"/>
    <w:rsid w:val="00960BD5"/>
    <w:rsid w:val="0096100B"/>
    <w:rsid w:val="00962397"/>
    <w:rsid w:val="009629BC"/>
    <w:rsid w:val="009635F3"/>
    <w:rsid w:val="009642EE"/>
    <w:rsid w:val="00964632"/>
    <w:rsid w:val="009648A0"/>
    <w:rsid w:val="009649DB"/>
    <w:rsid w:val="0096631B"/>
    <w:rsid w:val="00967166"/>
    <w:rsid w:val="009700CA"/>
    <w:rsid w:val="009710B9"/>
    <w:rsid w:val="00971DBF"/>
    <w:rsid w:val="00972F18"/>
    <w:rsid w:val="00977318"/>
    <w:rsid w:val="00977634"/>
    <w:rsid w:val="0097784E"/>
    <w:rsid w:val="009814D6"/>
    <w:rsid w:val="00981BB9"/>
    <w:rsid w:val="00983039"/>
    <w:rsid w:val="00984023"/>
    <w:rsid w:val="0098436B"/>
    <w:rsid w:val="009847AC"/>
    <w:rsid w:val="0098571E"/>
    <w:rsid w:val="009861DC"/>
    <w:rsid w:val="0098621A"/>
    <w:rsid w:val="009863E1"/>
    <w:rsid w:val="0098707F"/>
    <w:rsid w:val="009874C5"/>
    <w:rsid w:val="00987862"/>
    <w:rsid w:val="0099173A"/>
    <w:rsid w:val="00991C2A"/>
    <w:rsid w:val="00993CA2"/>
    <w:rsid w:val="0099459A"/>
    <w:rsid w:val="00994CDD"/>
    <w:rsid w:val="00996883"/>
    <w:rsid w:val="00996BED"/>
    <w:rsid w:val="00996CC6"/>
    <w:rsid w:val="009A04DE"/>
    <w:rsid w:val="009A2AC2"/>
    <w:rsid w:val="009A3512"/>
    <w:rsid w:val="009A3E67"/>
    <w:rsid w:val="009A5610"/>
    <w:rsid w:val="009A5FF6"/>
    <w:rsid w:val="009B0B00"/>
    <w:rsid w:val="009B1719"/>
    <w:rsid w:val="009B1FD4"/>
    <w:rsid w:val="009B248D"/>
    <w:rsid w:val="009B279F"/>
    <w:rsid w:val="009B3061"/>
    <w:rsid w:val="009B31A9"/>
    <w:rsid w:val="009B3362"/>
    <w:rsid w:val="009B4B1D"/>
    <w:rsid w:val="009B4D21"/>
    <w:rsid w:val="009B67A4"/>
    <w:rsid w:val="009B6D41"/>
    <w:rsid w:val="009B72EB"/>
    <w:rsid w:val="009B7568"/>
    <w:rsid w:val="009B76F7"/>
    <w:rsid w:val="009C15D9"/>
    <w:rsid w:val="009C484B"/>
    <w:rsid w:val="009C5ADC"/>
    <w:rsid w:val="009C6B44"/>
    <w:rsid w:val="009C76BA"/>
    <w:rsid w:val="009D06E2"/>
    <w:rsid w:val="009D14B4"/>
    <w:rsid w:val="009D15FE"/>
    <w:rsid w:val="009D1CA7"/>
    <w:rsid w:val="009D2EF4"/>
    <w:rsid w:val="009D3237"/>
    <w:rsid w:val="009D3D99"/>
    <w:rsid w:val="009D523D"/>
    <w:rsid w:val="009D6EB7"/>
    <w:rsid w:val="009E022D"/>
    <w:rsid w:val="009E0A00"/>
    <w:rsid w:val="009E2243"/>
    <w:rsid w:val="009E40AB"/>
    <w:rsid w:val="009E492A"/>
    <w:rsid w:val="009E4BAF"/>
    <w:rsid w:val="009E56BE"/>
    <w:rsid w:val="009E5A47"/>
    <w:rsid w:val="009E5C87"/>
    <w:rsid w:val="009E6817"/>
    <w:rsid w:val="009E6EFD"/>
    <w:rsid w:val="009F045D"/>
    <w:rsid w:val="009F15A6"/>
    <w:rsid w:val="009F1B46"/>
    <w:rsid w:val="009F3816"/>
    <w:rsid w:val="009F3B4B"/>
    <w:rsid w:val="00A013A1"/>
    <w:rsid w:val="00A03361"/>
    <w:rsid w:val="00A042C2"/>
    <w:rsid w:val="00A04915"/>
    <w:rsid w:val="00A04D10"/>
    <w:rsid w:val="00A06898"/>
    <w:rsid w:val="00A073C8"/>
    <w:rsid w:val="00A0779F"/>
    <w:rsid w:val="00A07B7C"/>
    <w:rsid w:val="00A10A60"/>
    <w:rsid w:val="00A10F8F"/>
    <w:rsid w:val="00A11542"/>
    <w:rsid w:val="00A11903"/>
    <w:rsid w:val="00A1253E"/>
    <w:rsid w:val="00A13700"/>
    <w:rsid w:val="00A1417F"/>
    <w:rsid w:val="00A15884"/>
    <w:rsid w:val="00A161E0"/>
    <w:rsid w:val="00A16EB0"/>
    <w:rsid w:val="00A176F1"/>
    <w:rsid w:val="00A20079"/>
    <w:rsid w:val="00A20451"/>
    <w:rsid w:val="00A23D7F"/>
    <w:rsid w:val="00A25B87"/>
    <w:rsid w:val="00A260CB"/>
    <w:rsid w:val="00A269E7"/>
    <w:rsid w:val="00A26B13"/>
    <w:rsid w:val="00A316D3"/>
    <w:rsid w:val="00A31BA0"/>
    <w:rsid w:val="00A3259A"/>
    <w:rsid w:val="00A33351"/>
    <w:rsid w:val="00A33E7D"/>
    <w:rsid w:val="00A34C38"/>
    <w:rsid w:val="00A372AA"/>
    <w:rsid w:val="00A372D7"/>
    <w:rsid w:val="00A37ABA"/>
    <w:rsid w:val="00A37C0B"/>
    <w:rsid w:val="00A40A70"/>
    <w:rsid w:val="00A42028"/>
    <w:rsid w:val="00A428E7"/>
    <w:rsid w:val="00A42C15"/>
    <w:rsid w:val="00A42D4B"/>
    <w:rsid w:val="00A432B2"/>
    <w:rsid w:val="00A461CF"/>
    <w:rsid w:val="00A4690D"/>
    <w:rsid w:val="00A47322"/>
    <w:rsid w:val="00A507AD"/>
    <w:rsid w:val="00A52807"/>
    <w:rsid w:val="00A52EEA"/>
    <w:rsid w:val="00A52EF2"/>
    <w:rsid w:val="00A531B0"/>
    <w:rsid w:val="00A5355D"/>
    <w:rsid w:val="00A55171"/>
    <w:rsid w:val="00A55ED9"/>
    <w:rsid w:val="00A638D0"/>
    <w:rsid w:val="00A65672"/>
    <w:rsid w:val="00A668BD"/>
    <w:rsid w:val="00A66B0F"/>
    <w:rsid w:val="00A67C18"/>
    <w:rsid w:val="00A705A5"/>
    <w:rsid w:val="00A70C96"/>
    <w:rsid w:val="00A71E68"/>
    <w:rsid w:val="00A736C9"/>
    <w:rsid w:val="00A73C4F"/>
    <w:rsid w:val="00A7497C"/>
    <w:rsid w:val="00A766BF"/>
    <w:rsid w:val="00A80CFA"/>
    <w:rsid w:val="00A8151A"/>
    <w:rsid w:val="00A836EA"/>
    <w:rsid w:val="00A83B84"/>
    <w:rsid w:val="00A83FE5"/>
    <w:rsid w:val="00A84E28"/>
    <w:rsid w:val="00A85812"/>
    <w:rsid w:val="00A85B3B"/>
    <w:rsid w:val="00A90FF4"/>
    <w:rsid w:val="00A91BB9"/>
    <w:rsid w:val="00A92389"/>
    <w:rsid w:val="00A95F39"/>
    <w:rsid w:val="00A9606E"/>
    <w:rsid w:val="00A9644F"/>
    <w:rsid w:val="00A96975"/>
    <w:rsid w:val="00AA001B"/>
    <w:rsid w:val="00AA0303"/>
    <w:rsid w:val="00AA142E"/>
    <w:rsid w:val="00AA18B0"/>
    <w:rsid w:val="00AA21B3"/>
    <w:rsid w:val="00AA24B4"/>
    <w:rsid w:val="00AA79F4"/>
    <w:rsid w:val="00AB00CD"/>
    <w:rsid w:val="00AC100F"/>
    <w:rsid w:val="00AC22FD"/>
    <w:rsid w:val="00AC4A93"/>
    <w:rsid w:val="00AC5411"/>
    <w:rsid w:val="00AC617C"/>
    <w:rsid w:val="00AC67E1"/>
    <w:rsid w:val="00AC7C5C"/>
    <w:rsid w:val="00AD0480"/>
    <w:rsid w:val="00AD0569"/>
    <w:rsid w:val="00AD1FF8"/>
    <w:rsid w:val="00AD2853"/>
    <w:rsid w:val="00AD2D44"/>
    <w:rsid w:val="00AD49A0"/>
    <w:rsid w:val="00AD5048"/>
    <w:rsid w:val="00AD7BD4"/>
    <w:rsid w:val="00AE05DB"/>
    <w:rsid w:val="00AE15FF"/>
    <w:rsid w:val="00AE2F29"/>
    <w:rsid w:val="00AE2F87"/>
    <w:rsid w:val="00AE3FA8"/>
    <w:rsid w:val="00AE4014"/>
    <w:rsid w:val="00AE4B9C"/>
    <w:rsid w:val="00AE55A9"/>
    <w:rsid w:val="00AE5B4F"/>
    <w:rsid w:val="00AE6661"/>
    <w:rsid w:val="00AF03E1"/>
    <w:rsid w:val="00AF0B2C"/>
    <w:rsid w:val="00AF0B51"/>
    <w:rsid w:val="00AF2705"/>
    <w:rsid w:val="00AF49A5"/>
    <w:rsid w:val="00AF4A1D"/>
    <w:rsid w:val="00AF5399"/>
    <w:rsid w:val="00AF5F08"/>
    <w:rsid w:val="00AF617A"/>
    <w:rsid w:val="00AF6866"/>
    <w:rsid w:val="00AF6DB2"/>
    <w:rsid w:val="00B037FE"/>
    <w:rsid w:val="00B03B66"/>
    <w:rsid w:val="00B03EC8"/>
    <w:rsid w:val="00B05CBB"/>
    <w:rsid w:val="00B06051"/>
    <w:rsid w:val="00B06190"/>
    <w:rsid w:val="00B069B9"/>
    <w:rsid w:val="00B06A1A"/>
    <w:rsid w:val="00B06A64"/>
    <w:rsid w:val="00B07079"/>
    <w:rsid w:val="00B0784E"/>
    <w:rsid w:val="00B07C1B"/>
    <w:rsid w:val="00B102ED"/>
    <w:rsid w:val="00B15725"/>
    <w:rsid w:val="00B2046E"/>
    <w:rsid w:val="00B20588"/>
    <w:rsid w:val="00B2131A"/>
    <w:rsid w:val="00B2380C"/>
    <w:rsid w:val="00B244CA"/>
    <w:rsid w:val="00B248F7"/>
    <w:rsid w:val="00B2505F"/>
    <w:rsid w:val="00B257DF"/>
    <w:rsid w:val="00B25AE7"/>
    <w:rsid w:val="00B264AB"/>
    <w:rsid w:val="00B27122"/>
    <w:rsid w:val="00B27D0B"/>
    <w:rsid w:val="00B308A6"/>
    <w:rsid w:val="00B30B15"/>
    <w:rsid w:val="00B3191B"/>
    <w:rsid w:val="00B33483"/>
    <w:rsid w:val="00B34ABB"/>
    <w:rsid w:val="00B35115"/>
    <w:rsid w:val="00B35EC5"/>
    <w:rsid w:val="00B3645E"/>
    <w:rsid w:val="00B4003E"/>
    <w:rsid w:val="00B416E1"/>
    <w:rsid w:val="00B44ABA"/>
    <w:rsid w:val="00B44B9F"/>
    <w:rsid w:val="00B4554B"/>
    <w:rsid w:val="00B50A5F"/>
    <w:rsid w:val="00B522D5"/>
    <w:rsid w:val="00B52FDB"/>
    <w:rsid w:val="00B5321A"/>
    <w:rsid w:val="00B53238"/>
    <w:rsid w:val="00B53681"/>
    <w:rsid w:val="00B53FAE"/>
    <w:rsid w:val="00B543ED"/>
    <w:rsid w:val="00B574F3"/>
    <w:rsid w:val="00B602EA"/>
    <w:rsid w:val="00B60EE8"/>
    <w:rsid w:val="00B6315D"/>
    <w:rsid w:val="00B66984"/>
    <w:rsid w:val="00B66E2B"/>
    <w:rsid w:val="00B670FB"/>
    <w:rsid w:val="00B67FD8"/>
    <w:rsid w:val="00B7022C"/>
    <w:rsid w:val="00B70A7D"/>
    <w:rsid w:val="00B71298"/>
    <w:rsid w:val="00B718BA"/>
    <w:rsid w:val="00B729FA"/>
    <w:rsid w:val="00B72B08"/>
    <w:rsid w:val="00B7317B"/>
    <w:rsid w:val="00B73B0B"/>
    <w:rsid w:val="00B7406B"/>
    <w:rsid w:val="00B749EB"/>
    <w:rsid w:val="00B74C9A"/>
    <w:rsid w:val="00B768ED"/>
    <w:rsid w:val="00B80271"/>
    <w:rsid w:val="00B803D6"/>
    <w:rsid w:val="00B81037"/>
    <w:rsid w:val="00B81795"/>
    <w:rsid w:val="00B81A29"/>
    <w:rsid w:val="00B83498"/>
    <w:rsid w:val="00B83AAE"/>
    <w:rsid w:val="00B856CB"/>
    <w:rsid w:val="00B86402"/>
    <w:rsid w:val="00B87BC8"/>
    <w:rsid w:val="00B90DBE"/>
    <w:rsid w:val="00B90FDF"/>
    <w:rsid w:val="00B9232C"/>
    <w:rsid w:val="00B93C5C"/>
    <w:rsid w:val="00B942B3"/>
    <w:rsid w:val="00B95029"/>
    <w:rsid w:val="00B9692C"/>
    <w:rsid w:val="00B976CF"/>
    <w:rsid w:val="00BA09FB"/>
    <w:rsid w:val="00BA1816"/>
    <w:rsid w:val="00BA19F1"/>
    <w:rsid w:val="00BA1FBF"/>
    <w:rsid w:val="00BA27B9"/>
    <w:rsid w:val="00BA41A3"/>
    <w:rsid w:val="00BA4862"/>
    <w:rsid w:val="00BA48BC"/>
    <w:rsid w:val="00BA4B74"/>
    <w:rsid w:val="00BA5AB4"/>
    <w:rsid w:val="00BA5E6D"/>
    <w:rsid w:val="00BA5FCD"/>
    <w:rsid w:val="00BA6315"/>
    <w:rsid w:val="00BA69E3"/>
    <w:rsid w:val="00BA6A63"/>
    <w:rsid w:val="00BA6AAB"/>
    <w:rsid w:val="00BA6C8C"/>
    <w:rsid w:val="00BA6E08"/>
    <w:rsid w:val="00BA7B00"/>
    <w:rsid w:val="00BB02C7"/>
    <w:rsid w:val="00BB17BB"/>
    <w:rsid w:val="00BB36F5"/>
    <w:rsid w:val="00BB37AD"/>
    <w:rsid w:val="00BB3A30"/>
    <w:rsid w:val="00BB4425"/>
    <w:rsid w:val="00BB4703"/>
    <w:rsid w:val="00BB5720"/>
    <w:rsid w:val="00BB738D"/>
    <w:rsid w:val="00BB766B"/>
    <w:rsid w:val="00BC01D7"/>
    <w:rsid w:val="00BC1CB4"/>
    <w:rsid w:val="00BC26F5"/>
    <w:rsid w:val="00BC2A2C"/>
    <w:rsid w:val="00BC43EC"/>
    <w:rsid w:val="00BC56C3"/>
    <w:rsid w:val="00BC6BD7"/>
    <w:rsid w:val="00BC7AAA"/>
    <w:rsid w:val="00BC7EFF"/>
    <w:rsid w:val="00BC7F1E"/>
    <w:rsid w:val="00BD0BEB"/>
    <w:rsid w:val="00BD23FC"/>
    <w:rsid w:val="00BD29AB"/>
    <w:rsid w:val="00BD2A75"/>
    <w:rsid w:val="00BD4C1E"/>
    <w:rsid w:val="00BD4E9A"/>
    <w:rsid w:val="00BD773E"/>
    <w:rsid w:val="00BD7A34"/>
    <w:rsid w:val="00BD7ABE"/>
    <w:rsid w:val="00BD7B56"/>
    <w:rsid w:val="00BE1466"/>
    <w:rsid w:val="00BE29A5"/>
    <w:rsid w:val="00BE3EEB"/>
    <w:rsid w:val="00BE40DA"/>
    <w:rsid w:val="00BE469D"/>
    <w:rsid w:val="00BE52CA"/>
    <w:rsid w:val="00BE5A1D"/>
    <w:rsid w:val="00BE60BB"/>
    <w:rsid w:val="00BE7570"/>
    <w:rsid w:val="00BF070E"/>
    <w:rsid w:val="00BF084A"/>
    <w:rsid w:val="00BF1034"/>
    <w:rsid w:val="00BF1893"/>
    <w:rsid w:val="00BF39B2"/>
    <w:rsid w:val="00BF3CBD"/>
    <w:rsid w:val="00BF5F16"/>
    <w:rsid w:val="00BF68DF"/>
    <w:rsid w:val="00BF7567"/>
    <w:rsid w:val="00C0020A"/>
    <w:rsid w:val="00C02C17"/>
    <w:rsid w:val="00C02F46"/>
    <w:rsid w:val="00C030C0"/>
    <w:rsid w:val="00C03648"/>
    <w:rsid w:val="00C03891"/>
    <w:rsid w:val="00C0393E"/>
    <w:rsid w:val="00C03C00"/>
    <w:rsid w:val="00C03D64"/>
    <w:rsid w:val="00C0581C"/>
    <w:rsid w:val="00C0638B"/>
    <w:rsid w:val="00C0688C"/>
    <w:rsid w:val="00C0736F"/>
    <w:rsid w:val="00C07521"/>
    <w:rsid w:val="00C07BD0"/>
    <w:rsid w:val="00C10145"/>
    <w:rsid w:val="00C11073"/>
    <w:rsid w:val="00C130AA"/>
    <w:rsid w:val="00C132D7"/>
    <w:rsid w:val="00C15006"/>
    <w:rsid w:val="00C15A5A"/>
    <w:rsid w:val="00C1603E"/>
    <w:rsid w:val="00C17220"/>
    <w:rsid w:val="00C17F29"/>
    <w:rsid w:val="00C17FF3"/>
    <w:rsid w:val="00C2269F"/>
    <w:rsid w:val="00C23212"/>
    <w:rsid w:val="00C24349"/>
    <w:rsid w:val="00C245F7"/>
    <w:rsid w:val="00C2561F"/>
    <w:rsid w:val="00C31281"/>
    <w:rsid w:val="00C3128E"/>
    <w:rsid w:val="00C31C5F"/>
    <w:rsid w:val="00C32344"/>
    <w:rsid w:val="00C3248C"/>
    <w:rsid w:val="00C33475"/>
    <w:rsid w:val="00C33A85"/>
    <w:rsid w:val="00C34900"/>
    <w:rsid w:val="00C35363"/>
    <w:rsid w:val="00C35526"/>
    <w:rsid w:val="00C3683D"/>
    <w:rsid w:val="00C36866"/>
    <w:rsid w:val="00C36D17"/>
    <w:rsid w:val="00C37569"/>
    <w:rsid w:val="00C40BE4"/>
    <w:rsid w:val="00C40BF0"/>
    <w:rsid w:val="00C414FA"/>
    <w:rsid w:val="00C458FA"/>
    <w:rsid w:val="00C46778"/>
    <w:rsid w:val="00C467B5"/>
    <w:rsid w:val="00C46D13"/>
    <w:rsid w:val="00C47137"/>
    <w:rsid w:val="00C4731D"/>
    <w:rsid w:val="00C50FDD"/>
    <w:rsid w:val="00C518E0"/>
    <w:rsid w:val="00C5255D"/>
    <w:rsid w:val="00C52A13"/>
    <w:rsid w:val="00C546C4"/>
    <w:rsid w:val="00C5561B"/>
    <w:rsid w:val="00C55DA1"/>
    <w:rsid w:val="00C56DB6"/>
    <w:rsid w:val="00C57A97"/>
    <w:rsid w:val="00C57EA8"/>
    <w:rsid w:val="00C6090B"/>
    <w:rsid w:val="00C613DC"/>
    <w:rsid w:val="00C61A3D"/>
    <w:rsid w:val="00C61BB7"/>
    <w:rsid w:val="00C6294A"/>
    <w:rsid w:val="00C63801"/>
    <w:rsid w:val="00C63BA6"/>
    <w:rsid w:val="00C63C81"/>
    <w:rsid w:val="00C63D8C"/>
    <w:rsid w:val="00C64A8D"/>
    <w:rsid w:val="00C65F4D"/>
    <w:rsid w:val="00C67730"/>
    <w:rsid w:val="00C67A0C"/>
    <w:rsid w:val="00C73497"/>
    <w:rsid w:val="00C73E70"/>
    <w:rsid w:val="00C7512C"/>
    <w:rsid w:val="00C75900"/>
    <w:rsid w:val="00C764DD"/>
    <w:rsid w:val="00C800D7"/>
    <w:rsid w:val="00C8013F"/>
    <w:rsid w:val="00C83691"/>
    <w:rsid w:val="00C83DF6"/>
    <w:rsid w:val="00C842E7"/>
    <w:rsid w:val="00C84339"/>
    <w:rsid w:val="00C84ABF"/>
    <w:rsid w:val="00C87153"/>
    <w:rsid w:val="00C904D3"/>
    <w:rsid w:val="00C91417"/>
    <w:rsid w:val="00C917EB"/>
    <w:rsid w:val="00C918B2"/>
    <w:rsid w:val="00C9235C"/>
    <w:rsid w:val="00C9259F"/>
    <w:rsid w:val="00C92F0A"/>
    <w:rsid w:val="00C93AD3"/>
    <w:rsid w:val="00C95EE0"/>
    <w:rsid w:val="00CA1776"/>
    <w:rsid w:val="00CA236E"/>
    <w:rsid w:val="00CA268D"/>
    <w:rsid w:val="00CA44C9"/>
    <w:rsid w:val="00CA6688"/>
    <w:rsid w:val="00CA7730"/>
    <w:rsid w:val="00CB0429"/>
    <w:rsid w:val="00CB0F19"/>
    <w:rsid w:val="00CB16C2"/>
    <w:rsid w:val="00CB2688"/>
    <w:rsid w:val="00CB31B3"/>
    <w:rsid w:val="00CB3AAD"/>
    <w:rsid w:val="00CB4930"/>
    <w:rsid w:val="00CB5927"/>
    <w:rsid w:val="00CB62F1"/>
    <w:rsid w:val="00CB6857"/>
    <w:rsid w:val="00CB69D6"/>
    <w:rsid w:val="00CB6A34"/>
    <w:rsid w:val="00CB6B07"/>
    <w:rsid w:val="00CC0A98"/>
    <w:rsid w:val="00CC187A"/>
    <w:rsid w:val="00CC1D52"/>
    <w:rsid w:val="00CC2550"/>
    <w:rsid w:val="00CC630B"/>
    <w:rsid w:val="00CC652B"/>
    <w:rsid w:val="00CD066B"/>
    <w:rsid w:val="00CD13CF"/>
    <w:rsid w:val="00CD161C"/>
    <w:rsid w:val="00CD1F55"/>
    <w:rsid w:val="00CD3FE7"/>
    <w:rsid w:val="00CD48C2"/>
    <w:rsid w:val="00CD4CE1"/>
    <w:rsid w:val="00CD643F"/>
    <w:rsid w:val="00CD7D97"/>
    <w:rsid w:val="00CD7E9F"/>
    <w:rsid w:val="00CE0144"/>
    <w:rsid w:val="00CE06F6"/>
    <w:rsid w:val="00CE077C"/>
    <w:rsid w:val="00CE1223"/>
    <w:rsid w:val="00CE1EAF"/>
    <w:rsid w:val="00CE3EDA"/>
    <w:rsid w:val="00CE3FA7"/>
    <w:rsid w:val="00CE5748"/>
    <w:rsid w:val="00CE5D5F"/>
    <w:rsid w:val="00CE6782"/>
    <w:rsid w:val="00CF0C86"/>
    <w:rsid w:val="00CF0FC8"/>
    <w:rsid w:val="00CF15C5"/>
    <w:rsid w:val="00CF2687"/>
    <w:rsid w:val="00CF468C"/>
    <w:rsid w:val="00CF6016"/>
    <w:rsid w:val="00CF6050"/>
    <w:rsid w:val="00CF65AC"/>
    <w:rsid w:val="00CF6880"/>
    <w:rsid w:val="00CF6B5E"/>
    <w:rsid w:val="00CF7F4E"/>
    <w:rsid w:val="00D0366B"/>
    <w:rsid w:val="00D047C5"/>
    <w:rsid w:val="00D04AAE"/>
    <w:rsid w:val="00D04CCE"/>
    <w:rsid w:val="00D0529B"/>
    <w:rsid w:val="00D060D5"/>
    <w:rsid w:val="00D07608"/>
    <w:rsid w:val="00D07B29"/>
    <w:rsid w:val="00D11161"/>
    <w:rsid w:val="00D119D7"/>
    <w:rsid w:val="00D11DDF"/>
    <w:rsid w:val="00D12400"/>
    <w:rsid w:val="00D12696"/>
    <w:rsid w:val="00D1386A"/>
    <w:rsid w:val="00D14883"/>
    <w:rsid w:val="00D15D2A"/>
    <w:rsid w:val="00D160C4"/>
    <w:rsid w:val="00D17694"/>
    <w:rsid w:val="00D17D77"/>
    <w:rsid w:val="00D20206"/>
    <w:rsid w:val="00D20EC4"/>
    <w:rsid w:val="00D2145B"/>
    <w:rsid w:val="00D2192F"/>
    <w:rsid w:val="00D231FF"/>
    <w:rsid w:val="00D25223"/>
    <w:rsid w:val="00D261D9"/>
    <w:rsid w:val="00D2642B"/>
    <w:rsid w:val="00D26FF8"/>
    <w:rsid w:val="00D27370"/>
    <w:rsid w:val="00D30506"/>
    <w:rsid w:val="00D31BF8"/>
    <w:rsid w:val="00D31D1C"/>
    <w:rsid w:val="00D3308F"/>
    <w:rsid w:val="00D33ABC"/>
    <w:rsid w:val="00D342CB"/>
    <w:rsid w:val="00D368A7"/>
    <w:rsid w:val="00D36ADF"/>
    <w:rsid w:val="00D371AF"/>
    <w:rsid w:val="00D418D1"/>
    <w:rsid w:val="00D43787"/>
    <w:rsid w:val="00D43A93"/>
    <w:rsid w:val="00D4402B"/>
    <w:rsid w:val="00D44554"/>
    <w:rsid w:val="00D46825"/>
    <w:rsid w:val="00D46AD8"/>
    <w:rsid w:val="00D47035"/>
    <w:rsid w:val="00D47F8C"/>
    <w:rsid w:val="00D502B2"/>
    <w:rsid w:val="00D50DD5"/>
    <w:rsid w:val="00D50F99"/>
    <w:rsid w:val="00D5261F"/>
    <w:rsid w:val="00D52FCA"/>
    <w:rsid w:val="00D533BD"/>
    <w:rsid w:val="00D53D1E"/>
    <w:rsid w:val="00D56D87"/>
    <w:rsid w:val="00D57058"/>
    <w:rsid w:val="00D572A7"/>
    <w:rsid w:val="00D57361"/>
    <w:rsid w:val="00D5759C"/>
    <w:rsid w:val="00D57764"/>
    <w:rsid w:val="00D61418"/>
    <w:rsid w:val="00D624B0"/>
    <w:rsid w:val="00D6261C"/>
    <w:rsid w:val="00D62C4B"/>
    <w:rsid w:val="00D63E6F"/>
    <w:rsid w:val="00D64466"/>
    <w:rsid w:val="00D64C66"/>
    <w:rsid w:val="00D65643"/>
    <w:rsid w:val="00D664B2"/>
    <w:rsid w:val="00D70399"/>
    <w:rsid w:val="00D70496"/>
    <w:rsid w:val="00D7114D"/>
    <w:rsid w:val="00D71227"/>
    <w:rsid w:val="00D720EA"/>
    <w:rsid w:val="00D72AE9"/>
    <w:rsid w:val="00D738CE"/>
    <w:rsid w:val="00D73D87"/>
    <w:rsid w:val="00D751D2"/>
    <w:rsid w:val="00D75D60"/>
    <w:rsid w:val="00D76528"/>
    <w:rsid w:val="00D76864"/>
    <w:rsid w:val="00D76E51"/>
    <w:rsid w:val="00D805A0"/>
    <w:rsid w:val="00D8217B"/>
    <w:rsid w:val="00D82B92"/>
    <w:rsid w:val="00D839AC"/>
    <w:rsid w:val="00D839F2"/>
    <w:rsid w:val="00D8442B"/>
    <w:rsid w:val="00D8525E"/>
    <w:rsid w:val="00D85BE0"/>
    <w:rsid w:val="00D86D80"/>
    <w:rsid w:val="00D90389"/>
    <w:rsid w:val="00D907EA"/>
    <w:rsid w:val="00D91601"/>
    <w:rsid w:val="00D918C6"/>
    <w:rsid w:val="00D91F1D"/>
    <w:rsid w:val="00D92D5C"/>
    <w:rsid w:val="00D955DE"/>
    <w:rsid w:val="00D95B92"/>
    <w:rsid w:val="00D9650B"/>
    <w:rsid w:val="00D97082"/>
    <w:rsid w:val="00D977F9"/>
    <w:rsid w:val="00DA1B01"/>
    <w:rsid w:val="00DA2CC0"/>
    <w:rsid w:val="00DA304D"/>
    <w:rsid w:val="00DA33FD"/>
    <w:rsid w:val="00DA561B"/>
    <w:rsid w:val="00DA65C3"/>
    <w:rsid w:val="00DA6D9D"/>
    <w:rsid w:val="00DA6E9F"/>
    <w:rsid w:val="00DA6F7C"/>
    <w:rsid w:val="00DA7011"/>
    <w:rsid w:val="00DB1362"/>
    <w:rsid w:val="00DB1530"/>
    <w:rsid w:val="00DB2247"/>
    <w:rsid w:val="00DB231C"/>
    <w:rsid w:val="00DB2594"/>
    <w:rsid w:val="00DB2729"/>
    <w:rsid w:val="00DB3B91"/>
    <w:rsid w:val="00DB3BD6"/>
    <w:rsid w:val="00DB5601"/>
    <w:rsid w:val="00DB7CD3"/>
    <w:rsid w:val="00DC04FB"/>
    <w:rsid w:val="00DC1250"/>
    <w:rsid w:val="00DC364D"/>
    <w:rsid w:val="00DC3D49"/>
    <w:rsid w:val="00DC56CD"/>
    <w:rsid w:val="00DC597A"/>
    <w:rsid w:val="00DC6256"/>
    <w:rsid w:val="00DC68F7"/>
    <w:rsid w:val="00DD3060"/>
    <w:rsid w:val="00DD3303"/>
    <w:rsid w:val="00DD38A8"/>
    <w:rsid w:val="00DD62A1"/>
    <w:rsid w:val="00DD77F8"/>
    <w:rsid w:val="00DE00A6"/>
    <w:rsid w:val="00DE184E"/>
    <w:rsid w:val="00DE208D"/>
    <w:rsid w:val="00DE368A"/>
    <w:rsid w:val="00DE43EE"/>
    <w:rsid w:val="00DE44DC"/>
    <w:rsid w:val="00DE45A0"/>
    <w:rsid w:val="00DE4B3E"/>
    <w:rsid w:val="00DE6507"/>
    <w:rsid w:val="00DF300C"/>
    <w:rsid w:val="00DF3154"/>
    <w:rsid w:val="00DF3664"/>
    <w:rsid w:val="00DF42BB"/>
    <w:rsid w:val="00DF57E2"/>
    <w:rsid w:val="00DF60BA"/>
    <w:rsid w:val="00E0058C"/>
    <w:rsid w:val="00E03E9B"/>
    <w:rsid w:val="00E0422F"/>
    <w:rsid w:val="00E05231"/>
    <w:rsid w:val="00E05FF7"/>
    <w:rsid w:val="00E06063"/>
    <w:rsid w:val="00E078EC"/>
    <w:rsid w:val="00E07F04"/>
    <w:rsid w:val="00E1051B"/>
    <w:rsid w:val="00E10A9A"/>
    <w:rsid w:val="00E11FCA"/>
    <w:rsid w:val="00E12056"/>
    <w:rsid w:val="00E1206E"/>
    <w:rsid w:val="00E12074"/>
    <w:rsid w:val="00E13507"/>
    <w:rsid w:val="00E1354D"/>
    <w:rsid w:val="00E13733"/>
    <w:rsid w:val="00E14A64"/>
    <w:rsid w:val="00E157D7"/>
    <w:rsid w:val="00E1655F"/>
    <w:rsid w:val="00E16756"/>
    <w:rsid w:val="00E179BF"/>
    <w:rsid w:val="00E20339"/>
    <w:rsid w:val="00E20466"/>
    <w:rsid w:val="00E23DFC"/>
    <w:rsid w:val="00E248D0"/>
    <w:rsid w:val="00E26B5B"/>
    <w:rsid w:val="00E27C09"/>
    <w:rsid w:val="00E302C0"/>
    <w:rsid w:val="00E326F6"/>
    <w:rsid w:val="00E34140"/>
    <w:rsid w:val="00E3677B"/>
    <w:rsid w:val="00E42334"/>
    <w:rsid w:val="00E42939"/>
    <w:rsid w:val="00E43E38"/>
    <w:rsid w:val="00E445F3"/>
    <w:rsid w:val="00E446B1"/>
    <w:rsid w:val="00E44971"/>
    <w:rsid w:val="00E468CB"/>
    <w:rsid w:val="00E478C6"/>
    <w:rsid w:val="00E50E8D"/>
    <w:rsid w:val="00E51BC3"/>
    <w:rsid w:val="00E5226F"/>
    <w:rsid w:val="00E53020"/>
    <w:rsid w:val="00E53597"/>
    <w:rsid w:val="00E53694"/>
    <w:rsid w:val="00E5432E"/>
    <w:rsid w:val="00E543B9"/>
    <w:rsid w:val="00E54542"/>
    <w:rsid w:val="00E557D0"/>
    <w:rsid w:val="00E55A58"/>
    <w:rsid w:val="00E55DF0"/>
    <w:rsid w:val="00E55FE7"/>
    <w:rsid w:val="00E56C22"/>
    <w:rsid w:val="00E56FD1"/>
    <w:rsid w:val="00E60553"/>
    <w:rsid w:val="00E63959"/>
    <w:rsid w:val="00E63D60"/>
    <w:rsid w:val="00E653D5"/>
    <w:rsid w:val="00E6584D"/>
    <w:rsid w:val="00E67351"/>
    <w:rsid w:val="00E70398"/>
    <w:rsid w:val="00E70579"/>
    <w:rsid w:val="00E7186E"/>
    <w:rsid w:val="00E738E8"/>
    <w:rsid w:val="00E74AC9"/>
    <w:rsid w:val="00E76A61"/>
    <w:rsid w:val="00E76C02"/>
    <w:rsid w:val="00E7750B"/>
    <w:rsid w:val="00E7757C"/>
    <w:rsid w:val="00E7781B"/>
    <w:rsid w:val="00E80DE8"/>
    <w:rsid w:val="00E83C60"/>
    <w:rsid w:val="00E8558F"/>
    <w:rsid w:val="00E85E6E"/>
    <w:rsid w:val="00E87F61"/>
    <w:rsid w:val="00E91115"/>
    <w:rsid w:val="00E957CD"/>
    <w:rsid w:val="00E9721A"/>
    <w:rsid w:val="00E97B29"/>
    <w:rsid w:val="00E97FEC"/>
    <w:rsid w:val="00EA14F9"/>
    <w:rsid w:val="00EA165F"/>
    <w:rsid w:val="00EA2211"/>
    <w:rsid w:val="00EA2A50"/>
    <w:rsid w:val="00EA3597"/>
    <w:rsid w:val="00EA4B9B"/>
    <w:rsid w:val="00EA4D20"/>
    <w:rsid w:val="00EA4DEC"/>
    <w:rsid w:val="00EA6ED3"/>
    <w:rsid w:val="00EA78C8"/>
    <w:rsid w:val="00EB03FF"/>
    <w:rsid w:val="00EB0C4E"/>
    <w:rsid w:val="00EB0EE1"/>
    <w:rsid w:val="00EB19DB"/>
    <w:rsid w:val="00EB2BA0"/>
    <w:rsid w:val="00EB327F"/>
    <w:rsid w:val="00EB676A"/>
    <w:rsid w:val="00EC1964"/>
    <w:rsid w:val="00EC34FF"/>
    <w:rsid w:val="00EC502A"/>
    <w:rsid w:val="00EC5A5D"/>
    <w:rsid w:val="00ED01EE"/>
    <w:rsid w:val="00ED08C6"/>
    <w:rsid w:val="00ED18D4"/>
    <w:rsid w:val="00ED1945"/>
    <w:rsid w:val="00ED2107"/>
    <w:rsid w:val="00ED2618"/>
    <w:rsid w:val="00ED267C"/>
    <w:rsid w:val="00ED2DDA"/>
    <w:rsid w:val="00ED3244"/>
    <w:rsid w:val="00ED46AA"/>
    <w:rsid w:val="00ED55D2"/>
    <w:rsid w:val="00ED5AB9"/>
    <w:rsid w:val="00ED694F"/>
    <w:rsid w:val="00ED7042"/>
    <w:rsid w:val="00EE10CE"/>
    <w:rsid w:val="00EE1A2F"/>
    <w:rsid w:val="00EE2054"/>
    <w:rsid w:val="00EE26A2"/>
    <w:rsid w:val="00EE44B2"/>
    <w:rsid w:val="00EE5442"/>
    <w:rsid w:val="00EE5E32"/>
    <w:rsid w:val="00EF2B59"/>
    <w:rsid w:val="00EF30FC"/>
    <w:rsid w:val="00F005B9"/>
    <w:rsid w:val="00F0124E"/>
    <w:rsid w:val="00F0198B"/>
    <w:rsid w:val="00F0274E"/>
    <w:rsid w:val="00F06E8F"/>
    <w:rsid w:val="00F1136B"/>
    <w:rsid w:val="00F13348"/>
    <w:rsid w:val="00F144FB"/>
    <w:rsid w:val="00F16487"/>
    <w:rsid w:val="00F1687E"/>
    <w:rsid w:val="00F20BBD"/>
    <w:rsid w:val="00F2135B"/>
    <w:rsid w:val="00F21535"/>
    <w:rsid w:val="00F22FB1"/>
    <w:rsid w:val="00F23311"/>
    <w:rsid w:val="00F237C0"/>
    <w:rsid w:val="00F23AEC"/>
    <w:rsid w:val="00F23EED"/>
    <w:rsid w:val="00F23F82"/>
    <w:rsid w:val="00F25972"/>
    <w:rsid w:val="00F32950"/>
    <w:rsid w:val="00F334DA"/>
    <w:rsid w:val="00F3357E"/>
    <w:rsid w:val="00F33587"/>
    <w:rsid w:val="00F33A22"/>
    <w:rsid w:val="00F34C78"/>
    <w:rsid w:val="00F34EB3"/>
    <w:rsid w:val="00F35AB1"/>
    <w:rsid w:val="00F369BB"/>
    <w:rsid w:val="00F37434"/>
    <w:rsid w:val="00F37937"/>
    <w:rsid w:val="00F37EC7"/>
    <w:rsid w:val="00F411C9"/>
    <w:rsid w:val="00F418F7"/>
    <w:rsid w:val="00F41C7C"/>
    <w:rsid w:val="00F41F69"/>
    <w:rsid w:val="00F42924"/>
    <w:rsid w:val="00F430CE"/>
    <w:rsid w:val="00F44B6D"/>
    <w:rsid w:val="00F44E29"/>
    <w:rsid w:val="00F470A9"/>
    <w:rsid w:val="00F5351B"/>
    <w:rsid w:val="00F545D8"/>
    <w:rsid w:val="00F56F2D"/>
    <w:rsid w:val="00F605D4"/>
    <w:rsid w:val="00F60A0E"/>
    <w:rsid w:val="00F6165D"/>
    <w:rsid w:val="00F618A0"/>
    <w:rsid w:val="00F62616"/>
    <w:rsid w:val="00F62A0E"/>
    <w:rsid w:val="00F63107"/>
    <w:rsid w:val="00F6366A"/>
    <w:rsid w:val="00F63E9F"/>
    <w:rsid w:val="00F65B38"/>
    <w:rsid w:val="00F65C89"/>
    <w:rsid w:val="00F67BAE"/>
    <w:rsid w:val="00F67BD1"/>
    <w:rsid w:val="00F705A5"/>
    <w:rsid w:val="00F7072B"/>
    <w:rsid w:val="00F709FB"/>
    <w:rsid w:val="00F73130"/>
    <w:rsid w:val="00F735C7"/>
    <w:rsid w:val="00F751EC"/>
    <w:rsid w:val="00F756F1"/>
    <w:rsid w:val="00F76350"/>
    <w:rsid w:val="00F76DA7"/>
    <w:rsid w:val="00F77883"/>
    <w:rsid w:val="00F8111B"/>
    <w:rsid w:val="00F83856"/>
    <w:rsid w:val="00F84AF2"/>
    <w:rsid w:val="00F862CF"/>
    <w:rsid w:val="00F86902"/>
    <w:rsid w:val="00F86C21"/>
    <w:rsid w:val="00F86E36"/>
    <w:rsid w:val="00F86F37"/>
    <w:rsid w:val="00F876FE"/>
    <w:rsid w:val="00F87AA5"/>
    <w:rsid w:val="00F908D2"/>
    <w:rsid w:val="00F91F02"/>
    <w:rsid w:val="00F92745"/>
    <w:rsid w:val="00F96807"/>
    <w:rsid w:val="00F97280"/>
    <w:rsid w:val="00FA191D"/>
    <w:rsid w:val="00FA1CF8"/>
    <w:rsid w:val="00FA227B"/>
    <w:rsid w:val="00FA35FC"/>
    <w:rsid w:val="00FA3CB4"/>
    <w:rsid w:val="00FA515C"/>
    <w:rsid w:val="00FA528A"/>
    <w:rsid w:val="00FA5348"/>
    <w:rsid w:val="00FA5422"/>
    <w:rsid w:val="00FA56DF"/>
    <w:rsid w:val="00FA5A91"/>
    <w:rsid w:val="00FA5E3D"/>
    <w:rsid w:val="00FA7699"/>
    <w:rsid w:val="00FB00DB"/>
    <w:rsid w:val="00FB0CD4"/>
    <w:rsid w:val="00FB2279"/>
    <w:rsid w:val="00FB26DE"/>
    <w:rsid w:val="00FB26E4"/>
    <w:rsid w:val="00FB2BD9"/>
    <w:rsid w:val="00FB3BA3"/>
    <w:rsid w:val="00FB3C73"/>
    <w:rsid w:val="00FB4E22"/>
    <w:rsid w:val="00FB62BA"/>
    <w:rsid w:val="00FB753A"/>
    <w:rsid w:val="00FC21B6"/>
    <w:rsid w:val="00FC3D1C"/>
    <w:rsid w:val="00FC448C"/>
    <w:rsid w:val="00FC54F4"/>
    <w:rsid w:val="00FC59D2"/>
    <w:rsid w:val="00FC6BD4"/>
    <w:rsid w:val="00FC7586"/>
    <w:rsid w:val="00FD0AE4"/>
    <w:rsid w:val="00FD1668"/>
    <w:rsid w:val="00FD3A3B"/>
    <w:rsid w:val="00FD4172"/>
    <w:rsid w:val="00FD41DB"/>
    <w:rsid w:val="00FD57D5"/>
    <w:rsid w:val="00FD59FB"/>
    <w:rsid w:val="00FE0D6C"/>
    <w:rsid w:val="00FE1750"/>
    <w:rsid w:val="00FE1A6E"/>
    <w:rsid w:val="00FE27B0"/>
    <w:rsid w:val="00FE324B"/>
    <w:rsid w:val="00FE498F"/>
    <w:rsid w:val="00FE71A6"/>
    <w:rsid w:val="00FE731E"/>
    <w:rsid w:val="00FF04C4"/>
    <w:rsid w:val="00FF1391"/>
    <w:rsid w:val="00FF2915"/>
    <w:rsid w:val="00FF7A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8A0DB6"/>
  <w15:docId w15:val="{248F91BC-B25B-4DC1-ADDB-52E4A63E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locked="1" w:semiHidden="1" w:uiPriority="9" w:unhideWhenUsed="1" w:qFormat="1"/>
    <w:lsdException w:name="heading 4" w:locked="1"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7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041A15"/>
    <w:pPr>
      <w:keepNext/>
      <w:spacing w:before="240" w:after="60" w:line="240" w:lineRule="auto"/>
      <w:outlineLvl w:val="0"/>
    </w:pPr>
    <w:rPr>
      <w:rFonts w:ascii="Arial" w:eastAsia="Calibri" w:hAnsi="Arial" w:cs="Times New Roman"/>
      <w:b/>
      <w:kern w:val="32"/>
      <w:sz w:val="32"/>
      <w:szCs w:val="20"/>
    </w:rPr>
  </w:style>
  <w:style w:type="paragraph" w:styleId="Heading2">
    <w:name w:val="heading 2"/>
    <w:basedOn w:val="Normal"/>
    <w:next w:val="Normal"/>
    <w:link w:val="Heading2Char"/>
    <w:uiPriority w:val="99"/>
    <w:qFormat/>
    <w:rsid w:val="00041A15"/>
    <w:pPr>
      <w:keepNext/>
      <w:keepLines/>
      <w:spacing w:before="200" w:after="0" w:line="240" w:lineRule="auto"/>
      <w:outlineLvl w:val="1"/>
    </w:pPr>
    <w:rPr>
      <w:rFonts w:ascii="Cambria" w:eastAsia="Calibri" w:hAnsi="Cambria" w:cs="Times New Roman"/>
      <w:b/>
      <w:color w:val="4F81BD"/>
      <w:sz w:val="26"/>
      <w:szCs w:val="20"/>
    </w:rPr>
  </w:style>
  <w:style w:type="paragraph" w:styleId="Heading5">
    <w:name w:val="heading 5"/>
    <w:basedOn w:val="Normal"/>
    <w:next w:val="Normal"/>
    <w:link w:val="Heading5Char"/>
    <w:uiPriority w:val="99"/>
    <w:qFormat/>
    <w:rsid w:val="00041A15"/>
    <w:pPr>
      <w:keepNext/>
      <w:keepLines/>
      <w:spacing w:before="200" w:after="0" w:line="240" w:lineRule="auto"/>
      <w:outlineLvl w:val="4"/>
    </w:pPr>
    <w:rPr>
      <w:rFonts w:ascii="Cambria" w:eastAsia="Calibri" w:hAnsi="Cambria" w:cs="Times New Roman"/>
      <w:color w:val="243F60"/>
      <w:sz w:val="24"/>
      <w:szCs w:val="20"/>
    </w:rPr>
  </w:style>
  <w:style w:type="paragraph" w:styleId="Heading6">
    <w:name w:val="heading 6"/>
    <w:basedOn w:val="Normal"/>
    <w:next w:val="Normal"/>
    <w:link w:val="Heading6Char"/>
    <w:uiPriority w:val="99"/>
    <w:qFormat/>
    <w:rsid w:val="00041A15"/>
    <w:pPr>
      <w:keepNext/>
      <w:keepLines/>
      <w:spacing w:before="200" w:after="0" w:line="240" w:lineRule="auto"/>
      <w:outlineLvl w:val="5"/>
    </w:pPr>
    <w:rPr>
      <w:rFonts w:ascii="Cambria" w:eastAsia="Calibri" w:hAnsi="Cambria" w:cs="Times New Roman"/>
      <w:i/>
      <w:color w:val="243F60"/>
      <w:sz w:val="24"/>
      <w:szCs w:val="20"/>
    </w:rPr>
  </w:style>
  <w:style w:type="paragraph" w:styleId="Heading7">
    <w:name w:val="heading 7"/>
    <w:basedOn w:val="Normal"/>
    <w:next w:val="Normal"/>
    <w:link w:val="Heading7Char"/>
    <w:uiPriority w:val="99"/>
    <w:qFormat/>
    <w:rsid w:val="00041A15"/>
    <w:pPr>
      <w:keepNext/>
      <w:keepLines/>
      <w:spacing w:before="200" w:after="0" w:line="240" w:lineRule="auto"/>
      <w:outlineLvl w:val="6"/>
    </w:pPr>
    <w:rPr>
      <w:rFonts w:ascii="Cambria" w:eastAsia="Calibri" w:hAnsi="Cambria" w:cs="Times New Roman"/>
      <w:i/>
      <w:color w:val="40404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41A15"/>
    <w:rPr>
      <w:rFonts w:ascii="Arial" w:hAnsi="Arial"/>
      <w:b/>
      <w:kern w:val="32"/>
      <w:sz w:val="32"/>
    </w:rPr>
  </w:style>
  <w:style w:type="character" w:customStyle="1" w:styleId="Heading2Char">
    <w:name w:val="Heading 2 Char"/>
    <w:link w:val="Heading2"/>
    <w:uiPriority w:val="99"/>
    <w:rsid w:val="00041A15"/>
    <w:rPr>
      <w:rFonts w:ascii="Cambria" w:hAnsi="Cambria"/>
      <w:b/>
      <w:color w:val="4F81BD"/>
      <w:sz w:val="26"/>
    </w:rPr>
  </w:style>
  <w:style w:type="character" w:customStyle="1" w:styleId="Heading5Char">
    <w:name w:val="Heading 5 Char"/>
    <w:link w:val="Heading5"/>
    <w:uiPriority w:val="99"/>
    <w:rsid w:val="00041A15"/>
    <w:rPr>
      <w:rFonts w:ascii="Cambria" w:hAnsi="Cambria"/>
      <w:color w:val="243F60"/>
      <w:sz w:val="24"/>
    </w:rPr>
  </w:style>
  <w:style w:type="character" w:customStyle="1" w:styleId="Heading6Char">
    <w:name w:val="Heading 6 Char"/>
    <w:link w:val="Heading6"/>
    <w:uiPriority w:val="99"/>
    <w:rsid w:val="00041A15"/>
    <w:rPr>
      <w:rFonts w:ascii="Cambria" w:hAnsi="Cambria"/>
      <w:i/>
      <w:color w:val="243F60"/>
      <w:sz w:val="24"/>
    </w:rPr>
  </w:style>
  <w:style w:type="character" w:customStyle="1" w:styleId="Heading7Char">
    <w:name w:val="Heading 7 Char"/>
    <w:link w:val="Heading7"/>
    <w:uiPriority w:val="99"/>
    <w:rsid w:val="00041A15"/>
    <w:rPr>
      <w:rFonts w:ascii="Cambria" w:hAnsi="Cambria"/>
      <w:i/>
      <w:color w:val="404040"/>
      <w:sz w:val="24"/>
    </w:rPr>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iPriority w:val="99"/>
    <w:qFormat/>
    <w:rsid w:val="00041A15"/>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link w:val="FootnoteText"/>
    <w:uiPriority w:val="99"/>
    <w:rsid w:val="00041A15"/>
    <w:rPr>
      <w:rFonts w:ascii="Times New Roman" w:hAnsi="Times New Roman"/>
    </w:rPr>
  </w:style>
  <w:style w:type="character" w:styleId="Strong">
    <w:name w:val="Strong"/>
    <w:uiPriority w:val="22"/>
    <w:qFormat/>
    <w:rsid w:val="00041A15"/>
    <w:rPr>
      <w:rFonts w:cs="Times New Roman"/>
      <w:b/>
    </w:rPr>
  </w:style>
  <w:style w:type="character" w:styleId="Emphasis">
    <w:name w:val="Emphasis"/>
    <w:qFormat/>
    <w:rsid w:val="00041A15"/>
    <w:rPr>
      <w:rFonts w:cs="Times New Roman"/>
      <w:i/>
    </w:rPr>
  </w:style>
  <w:style w:type="paragraph" w:styleId="ListParagraph">
    <w:name w:val="List Paragraph"/>
    <w:basedOn w:val="Normal"/>
    <w:uiPriority w:val="34"/>
    <w:qFormat/>
    <w:rsid w:val="00041A15"/>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iPriority w:val="99"/>
    <w:unhideWhenUsed/>
    <w:rsid w:val="00366F78"/>
    <w:rPr>
      <w:vertAlign w:val="superscript"/>
    </w:rPr>
  </w:style>
  <w:style w:type="character" w:styleId="Hyperlink">
    <w:name w:val="Hyperlink"/>
    <w:basedOn w:val="DefaultParagraphFont"/>
    <w:uiPriority w:val="99"/>
    <w:unhideWhenUsed/>
    <w:rsid w:val="005E5CCF"/>
    <w:rPr>
      <w:color w:val="0000FF" w:themeColor="hyperlink"/>
      <w:u w:val="single"/>
    </w:rPr>
  </w:style>
  <w:style w:type="paragraph" w:styleId="Header">
    <w:name w:val="header"/>
    <w:basedOn w:val="Normal"/>
    <w:link w:val="HeaderChar"/>
    <w:uiPriority w:val="99"/>
    <w:unhideWhenUsed/>
    <w:rsid w:val="00237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4E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37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4E2"/>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37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645"/>
    <w:rPr>
      <w:rFonts w:ascii="Tahoma" w:eastAsiaTheme="minorHAnsi" w:hAnsi="Tahoma" w:cs="Tahoma"/>
      <w:sz w:val="16"/>
      <w:szCs w:val="16"/>
    </w:rPr>
  </w:style>
  <w:style w:type="character" w:customStyle="1" w:styleId="cit-first-element2">
    <w:name w:val="cit-first-element2"/>
    <w:uiPriority w:val="99"/>
    <w:rsid w:val="003727DD"/>
  </w:style>
  <w:style w:type="character" w:customStyle="1" w:styleId="slug-pages">
    <w:name w:val="slug-pages"/>
    <w:rsid w:val="0098707F"/>
  </w:style>
  <w:style w:type="character" w:customStyle="1" w:styleId="slug-vol">
    <w:name w:val="slug-vol"/>
    <w:rsid w:val="000A7469"/>
  </w:style>
  <w:style w:type="paragraph" w:styleId="BodyText2">
    <w:name w:val="Body Text 2"/>
    <w:basedOn w:val="Normal"/>
    <w:link w:val="BodyText2Char"/>
    <w:rsid w:val="00B257D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257DF"/>
    <w:rPr>
      <w:rFonts w:ascii="Times New Roman" w:eastAsia="Times New Roman" w:hAnsi="Times New Roman"/>
      <w:sz w:val="24"/>
      <w:szCs w:val="24"/>
    </w:rPr>
  </w:style>
  <w:style w:type="paragraph" w:customStyle="1" w:styleId="xl24">
    <w:name w:val="xl24"/>
    <w:basedOn w:val="Normal"/>
    <w:rsid w:val="00EA2A50"/>
    <w:pPr>
      <w:spacing w:before="100" w:beforeAutospacing="1" w:after="100" w:afterAutospacing="1"/>
    </w:pPr>
    <w:rPr>
      <w:rFonts w:ascii="Arial" w:eastAsia="Arial Unicode MS" w:hAnsi="Arial" w:cs="Arial"/>
    </w:rPr>
  </w:style>
  <w:style w:type="paragraph" w:styleId="BodyText3">
    <w:name w:val="Body Text 3"/>
    <w:basedOn w:val="Normal"/>
    <w:link w:val="BodyText3Char"/>
    <w:uiPriority w:val="99"/>
    <w:unhideWhenUsed/>
    <w:rsid w:val="00C46778"/>
    <w:pPr>
      <w:spacing w:after="120"/>
    </w:pPr>
    <w:rPr>
      <w:sz w:val="16"/>
      <w:szCs w:val="16"/>
    </w:rPr>
  </w:style>
  <w:style w:type="character" w:customStyle="1" w:styleId="BodyText3Char">
    <w:name w:val="Body Text 3 Char"/>
    <w:basedOn w:val="DefaultParagraphFont"/>
    <w:link w:val="BodyText3"/>
    <w:uiPriority w:val="99"/>
    <w:rsid w:val="00C46778"/>
    <w:rPr>
      <w:rFonts w:asciiTheme="minorHAnsi" w:eastAsiaTheme="minorHAnsi" w:hAnsiTheme="minorHAnsi" w:cstheme="minorBidi"/>
      <w:sz w:val="16"/>
      <w:szCs w:val="16"/>
    </w:rPr>
  </w:style>
  <w:style w:type="character" w:styleId="EndnoteReference">
    <w:name w:val="endnote reference"/>
    <w:semiHidden/>
    <w:rsid w:val="00C46778"/>
    <w:rPr>
      <w:rFonts w:cs="Times New Roman"/>
      <w:vertAlign w:val="superscript"/>
    </w:rPr>
  </w:style>
  <w:style w:type="character" w:customStyle="1" w:styleId="apple-converted-space">
    <w:name w:val="apple-converted-space"/>
    <w:basedOn w:val="DefaultParagraphFont"/>
    <w:rsid w:val="0008628C"/>
  </w:style>
  <w:style w:type="paragraph" w:customStyle="1" w:styleId="Outline">
    <w:name w:val="Outline"/>
    <w:basedOn w:val="Normal"/>
    <w:rsid w:val="0021063A"/>
    <w:pPr>
      <w:spacing w:before="240" w:after="0" w:line="240" w:lineRule="auto"/>
    </w:pPr>
    <w:rPr>
      <w:rFonts w:ascii="Times New Roman" w:eastAsia="Times New Roman" w:hAnsi="Times New Roman" w:cs="Times New Roman"/>
      <w:kern w:val="28"/>
      <w:sz w:val="24"/>
      <w:szCs w:val="20"/>
    </w:rPr>
  </w:style>
  <w:style w:type="paragraph" w:styleId="CommentText">
    <w:name w:val="annotation text"/>
    <w:basedOn w:val="Normal"/>
    <w:link w:val="CommentTextChar"/>
    <w:uiPriority w:val="99"/>
    <w:qFormat/>
    <w:rsid w:val="0003023E"/>
    <w:pPr>
      <w:spacing w:after="0" w:line="240" w:lineRule="auto"/>
    </w:pPr>
    <w:rPr>
      <w:rFonts w:ascii="Times New Roman" w:eastAsia="Calibri" w:hAnsi="Times New Roman" w:cs="Times New Roman"/>
      <w:sz w:val="20"/>
      <w:szCs w:val="20"/>
      <w:lang w:val="fr-FR" w:eastAsia="fr-FR"/>
    </w:rPr>
  </w:style>
  <w:style w:type="character" w:customStyle="1" w:styleId="CommentTextChar">
    <w:name w:val="Comment Text Char"/>
    <w:basedOn w:val="DefaultParagraphFont"/>
    <w:link w:val="CommentText"/>
    <w:uiPriority w:val="99"/>
    <w:rsid w:val="0003023E"/>
    <w:rPr>
      <w:rFonts w:ascii="Times New Roman" w:hAnsi="Times New Roman"/>
      <w:lang w:val="fr-FR" w:eastAsia="fr-FR"/>
    </w:rPr>
  </w:style>
  <w:style w:type="character" w:customStyle="1" w:styleId="issuetocvolume">
    <w:name w:val="issuetocvolume"/>
    <w:rsid w:val="00996BED"/>
  </w:style>
  <w:style w:type="character" w:customStyle="1" w:styleId="issuetocissue">
    <w:name w:val="issuetocissue"/>
    <w:rsid w:val="00996BED"/>
  </w:style>
  <w:style w:type="table" w:styleId="TableGrid">
    <w:name w:val="Table Grid"/>
    <w:basedOn w:val="TableNormal"/>
    <w:uiPriority w:val="59"/>
    <w:rsid w:val="009E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issue">
    <w:name w:val="slug-issue"/>
    <w:rsid w:val="006F1D54"/>
  </w:style>
  <w:style w:type="character" w:customStyle="1" w:styleId="articlecitationyear">
    <w:name w:val="articlecitation_year"/>
    <w:rsid w:val="00C904D3"/>
  </w:style>
  <w:style w:type="character" w:customStyle="1" w:styleId="articlecitationvolume">
    <w:name w:val="articlecitation_volume"/>
    <w:rsid w:val="00C904D3"/>
  </w:style>
  <w:style w:type="character" w:customStyle="1" w:styleId="articlecitationpages">
    <w:name w:val="articlecitation_pages"/>
    <w:rsid w:val="00C904D3"/>
  </w:style>
  <w:style w:type="character" w:styleId="PlaceholderText">
    <w:name w:val="Placeholder Text"/>
    <w:basedOn w:val="DefaultParagraphFont"/>
    <w:uiPriority w:val="99"/>
    <w:semiHidden/>
    <w:rsid w:val="009B4B1D"/>
    <w:rPr>
      <w:color w:val="808080"/>
    </w:rPr>
  </w:style>
  <w:style w:type="paragraph" w:styleId="EndnoteText">
    <w:name w:val="endnote text"/>
    <w:basedOn w:val="Normal"/>
    <w:link w:val="EndnoteTextChar"/>
    <w:uiPriority w:val="99"/>
    <w:semiHidden/>
    <w:unhideWhenUsed/>
    <w:rsid w:val="00BA6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6C8C"/>
    <w:rPr>
      <w:rFonts w:asciiTheme="minorHAnsi" w:eastAsiaTheme="minorHAnsi" w:hAnsiTheme="minorHAnsi" w:cstheme="minorBidi"/>
    </w:rPr>
  </w:style>
  <w:style w:type="paragraph" w:styleId="HTMLPreformatted">
    <w:name w:val="HTML Preformatted"/>
    <w:basedOn w:val="Normal"/>
    <w:link w:val="HTMLPreformattedChar"/>
    <w:uiPriority w:val="99"/>
    <w:unhideWhenUsed/>
    <w:rsid w:val="0082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821AFD"/>
    <w:rPr>
      <w:rFonts w:ascii="Courier New" w:eastAsia="Times New Roman" w:hAnsi="Courier New" w:cs="Courier New"/>
      <w:lang w:eastAsia="zh-CN"/>
    </w:rPr>
  </w:style>
  <w:style w:type="paragraph" w:styleId="NormalWeb">
    <w:name w:val="Normal (Web)"/>
    <w:basedOn w:val="Normal"/>
    <w:uiPriority w:val="99"/>
    <w:semiHidden/>
    <w:unhideWhenUsed/>
    <w:rsid w:val="0054179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751D2"/>
    <w:rPr>
      <w:color w:val="605E5C"/>
      <w:shd w:val="clear" w:color="auto" w:fill="E1DFDD"/>
    </w:rPr>
  </w:style>
  <w:style w:type="character" w:customStyle="1" w:styleId="highwire-citation-authors">
    <w:name w:val="highwire-citation-authors"/>
    <w:basedOn w:val="DefaultParagraphFont"/>
    <w:rsid w:val="000B7960"/>
  </w:style>
  <w:style w:type="character" w:customStyle="1" w:styleId="highwire-citation-author">
    <w:name w:val="highwire-citation-author"/>
    <w:basedOn w:val="DefaultParagraphFont"/>
    <w:rsid w:val="000B7960"/>
  </w:style>
  <w:style w:type="character" w:customStyle="1" w:styleId="Title1">
    <w:name w:val="Title1"/>
    <w:basedOn w:val="DefaultParagraphFont"/>
    <w:rsid w:val="000B7960"/>
  </w:style>
  <w:style w:type="character" w:customStyle="1" w:styleId="fontstyle01">
    <w:name w:val="fontstyle01"/>
    <w:basedOn w:val="DefaultParagraphFont"/>
    <w:rsid w:val="00E44971"/>
    <w:rPr>
      <w:rFonts w:ascii="STIX-Regular" w:hAnsi="STIX-Regular" w:hint="default"/>
      <w:b w:val="0"/>
      <w:bCs w:val="0"/>
      <w:i w:val="0"/>
      <w:iCs w:val="0"/>
      <w:color w:val="000000"/>
      <w:sz w:val="20"/>
      <w:szCs w:val="20"/>
    </w:rPr>
  </w:style>
  <w:style w:type="character" w:customStyle="1" w:styleId="fontstyle11">
    <w:name w:val="fontstyle11"/>
    <w:basedOn w:val="DefaultParagraphFont"/>
    <w:rsid w:val="00E44971"/>
    <w:rPr>
      <w:rFonts w:ascii="STIX-Italic" w:hAnsi="STIX-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91994">
      <w:bodyDiv w:val="1"/>
      <w:marLeft w:val="0"/>
      <w:marRight w:val="0"/>
      <w:marTop w:val="0"/>
      <w:marBottom w:val="0"/>
      <w:divBdr>
        <w:top w:val="none" w:sz="0" w:space="0" w:color="auto"/>
        <w:left w:val="none" w:sz="0" w:space="0" w:color="auto"/>
        <w:bottom w:val="none" w:sz="0" w:space="0" w:color="auto"/>
        <w:right w:val="none" w:sz="0" w:space="0" w:color="auto"/>
      </w:divBdr>
      <w:divsChild>
        <w:div w:id="620917219">
          <w:marLeft w:val="547"/>
          <w:marRight w:val="0"/>
          <w:marTop w:val="115"/>
          <w:marBottom w:val="0"/>
          <w:divBdr>
            <w:top w:val="none" w:sz="0" w:space="0" w:color="auto"/>
            <w:left w:val="none" w:sz="0" w:space="0" w:color="auto"/>
            <w:bottom w:val="none" w:sz="0" w:space="0" w:color="auto"/>
            <w:right w:val="none" w:sz="0" w:space="0" w:color="auto"/>
          </w:divBdr>
        </w:div>
        <w:div w:id="700284867">
          <w:marLeft w:val="547"/>
          <w:marRight w:val="0"/>
          <w:marTop w:val="115"/>
          <w:marBottom w:val="0"/>
          <w:divBdr>
            <w:top w:val="none" w:sz="0" w:space="0" w:color="auto"/>
            <w:left w:val="none" w:sz="0" w:space="0" w:color="auto"/>
            <w:bottom w:val="none" w:sz="0" w:space="0" w:color="auto"/>
            <w:right w:val="none" w:sz="0" w:space="0" w:color="auto"/>
          </w:divBdr>
        </w:div>
        <w:div w:id="1727993054">
          <w:marLeft w:val="547"/>
          <w:marRight w:val="0"/>
          <w:marTop w:val="115"/>
          <w:marBottom w:val="0"/>
          <w:divBdr>
            <w:top w:val="none" w:sz="0" w:space="0" w:color="auto"/>
            <w:left w:val="none" w:sz="0" w:space="0" w:color="auto"/>
            <w:bottom w:val="none" w:sz="0" w:space="0" w:color="auto"/>
            <w:right w:val="none" w:sz="0" w:space="0" w:color="auto"/>
          </w:divBdr>
        </w:div>
      </w:divsChild>
    </w:div>
    <w:div w:id="598563343">
      <w:bodyDiv w:val="1"/>
      <w:marLeft w:val="0"/>
      <w:marRight w:val="0"/>
      <w:marTop w:val="0"/>
      <w:marBottom w:val="0"/>
      <w:divBdr>
        <w:top w:val="none" w:sz="0" w:space="0" w:color="auto"/>
        <w:left w:val="none" w:sz="0" w:space="0" w:color="auto"/>
        <w:bottom w:val="none" w:sz="0" w:space="0" w:color="auto"/>
        <w:right w:val="none" w:sz="0" w:space="0" w:color="auto"/>
      </w:divBdr>
    </w:div>
    <w:div w:id="857692771">
      <w:bodyDiv w:val="1"/>
      <w:marLeft w:val="0"/>
      <w:marRight w:val="0"/>
      <w:marTop w:val="0"/>
      <w:marBottom w:val="0"/>
      <w:divBdr>
        <w:top w:val="none" w:sz="0" w:space="0" w:color="auto"/>
        <w:left w:val="none" w:sz="0" w:space="0" w:color="auto"/>
        <w:bottom w:val="none" w:sz="0" w:space="0" w:color="auto"/>
        <w:right w:val="none" w:sz="0" w:space="0" w:color="auto"/>
      </w:divBdr>
      <w:divsChild>
        <w:div w:id="677149409">
          <w:marLeft w:val="0"/>
          <w:marRight w:val="0"/>
          <w:marTop w:val="100"/>
          <w:marBottom w:val="100"/>
          <w:divBdr>
            <w:top w:val="none" w:sz="0" w:space="0" w:color="auto"/>
            <w:left w:val="none" w:sz="0" w:space="0" w:color="auto"/>
            <w:bottom w:val="none" w:sz="0" w:space="0" w:color="auto"/>
            <w:right w:val="none" w:sz="0" w:space="0" w:color="auto"/>
          </w:divBdr>
          <w:divsChild>
            <w:div w:id="5054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7787">
      <w:bodyDiv w:val="1"/>
      <w:marLeft w:val="0"/>
      <w:marRight w:val="0"/>
      <w:marTop w:val="0"/>
      <w:marBottom w:val="0"/>
      <w:divBdr>
        <w:top w:val="none" w:sz="0" w:space="0" w:color="auto"/>
        <w:left w:val="none" w:sz="0" w:space="0" w:color="auto"/>
        <w:bottom w:val="none" w:sz="0" w:space="0" w:color="auto"/>
        <w:right w:val="none" w:sz="0" w:space="0" w:color="auto"/>
      </w:divBdr>
    </w:div>
    <w:div w:id="1536968825">
      <w:bodyDiv w:val="1"/>
      <w:marLeft w:val="0"/>
      <w:marRight w:val="0"/>
      <w:marTop w:val="0"/>
      <w:marBottom w:val="0"/>
      <w:divBdr>
        <w:top w:val="none" w:sz="0" w:space="0" w:color="auto"/>
        <w:left w:val="none" w:sz="0" w:space="0" w:color="auto"/>
        <w:bottom w:val="none" w:sz="0" w:space="0" w:color="auto"/>
        <w:right w:val="none" w:sz="0" w:space="0" w:color="auto"/>
      </w:divBdr>
      <w:divsChild>
        <w:div w:id="385958752">
          <w:marLeft w:val="0"/>
          <w:marRight w:val="0"/>
          <w:marTop w:val="75"/>
          <w:marBottom w:val="150"/>
          <w:divBdr>
            <w:top w:val="none" w:sz="0" w:space="0" w:color="auto"/>
            <w:left w:val="none" w:sz="0" w:space="0" w:color="auto"/>
            <w:bottom w:val="none" w:sz="0" w:space="0" w:color="auto"/>
            <w:right w:val="none" w:sz="0" w:space="0" w:color="auto"/>
          </w:divBdr>
        </w:div>
      </w:divsChild>
    </w:div>
    <w:div w:id="21406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image" Target="media/image28.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EDF1-6BDB-4481-959D-853FB8A8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1510</Words>
  <Characters>8607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Georgetown University</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Dominique van de Walle</cp:lastModifiedBy>
  <cp:revision>3</cp:revision>
  <cp:lastPrinted>2020-11-13T16:33:00Z</cp:lastPrinted>
  <dcterms:created xsi:type="dcterms:W3CDTF">2020-11-12T19:53:00Z</dcterms:created>
  <dcterms:modified xsi:type="dcterms:W3CDTF">2020-11-15T21:15:00Z</dcterms:modified>
</cp:coreProperties>
</file>