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1F5D08" w14:textId="5E32351D" w:rsidR="008F30F4" w:rsidRDefault="00ED2436" w:rsidP="008301A5">
      <w:pPr>
        <w:ind w:firstLine="0"/>
        <w:jc w:val="center"/>
        <w:rPr>
          <w:rFonts w:cs="Times New Roman"/>
          <w:b/>
          <w:bCs/>
          <w:color w:val="000000" w:themeColor="text1"/>
          <w:szCs w:val="28"/>
        </w:rPr>
      </w:pPr>
      <w:r>
        <w:rPr>
          <w:b/>
          <w:bCs/>
          <w:sz w:val="40"/>
          <w:szCs w:val="40"/>
        </w:rPr>
        <w:fldChar w:fldCharType="begin"/>
      </w:r>
      <w:r>
        <w:rPr>
          <w:b/>
          <w:bCs/>
          <w:sz w:val="40"/>
          <w:szCs w:val="40"/>
        </w:rPr>
        <w:instrText xml:space="preserve"> MACROBUTTON MTEditEquationSection2 </w:instrText>
      </w:r>
      <w:r w:rsidRPr="00402A64">
        <w:rPr>
          <w:rStyle w:val="MTEquationSection"/>
          <w:rFonts w:hint="eastAsia"/>
        </w:rPr>
        <w:instrText>公式章</w:instrText>
      </w:r>
      <w:r w:rsidRPr="00402A64">
        <w:rPr>
          <w:rStyle w:val="MTEquationSection"/>
        </w:rPr>
        <w:instrText xml:space="preserve"> 1 </w:instrText>
      </w:r>
      <w:r w:rsidRPr="00402A64">
        <w:rPr>
          <w:rStyle w:val="MTEquationSection"/>
          <w:rFonts w:hint="eastAsia"/>
        </w:rPr>
        <w:instrText>节</w:instrText>
      </w:r>
      <w:r w:rsidRPr="00402A64">
        <w:rPr>
          <w:rStyle w:val="MTEquationSection"/>
        </w:rPr>
        <w:instrText xml:space="preserve"> 1</w:instrText>
      </w:r>
      <w:r>
        <w:rPr>
          <w:b/>
          <w:bCs/>
          <w:sz w:val="40"/>
          <w:szCs w:val="40"/>
        </w:rPr>
        <w:fldChar w:fldCharType="begin"/>
      </w:r>
      <w:r>
        <w:rPr>
          <w:b/>
          <w:bCs/>
          <w:sz w:val="40"/>
          <w:szCs w:val="40"/>
        </w:rPr>
        <w:instrText xml:space="preserve"> </w:instrText>
      </w:r>
      <w:r>
        <w:rPr>
          <w:rFonts w:hint="eastAsia"/>
          <w:b/>
          <w:bCs/>
          <w:sz w:val="40"/>
          <w:szCs w:val="40"/>
        </w:rPr>
        <w:instrText>SEQ MTEqn \r \h \* MERGEFORMAT</w:instrText>
      </w:r>
      <w:r>
        <w:rPr>
          <w:b/>
          <w:bCs/>
          <w:sz w:val="40"/>
          <w:szCs w:val="40"/>
        </w:rPr>
        <w:instrText xml:space="preserve"> </w:instrText>
      </w:r>
      <w:r>
        <w:rPr>
          <w:b/>
          <w:bCs/>
          <w:sz w:val="40"/>
          <w:szCs w:val="40"/>
        </w:rPr>
        <w:fldChar w:fldCharType="end"/>
      </w:r>
      <w:r>
        <w:rPr>
          <w:b/>
          <w:bCs/>
          <w:sz w:val="40"/>
          <w:szCs w:val="40"/>
        </w:rPr>
        <w:fldChar w:fldCharType="begin"/>
      </w:r>
      <w:r>
        <w:rPr>
          <w:b/>
          <w:bCs/>
          <w:sz w:val="40"/>
          <w:szCs w:val="40"/>
        </w:rPr>
        <w:instrText xml:space="preserve"> SEQ MTSec \r 1 \h \* MERGEFORMAT </w:instrText>
      </w:r>
      <w:r>
        <w:rPr>
          <w:b/>
          <w:bCs/>
          <w:sz w:val="40"/>
          <w:szCs w:val="40"/>
        </w:rPr>
        <w:fldChar w:fldCharType="end"/>
      </w:r>
      <w:r>
        <w:rPr>
          <w:b/>
          <w:bCs/>
          <w:sz w:val="40"/>
          <w:szCs w:val="40"/>
        </w:rPr>
        <w:fldChar w:fldCharType="begin"/>
      </w:r>
      <w:r>
        <w:rPr>
          <w:b/>
          <w:bCs/>
          <w:sz w:val="40"/>
          <w:szCs w:val="40"/>
        </w:rPr>
        <w:instrText xml:space="preserve"> SEQ MTChap \r 1 \h \* MERGEFORMAT </w:instrText>
      </w:r>
      <w:r>
        <w:rPr>
          <w:b/>
          <w:bCs/>
          <w:sz w:val="40"/>
          <w:szCs w:val="40"/>
        </w:rPr>
        <w:fldChar w:fldCharType="end"/>
      </w:r>
      <w:r>
        <w:rPr>
          <w:b/>
          <w:bCs/>
          <w:sz w:val="40"/>
          <w:szCs w:val="40"/>
        </w:rPr>
        <w:fldChar w:fldCharType="end"/>
      </w:r>
      <w:bookmarkStart w:id="0" w:name="_Hlk129706783"/>
    </w:p>
    <w:p w14:paraId="44698873" w14:textId="77777777" w:rsidR="008F30F4" w:rsidRDefault="008F30F4" w:rsidP="008F30F4">
      <w:pPr>
        <w:ind w:firstLine="0"/>
        <w:jc w:val="center"/>
        <w:rPr>
          <w:b/>
          <w:bCs/>
          <w:sz w:val="40"/>
          <w:szCs w:val="40"/>
        </w:rPr>
      </w:pPr>
      <w:r>
        <w:rPr>
          <w:b/>
          <w:bCs/>
          <w:sz w:val="40"/>
          <w:szCs w:val="40"/>
        </w:rPr>
        <w:fldChar w:fldCharType="begin"/>
      </w:r>
      <w:r>
        <w:rPr>
          <w:b/>
          <w:bCs/>
          <w:sz w:val="40"/>
          <w:szCs w:val="40"/>
        </w:rPr>
        <w:instrText xml:space="preserve"> MACROBUTTON MTEditEquationSection2 </w:instrText>
      </w:r>
      <w:r w:rsidRPr="00402A64">
        <w:rPr>
          <w:rStyle w:val="MTEquationSection"/>
          <w:rFonts w:hint="eastAsia"/>
        </w:rPr>
        <w:instrText>公式章</w:instrText>
      </w:r>
      <w:r w:rsidRPr="00402A64">
        <w:rPr>
          <w:rStyle w:val="MTEquationSection"/>
        </w:rPr>
        <w:instrText xml:space="preserve"> 1 </w:instrText>
      </w:r>
      <w:r w:rsidRPr="00402A64">
        <w:rPr>
          <w:rStyle w:val="MTEquationSection"/>
          <w:rFonts w:hint="eastAsia"/>
        </w:rPr>
        <w:instrText>节</w:instrText>
      </w:r>
      <w:r w:rsidRPr="00402A64">
        <w:rPr>
          <w:rStyle w:val="MTEquationSection"/>
        </w:rPr>
        <w:instrText xml:space="preserve"> 1</w:instrText>
      </w:r>
      <w:r>
        <w:rPr>
          <w:b/>
          <w:bCs/>
          <w:sz w:val="40"/>
          <w:szCs w:val="40"/>
        </w:rPr>
        <w:fldChar w:fldCharType="begin"/>
      </w:r>
      <w:r>
        <w:rPr>
          <w:b/>
          <w:bCs/>
          <w:sz w:val="40"/>
          <w:szCs w:val="40"/>
        </w:rPr>
        <w:instrText xml:space="preserve"> </w:instrText>
      </w:r>
      <w:r>
        <w:rPr>
          <w:rFonts w:hint="eastAsia"/>
          <w:b/>
          <w:bCs/>
          <w:sz w:val="40"/>
          <w:szCs w:val="40"/>
        </w:rPr>
        <w:instrText>SEQ MTEqn \r \h \* MERGEFORMAT</w:instrText>
      </w:r>
      <w:r>
        <w:rPr>
          <w:b/>
          <w:bCs/>
          <w:sz w:val="40"/>
          <w:szCs w:val="40"/>
        </w:rPr>
        <w:instrText xml:space="preserve"> </w:instrText>
      </w:r>
      <w:r>
        <w:rPr>
          <w:b/>
          <w:bCs/>
          <w:sz w:val="40"/>
          <w:szCs w:val="40"/>
        </w:rPr>
        <w:fldChar w:fldCharType="end"/>
      </w:r>
      <w:r>
        <w:rPr>
          <w:b/>
          <w:bCs/>
          <w:sz w:val="40"/>
          <w:szCs w:val="40"/>
        </w:rPr>
        <w:fldChar w:fldCharType="begin"/>
      </w:r>
      <w:r>
        <w:rPr>
          <w:b/>
          <w:bCs/>
          <w:sz w:val="40"/>
          <w:szCs w:val="40"/>
        </w:rPr>
        <w:instrText xml:space="preserve"> SEQ MTSec \r 1 \h \* MERGEFORMAT </w:instrText>
      </w:r>
      <w:r>
        <w:rPr>
          <w:b/>
          <w:bCs/>
          <w:sz w:val="40"/>
          <w:szCs w:val="40"/>
        </w:rPr>
        <w:fldChar w:fldCharType="end"/>
      </w:r>
      <w:r>
        <w:rPr>
          <w:b/>
          <w:bCs/>
          <w:sz w:val="40"/>
          <w:szCs w:val="40"/>
        </w:rPr>
        <w:fldChar w:fldCharType="begin"/>
      </w:r>
      <w:r>
        <w:rPr>
          <w:b/>
          <w:bCs/>
          <w:sz w:val="40"/>
          <w:szCs w:val="40"/>
        </w:rPr>
        <w:instrText xml:space="preserve"> SEQ MTChap \r 1 \h \* MERGEFORMAT </w:instrText>
      </w:r>
      <w:r>
        <w:rPr>
          <w:b/>
          <w:bCs/>
          <w:sz w:val="40"/>
          <w:szCs w:val="40"/>
        </w:rPr>
        <w:fldChar w:fldCharType="end"/>
      </w:r>
      <w:r>
        <w:rPr>
          <w:b/>
          <w:bCs/>
          <w:sz w:val="40"/>
          <w:szCs w:val="40"/>
        </w:rPr>
        <w:fldChar w:fldCharType="end"/>
      </w:r>
      <w:bookmarkStart w:id="1" w:name="_Hlk129707074"/>
    </w:p>
    <w:p w14:paraId="1FA4888F" w14:textId="77777777" w:rsidR="008F30F4" w:rsidRDefault="008F30F4" w:rsidP="008F30F4">
      <w:pPr>
        <w:spacing w:line="240" w:lineRule="auto"/>
        <w:ind w:firstLine="0"/>
        <w:jc w:val="center"/>
        <w:rPr>
          <w:b/>
          <w:bCs/>
          <w:sz w:val="40"/>
          <w:szCs w:val="40"/>
        </w:rPr>
      </w:pPr>
    </w:p>
    <w:p w14:paraId="06179531" w14:textId="77777777" w:rsidR="008F30F4" w:rsidRDefault="008F30F4" w:rsidP="008F30F4">
      <w:pPr>
        <w:spacing w:line="240" w:lineRule="auto"/>
        <w:ind w:firstLine="0"/>
        <w:jc w:val="center"/>
        <w:rPr>
          <w:b/>
          <w:bCs/>
          <w:sz w:val="40"/>
          <w:szCs w:val="40"/>
        </w:rPr>
      </w:pPr>
    </w:p>
    <w:p w14:paraId="51C337F7" w14:textId="77777777" w:rsidR="008F30F4" w:rsidRDefault="008F30F4" w:rsidP="008F30F4">
      <w:pPr>
        <w:spacing w:line="240" w:lineRule="auto"/>
        <w:ind w:firstLine="0"/>
        <w:jc w:val="center"/>
        <w:rPr>
          <w:b/>
          <w:bCs/>
          <w:sz w:val="40"/>
          <w:szCs w:val="40"/>
        </w:rPr>
      </w:pPr>
    </w:p>
    <w:bookmarkEnd w:id="1"/>
    <w:p w14:paraId="4946DD4A" w14:textId="77777777" w:rsidR="008F30F4" w:rsidRPr="00EA18F8" w:rsidRDefault="008F30F4" w:rsidP="008F30F4">
      <w:pPr>
        <w:jc w:val="center"/>
        <w:rPr>
          <w:rFonts w:cs="Times New Roman"/>
          <w:b/>
          <w:sz w:val="44"/>
          <w:szCs w:val="52"/>
        </w:rPr>
      </w:pPr>
    </w:p>
    <w:p w14:paraId="3EA44290" w14:textId="77777777" w:rsidR="008F30F4" w:rsidRPr="00333C7B" w:rsidRDefault="008F30F4" w:rsidP="008F30F4">
      <w:pPr>
        <w:spacing w:line="240" w:lineRule="auto"/>
        <w:ind w:firstLine="677"/>
        <w:jc w:val="center"/>
        <w:rPr>
          <w:rFonts w:eastAsia="Times New Roman" w:cs="Times New Roman"/>
          <w:b/>
          <w:sz w:val="32"/>
          <w:szCs w:val="32"/>
        </w:rPr>
      </w:pPr>
      <w:r w:rsidRPr="00333C7B">
        <w:rPr>
          <w:rFonts w:eastAsia="Times New Roman" w:cs="Times New Roman"/>
          <w:b/>
          <w:sz w:val="32"/>
          <w:szCs w:val="32"/>
        </w:rPr>
        <w:t>China’s Nationwide CO</w:t>
      </w:r>
      <w:r w:rsidRPr="00333C7B">
        <w:rPr>
          <w:rFonts w:eastAsia="Times New Roman" w:cs="Times New Roman"/>
          <w:b/>
          <w:sz w:val="32"/>
          <w:szCs w:val="32"/>
          <w:vertAlign w:val="subscript"/>
        </w:rPr>
        <w:t>2</w:t>
      </w:r>
      <w:r w:rsidRPr="00333C7B">
        <w:rPr>
          <w:rFonts w:eastAsia="Times New Roman" w:cs="Times New Roman"/>
          <w:b/>
          <w:sz w:val="32"/>
          <w:szCs w:val="32"/>
        </w:rPr>
        <w:t xml:space="preserve"> Emissions Trading System:</w:t>
      </w:r>
    </w:p>
    <w:p w14:paraId="3E9A709E" w14:textId="77777777" w:rsidR="008F30F4" w:rsidRPr="00333C7B" w:rsidRDefault="008F30F4" w:rsidP="008F30F4">
      <w:pPr>
        <w:spacing w:line="240" w:lineRule="auto"/>
        <w:ind w:firstLine="677"/>
        <w:jc w:val="center"/>
        <w:rPr>
          <w:rFonts w:eastAsia="Times New Roman" w:cs="Times New Roman"/>
          <w:b/>
          <w:sz w:val="32"/>
          <w:szCs w:val="32"/>
        </w:rPr>
      </w:pPr>
      <w:r w:rsidRPr="00333C7B">
        <w:rPr>
          <w:rFonts w:eastAsia="Times New Roman" w:cs="Times New Roman"/>
          <w:b/>
          <w:sz w:val="32"/>
          <w:szCs w:val="32"/>
        </w:rPr>
        <w:t>A General Equilibrium Assessment</w:t>
      </w:r>
    </w:p>
    <w:p w14:paraId="45DF433A" w14:textId="77777777" w:rsidR="008F30F4" w:rsidRPr="00333C7B" w:rsidRDefault="008F30F4" w:rsidP="008F30F4">
      <w:pPr>
        <w:jc w:val="center"/>
        <w:rPr>
          <w:rFonts w:eastAsia="Times New Roman" w:cs="Times New Roman"/>
          <w:b/>
          <w:sz w:val="36"/>
          <w:szCs w:val="44"/>
        </w:rPr>
      </w:pPr>
    </w:p>
    <w:p w14:paraId="2122DC24" w14:textId="77777777" w:rsidR="008F30F4" w:rsidRPr="00333C7B" w:rsidRDefault="008F30F4" w:rsidP="008F30F4">
      <w:pPr>
        <w:jc w:val="center"/>
        <w:rPr>
          <w:rFonts w:eastAsia="Times New Roman" w:cs="Times New Roman"/>
          <w:b/>
          <w:sz w:val="36"/>
          <w:szCs w:val="44"/>
        </w:rPr>
      </w:pPr>
      <w:r w:rsidRPr="00333C7B">
        <w:rPr>
          <w:rFonts w:eastAsia="Times New Roman" w:cs="Times New Roman"/>
          <w:b/>
          <w:sz w:val="36"/>
          <w:szCs w:val="44"/>
        </w:rPr>
        <w:t>APPENDIXES</w:t>
      </w:r>
    </w:p>
    <w:p w14:paraId="51642346" w14:textId="77777777" w:rsidR="008F30F4" w:rsidRPr="00333C7B" w:rsidRDefault="008F30F4" w:rsidP="008F30F4">
      <w:pPr>
        <w:jc w:val="center"/>
        <w:rPr>
          <w:rFonts w:eastAsia="DengXian" w:cs="Times New Roman"/>
          <w:b/>
          <w:sz w:val="36"/>
          <w:szCs w:val="44"/>
        </w:rPr>
      </w:pPr>
    </w:p>
    <w:p w14:paraId="09AA183D" w14:textId="77777777" w:rsidR="008F30F4" w:rsidRPr="00333C7B" w:rsidRDefault="008F30F4" w:rsidP="008F30F4">
      <w:pPr>
        <w:jc w:val="center"/>
        <w:rPr>
          <w:rFonts w:eastAsia="Calibri" w:cs="Times New Roman"/>
          <w:bCs/>
          <w:szCs w:val="28"/>
          <w:lang w:eastAsia="en-US"/>
        </w:rPr>
      </w:pPr>
    </w:p>
    <w:p w14:paraId="5D708D89" w14:textId="77777777" w:rsidR="008F30F4" w:rsidRPr="00333C7B" w:rsidRDefault="008F30F4" w:rsidP="008F30F4">
      <w:pPr>
        <w:jc w:val="center"/>
        <w:rPr>
          <w:rFonts w:eastAsia="Calibri" w:cs="Times New Roman"/>
          <w:bCs/>
          <w:szCs w:val="28"/>
          <w:lang w:eastAsia="en-US"/>
        </w:rPr>
      </w:pPr>
    </w:p>
    <w:p w14:paraId="41F2B582" w14:textId="77777777" w:rsidR="008F30F4" w:rsidRPr="00333C7B" w:rsidRDefault="008F30F4" w:rsidP="008F30F4">
      <w:pPr>
        <w:jc w:val="center"/>
        <w:rPr>
          <w:rFonts w:eastAsia="Calibri" w:cs="Times New Roman"/>
          <w:bCs/>
          <w:szCs w:val="28"/>
          <w:lang w:eastAsia="en-US"/>
        </w:rPr>
      </w:pPr>
    </w:p>
    <w:p w14:paraId="172A15EB" w14:textId="77777777" w:rsidR="008F30F4" w:rsidRPr="00333C7B" w:rsidRDefault="008F30F4" w:rsidP="008F30F4">
      <w:pPr>
        <w:jc w:val="center"/>
        <w:rPr>
          <w:rFonts w:eastAsia="Calibri" w:cs="Times New Roman"/>
          <w:bCs/>
          <w:szCs w:val="28"/>
          <w:lang w:eastAsia="en-US"/>
        </w:rPr>
      </w:pPr>
    </w:p>
    <w:p w14:paraId="44979C1B" w14:textId="77777777" w:rsidR="008F30F4" w:rsidRPr="00333C7B" w:rsidRDefault="008F30F4" w:rsidP="008F30F4">
      <w:pPr>
        <w:jc w:val="center"/>
        <w:rPr>
          <w:rFonts w:eastAsia="Calibri" w:cs="Times New Roman"/>
          <w:bCs/>
          <w:szCs w:val="28"/>
          <w:lang w:eastAsia="en-US"/>
        </w:rPr>
      </w:pPr>
    </w:p>
    <w:p w14:paraId="074C9972" w14:textId="77777777" w:rsidR="008F30F4" w:rsidRPr="00333C7B" w:rsidRDefault="008F30F4" w:rsidP="008F30F4">
      <w:pPr>
        <w:rPr>
          <w:rFonts w:eastAsia="Calibri" w:cs="Times New Roman"/>
          <w:bCs/>
          <w:szCs w:val="28"/>
          <w:lang w:eastAsia="en-US"/>
        </w:rPr>
      </w:pPr>
      <w:r w:rsidRPr="00333C7B">
        <w:rPr>
          <w:rFonts w:eastAsia="Calibri" w:cs="Times New Roman"/>
          <w:bCs/>
          <w:szCs w:val="28"/>
          <w:lang w:eastAsia="en-US"/>
        </w:rPr>
        <w:br w:type="page"/>
      </w:r>
    </w:p>
    <w:p w14:paraId="20A75187" w14:textId="77777777" w:rsidR="008F30F4" w:rsidRDefault="008F30F4" w:rsidP="008F30F4">
      <w:pPr>
        <w:pStyle w:val="Heading1"/>
      </w:pPr>
      <w:r w:rsidRPr="00333C7B">
        <w:rPr>
          <w:rFonts w:hint="eastAsia"/>
        </w:rPr>
        <w:lastRenderedPageBreak/>
        <w:t>A</w:t>
      </w:r>
      <w:r w:rsidRPr="00333C7B">
        <w:t xml:space="preserve">ppendix </w:t>
      </w:r>
      <w:r>
        <w:t>A</w:t>
      </w:r>
      <w:r w:rsidRPr="00333C7B">
        <w:t xml:space="preserve">. Production </w:t>
      </w:r>
      <w:r>
        <w:t>S</w:t>
      </w:r>
      <w:r w:rsidRPr="00333C7B">
        <w:t xml:space="preserve">tructure and </w:t>
      </w:r>
      <w:r>
        <w:t>F</w:t>
      </w:r>
      <w:r w:rsidRPr="00333C7B">
        <w:t xml:space="preserve">unctional </w:t>
      </w:r>
      <w:r>
        <w:t>F</w:t>
      </w:r>
      <w:r w:rsidRPr="00333C7B">
        <w:t>orms</w:t>
      </w:r>
    </w:p>
    <w:p w14:paraId="4DEF7AD7" w14:textId="77777777" w:rsidR="008F30F4" w:rsidRPr="00D62B6B" w:rsidRDefault="008F30F4" w:rsidP="008F30F4">
      <w:pPr>
        <w:ind w:firstLine="0"/>
        <w:rPr>
          <w:rFonts w:eastAsia="SimSun" w:cs="Times New Roman"/>
          <w:color w:val="000000"/>
          <w:szCs w:val="20"/>
        </w:rPr>
      </w:pPr>
      <w:r w:rsidRPr="00D62B6B">
        <w:rPr>
          <w:rFonts w:eastAsia="SimSun" w:cs="Times New Roman"/>
          <w:color w:val="000000"/>
          <w:szCs w:val="20"/>
        </w:rPr>
        <w:t xml:space="preserve">The notation used in </w:t>
      </w:r>
      <w:r>
        <w:rPr>
          <w:rFonts w:eastAsia="SimSun" w:cs="Times New Roman"/>
          <w:color w:val="000000"/>
          <w:szCs w:val="20"/>
        </w:rPr>
        <w:t xml:space="preserve">this </w:t>
      </w:r>
      <w:r w:rsidRPr="00D62B6B">
        <w:rPr>
          <w:rFonts w:eastAsia="SimSun" w:cs="Times New Roman"/>
          <w:color w:val="000000"/>
          <w:szCs w:val="20"/>
        </w:rPr>
        <w:t xml:space="preserve">appendix </w:t>
      </w:r>
      <w:r>
        <w:rPr>
          <w:rFonts w:eastAsia="SimSun" w:cs="Times New Roman"/>
          <w:color w:val="000000"/>
          <w:szCs w:val="20"/>
        </w:rPr>
        <w:t>is</w:t>
      </w:r>
      <w:r w:rsidRPr="00D62B6B">
        <w:rPr>
          <w:rFonts w:eastAsia="SimSun" w:cs="Times New Roman"/>
          <w:color w:val="000000"/>
          <w:szCs w:val="20"/>
        </w:rPr>
        <w:t xml:space="preserve"> summarized </w:t>
      </w:r>
      <w:r>
        <w:rPr>
          <w:rFonts w:eastAsia="SimSun" w:cs="Times New Roman"/>
          <w:color w:val="000000"/>
          <w:szCs w:val="20"/>
        </w:rPr>
        <w:t>below</w:t>
      </w:r>
      <w:r w:rsidRPr="00D62B6B">
        <w:rPr>
          <w:rFonts w:eastAsia="SimSun" w:cs="Times New Roman"/>
          <w:color w:val="000000"/>
          <w:szCs w:val="20"/>
        </w:rPr>
        <w:t xml:space="preserve">. </w:t>
      </w:r>
    </w:p>
    <w:p w14:paraId="774858ED" w14:textId="77777777" w:rsidR="008F30F4" w:rsidRPr="00333C7B" w:rsidRDefault="008F30F4" w:rsidP="008F30F4">
      <w:pPr>
        <w:ind w:firstLine="0"/>
        <w:jc w:val="center"/>
        <w:rPr>
          <w:rFonts w:eastAsia="SimSun" w:cs="Times New Roman"/>
          <w:b/>
          <w:bCs/>
          <w:color w:val="000000"/>
          <w:szCs w:val="20"/>
        </w:rPr>
      </w:pPr>
      <w:r w:rsidRPr="00D62B6B">
        <w:rPr>
          <w:rFonts w:eastAsia="SimSun" w:cs="Times New Roman"/>
          <w:b/>
          <w:bCs/>
          <w:color w:val="000000"/>
          <w:sz w:val="22"/>
          <w:szCs w:val="22"/>
        </w:rPr>
        <w:t>Table A1. Notation</w:t>
      </w:r>
    </w:p>
    <w:tbl>
      <w:tblPr>
        <w:tblStyle w:val="TableGrid"/>
        <w:tblW w:w="0" w:type="auto"/>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664"/>
        <w:gridCol w:w="4083"/>
      </w:tblGrid>
      <w:tr w:rsidR="008F30F4" w:rsidRPr="00F964C9" w14:paraId="0C531165" w14:textId="77777777" w:rsidTr="001F21E7">
        <w:trPr>
          <w:trHeight w:val="369"/>
          <w:jc w:val="center"/>
        </w:trPr>
        <w:tc>
          <w:tcPr>
            <w:tcW w:w="1664" w:type="dxa"/>
            <w:tcBorders>
              <w:top w:val="single" w:sz="4" w:space="0" w:color="auto"/>
              <w:bottom w:val="single" w:sz="4" w:space="0" w:color="auto"/>
            </w:tcBorders>
            <w:vAlign w:val="center"/>
          </w:tcPr>
          <w:p w14:paraId="2D887F99" w14:textId="77777777" w:rsidR="008F30F4" w:rsidRPr="00F964C9" w:rsidRDefault="008F30F4" w:rsidP="001F21E7">
            <w:pPr>
              <w:spacing w:before="0" w:line="240" w:lineRule="auto"/>
              <w:ind w:firstLine="0"/>
              <w:contextualSpacing/>
              <w:jc w:val="center"/>
              <w:rPr>
                <w:rFonts w:eastAsia="SimSun" w:cs="Times New Roman"/>
                <w:color w:val="000000"/>
                <w:szCs w:val="20"/>
              </w:rPr>
            </w:pPr>
            <w:r w:rsidRPr="00F964C9">
              <w:rPr>
                <w:rFonts w:eastAsia="SimSun" w:cs="Times New Roman"/>
                <w:color w:val="000000"/>
                <w:szCs w:val="20"/>
              </w:rPr>
              <w:t>Symbol</w:t>
            </w:r>
          </w:p>
        </w:tc>
        <w:tc>
          <w:tcPr>
            <w:tcW w:w="4083" w:type="dxa"/>
            <w:tcBorders>
              <w:top w:val="single" w:sz="4" w:space="0" w:color="auto"/>
              <w:bottom w:val="single" w:sz="4" w:space="0" w:color="auto"/>
            </w:tcBorders>
            <w:vAlign w:val="center"/>
          </w:tcPr>
          <w:p w14:paraId="6893E207" w14:textId="77777777" w:rsidR="008F30F4" w:rsidRPr="00F964C9" w:rsidRDefault="008F30F4" w:rsidP="001F21E7">
            <w:pPr>
              <w:spacing w:before="0" w:line="240" w:lineRule="auto"/>
              <w:ind w:left="-65" w:firstLine="0"/>
              <w:contextualSpacing/>
              <w:jc w:val="center"/>
              <w:rPr>
                <w:rFonts w:eastAsia="SimSun" w:cs="Times New Roman"/>
                <w:color w:val="000000"/>
                <w:szCs w:val="20"/>
              </w:rPr>
            </w:pPr>
            <w:r w:rsidRPr="00F964C9">
              <w:rPr>
                <w:rFonts w:eastAsia="SimSun" w:cs="Times New Roman"/>
                <w:color w:val="000000"/>
                <w:szCs w:val="20"/>
              </w:rPr>
              <w:t>Definition</w:t>
            </w:r>
          </w:p>
        </w:tc>
      </w:tr>
      <w:tr w:rsidR="008F30F4" w:rsidRPr="00F964C9" w14:paraId="4189EB8B" w14:textId="77777777" w:rsidTr="001F21E7">
        <w:trPr>
          <w:trHeight w:val="361"/>
          <w:jc w:val="center"/>
        </w:trPr>
        <w:tc>
          <w:tcPr>
            <w:tcW w:w="1664" w:type="dxa"/>
            <w:tcBorders>
              <w:top w:val="single" w:sz="4" w:space="0" w:color="auto"/>
            </w:tcBorders>
            <w:vAlign w:val="center"/>
          </w:tcPr>
          <w:p w14:paraId="69CF03EA"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Y</w:t>
            </w:r>
          </w:p>
        </w:tc>
        <w:tc>
          <w:tcPr>
            <w:tcW w:w="4083" w:type="dxa"/>
            <w:tcBorders>
              <w:top w:val="single" w:sz="4" w:space="0" w:color="auto"/>
            </w:tcBorders>
            <w:vAlign w:val="center"/>
          </w:tcPr>
          <w:p w14:paraId="45D61900"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Output</w:t>
            </w:r>
          </w:p>
        </w:tc>
      </w:tr>
      <w:tr w:rsidR="008F30F4" w:rsidRPr="00F964C9" w14:paraId="3E8E14E1" w14:textId="77777777" w:rsidTr="001F21E7">
        <w:trPr>
          <w:trHeight w:val="369"/>
          <w:jc w:val="center"/>
        </w:trPr>
        <w:tc>
          <w:tcPr>
            <w:tcW w:w="1664" w:type="dxa"/>
            <w:vAlign w:val="center"/>
          </w:tcPr>
          <w:p w14:paraId="631E0577"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R</w:t>
            </w:r>
          </w:p>
        </w:tc>
        <w:tc>
          <w:tcPr>
            <w:tcW w:w="4083" w:type="dxa"/>
            <w:vAlign w:val="center"/>
          </w:tcPr>
          <w:p w14:paraId="11C49B7F"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Tax revenue</w:t>
            </w:r>
          </w:p>
        </w:tc>
      </w:tr>
      <w:tr w:rsidR="008F30F4" w:rsidRPr="00F964C9" w14:paraId="667C0498" w14:textId="77777777" w:rsidTr="001F21E7">
        <w:trPr>
          <w:trHeight w:val="361"/>
          <w:jc w:val="center"/>
        </w:trPr>
        <w:tc>
          <w:tcPr>
            <w:tcW w:w="1664" w:type="dxa"/>
            <w:vAlign w:val="center"/>
          </w:tcPr>
          <w:p w14:paraId="6BC3C8FD"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T</w:t>
            </w:r>
          </w:p>
        </w:tc>
        <w:tc>
          <w:tcPr>
            <w:tcW w:w="4083" w:type="dxa"/>
            <w:vAlign w:val="center"/>
          </w:tcPr>
          <w:p w14:paraId="5102762A"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Lump-sum transfer</w:t>
            </w:r>
          </w:p>
        </w:tc>
      </w:tr>
      <w:tr w:rsidR="008F30F4" w:rsidRPr="00F964C9" w14:paraId="34961725" w14:textId="77777777" w:rsidTr="001F21E7">
        <w:trPr>
          <w:trHeight w:val="369"/>
          <w:jc w:val="center"/>
        </w:trPr>
        <w:tc>
          <w:tcPr>
            <w:tcW w:w="1664" w:type="dxa"/>
            <w:vAlign w:val="center"/>
          </w:tcPr>
          <w:p w14:paraId="3EC9252B"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E</w:t>
            </w:r>
          </w:p>
        </w:tc>
        <w:tc>
          <w:tcPr>
            <w:tcW w:w="4083" w:type="dxa"/>
            <w:vAlign w:val="center"/>
          </w:tcPr>
          <w:p w14:paraId="45A3B651"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CO</w:t>
            </w:r>
            <w:r w:rsidRPr="00F964C9">
              <w:rPr>
                <w:rFonts w:eastAsia="SimSun" w:cs="Times New Roman"/>
                <w:color w:val="000000"/>
                <w:szCs w:val="20"/>
                <w:vertAlign w:val="subscript"/>
              </w:rPr>
              <w:t>2</w:t>
            </w:r>
            <w:r w:rsidRPr="00F964C9">
              <w:rPr>
                <w:rFonts w:eastAsia="SimSun" w:cs="Times New Roman"/>
                <w:color w:val="000000"/>
                <w:szCs w:val="20"/>
              </w:rPr>
              <w:t xml:space="preserve"> emissions</w:t>
            </w:r>
          </w:p>
        </w:tc>
      </w:tr>
      <w:tr w:rsidR="008F30F4" w:rsidRPr="00F964C9" w14:paraId="160FA8EE" w14:textId="77777777" w:rsidTr="001F21E7">
        <w:trPr>
          <w:trHeight w:val="361"/>
          <w:jc w:val="center"/>
        </w:trPr>
        <w:tc>
          <w:tcPr>
            <w:tcW w:w="1664" w:type="dxa"/>
            <w:vAlign w:val="center"/>
          </w:tcPr>
          <w:p w14:paraId="7D02B87C"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p</w:t>
            </w:r>
          </w:p>
        </w:tc>
        <w:tc>
          <w:tcPr>
            <w:tcW w:w="4083" w:type="dxa"/>
            <w:vAlign w:val="center"/>
          </w:tcPr>
          <w:p w14:paraId="6C6C6947"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Price of goods and factors</w:t>
            </w:r>
          </w:p>
        </w:tc>
      </w:tr>
      <w:tr w:rsidR="008F30F4" w:rsidRPr="00F964C9" w14:paraId="2260B3D7" w14:textId="77777777" w:rsidTr="001F21E7">
        <w:trPr>
          <w:trHeight w:val="369"/>
          <w:jc w:val="center"/>
        </w:trPr>
        <w:tc>
          <w:tcPr>
            <w:tcW w:w="1664" w:type="dxa"/>
            <w:vAlign w:val="center"/>
          </w:tcPr>
          <w:p w14:paraId="71D067BB"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t</w:t>
            </w:r>
          </w:p>
        </w:tc>
        <w:tc>
          <w:tcPr>
            <w:tcW w:w="4083" w:type="dxa"/>
            <w:vAlign w:val="center"/>
          </w:tcPr>
          <w:p w14:paraId="632876C1"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Price of allowances</w:t>
            </w:r>
          </w:p>
        </w:tc>
      </w:tr>
      <w:tr w:rsidR="008F30F4" w:rsidRPr="00F964C9" w14:paraId="4F757A6D" w14:textId="77777777" w:rsidTr="001F21E7">
        <w:trPr>
          <w:trHeight w:val="369"/>
          <w:jc w:val="center"/>
        </w:trPr>
        <w:tc>
          <w:tcPr>
            <w:tcW w:w="1664" w:type="dxa"/>
            <w:vAlign w:val="center"/>
          </w:tcPr>
          <w:p w14:paraId="72DFFDE5"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x</w:t>
            </w:r>
          </w:p>
        </w:tc>
        <w:tc>
          <w:tcPr>
            <w:tcW w:w="4083" w:type="dxa"/>
            <w:vAlign w:val="center"/>
          </w:tcPr>
          <w:p w14:paraId="161C1C47"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Material inputs</w:t>
            </w:r>
          </w:p>
        </w:tc>
      </w:tr>
      <w:tr w:rsidR="008F30F4" w:rsidRPr="00F964C9" w14:paraId="1AB8BC06" w14:textId="77777777" w:rsidTr="001F21E7">
        <w:trPr>
          <w:trHeight w:val="361"/>
          <w:jc w:val="center"/>
        </w:trPr>
        <w:tc>
          <w:tcPr>
            <w:tcW w:w="1664" w:type="dxa"/>
            <w:vAlign w:val="center"/>
          </w:tcPr>
          <w:p w14:paraId="68E68EFF"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e</w:t>
            </w:r>
          </w:p>
        </w:tc>
        <w:tc>
          <w:tcPr>
            <w:tcW w:w="4083" w:type="dxa"/>
            <w:vAlign w:val="center"/>
          </w:tcPr>
          <w:p w14:paraId="7008BFF3"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Energy inputs (electricity and fuels)</w:t>
            </w:r>
          </w:p>
        </w:tc>
      </w:tr>
      <w:tr w:rsidR="008F30F4" w:rsidRPr="00F964C9" w14:paraId="38CA2B8A" w14:textId="77777777" w:rsidTr="001F21E7">
        <w:trPr>
          <w:trHeight w:val="369"/>
          <w:jc w:val="center"/>
        </w:trPr>
        <w:tc>
          <w:tcPr>
            <w:tcW w:w="1664" w:type="dxa"/>
            <w:vAlign w:val="center"/>
          </w:tcPr>
          <w:p w14:paraId="3C11F7A4"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s</w:t>
            </w:r>
          </w:p>
        </w:tc>
        <w:tc>
          <w:tcPr>
            <w:tcW w:w="4083" w:type="dxa"/>
            <w:vAlign w:val="center"/>
          </w:tcPr>
          <w:p w14:paraId="185610AB"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Electricity inputs</w:t>
            </w:r>
          </w:p>
        </w:tc>
      </w:tr>
      <w:tr w:rsidR="008F30F4" w:rsidRPr="00F964C9" w14:paraId="3EA3AB15" w14:textId="77777777" w:rsidTr="001F21E7">
        <w:trPr>
          <w:trHeight w:val="361"/>
          <w:jc w:val="center"/>
        </w:trPr>
        <w:tc>
          <w:tcPr>
            <w:tcW w:w="1664" w:type="dxa"/>
            <w:vAlign w:val="center"/>
          </w:tcPr>
          <w:p w14:paraId="3EF5288C"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f</w:t>
            </w:r>
          </w:p>
        </w:tc>
        <w:tc>
          <w:tcPr>
            <w:tcW w:w="4083" w:type="dxa"/>
            <w:vAlign w:val="center"/>
          </w:tcPr>
          <w:p w14:paraId="5E214D69"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Fuel inputs</w:t>
            </w:r>
          </w:p>
        </w:tc>
      </w:tr>
      <w:tr w:rsidR="008F30F4" w:rsidRPr="00F964C9" w14:paraId="5591628F" w14:textId="77777777" w:rsidTr="001F21E7">
        <w:trPr>
          <w:trHeight w:val="369"/>
          <w:jc w:val="center"/>
        </w:trPr>
        <w:tc>
          <w:tcPr>
            <w:tcW w:w="1664" w:type="dxa"/>
            <w:vAlign w:val="center"/>
          </w:tcPr>
          <w:p w14:paraId="27E71AB9"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d</w:t>
            </w:r>
          </w:p>
        </w:tc>
        <w:tc>
          <w:tcPr>
            <w:tcW w:w="4083" w:type="dxa"/>
            <w:vAlign w:val="center"/>
          </w:tcPr>
          <w:p w14:paraId="67F8F9BB"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Domestic intermediate inputs</w:t>
            </w:r>
          </w:p>
        </w:tc>
      </w:tr>
      <w:tr w:rsidR="008F30F4" w:rsidRPr="00F964C9" w14:paraId="124A38C8" w14:textId="77777777" w:rsidTr="001F21E7">
        <w:trPr>
          <w:trHeight w:val="361"/>
          <w:jc w:val="center"/>
        </w:trPr>
        <w:tc>
          <w:tcPr>
            <w:tcW w:w="1664" w:type="dxa"/>
            <w:vAlign w:val="center"/>
          </w:tcPr>
          <w:p w14:paraId="457EE9CE"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n</w:t>
            </w:r>
          </w:p>
        </w:tc>
        <w:tc>
          <w:tcPr>
            <w:tcW w:w="4083" w:type="dxa"/>
            <w:vAlign w:val="center"/>
          </w:tcPr>
          <w:p w14:paraId="30DC6638"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Imported intermediate inputs</w:t>
            </w:r>
          </w:p>
        </w:tc>
      </w:tr>
      <w:tr w:rsidR="008F30F4" w:rsidRPr="00F964C9" w14:paraId="65AD4C00" w14:textId="77777777" w:rsidTr="001F21E7">
        <w:trPr>
          <w:trHeight w:val="369"/>
          <w:jc w:val="center"/>
        </w:trPr>
        <w:tc>
          <w:tcPr>
            <w:tcW w:w="1664" w:type="dxa"/>
            <w:vAlign w:val="center"/>
          </w:tcPr>
          <w:p w14:paraId="4470FA3E"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m</w:t>
            </w:r>
          </w:p>
        </w:tc>
        <w:tc>
          <w:tcPr>
            <w:tcW w:w="4083" w:type="dxa"/>
            <w:vAlign w:val="center"/>
          </w:tcPr>
          <w:p w14:paraId="3D3CEF18"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Labor inputs</w:t>
            </w:r>
          </w:p>
        </w:tc>
      </w:tr>
      <w:tr w:rsidR="008F30F4" w:rsidRPr="00F964C9" w14:paraId="556740D4" w14:textId="77777777" w:rsidTr="001F21E7">
        <w:trPr>
          <w:trHeight w:val="369"/>
          <w:jc w:val="center"/>
        </w:trPr>
        <w:tc>
          <w:tcPr>
            <w:tcW w:w="1664" w:type="dxa"/>
            <w:vAlign w:val="center"/>
          </w:tcPr>
          <w:p w14:paraId="44498580"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w</w:t>
            </w:r>
          </w:p>
        </w:tc>
        <w:tc>
          <w:tcPr>
            <w:tcW w:w="4083" w:type="dxa"/>
            <w:vAlign w:val="center"/>
          </w:tcPr>
          <w:p w14:paraId="53934FBF"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Capital inputs</w:t>
            </w:r>
          </w:p>
        </w:tc>
      </w:tr>
      <w:tr w:rsidR="008F30F4" w:rsidRPr="00F964C9" w14:paraId="5286907E" w14:textId="77777777" w:rsidTr="001F21E7">
        <w:trPr>
          <w:trHeight w:val="361"/>
          <w:jc w:val="center"/>
        </w:trPr>
        <w:tc>
          <w:tcPr>
            <w:tcW w:w="1664" w:type="dxa"/>
            <w:vAlign w:val="center"/>
          </w:tcPr>
          <w:p w14:paraId="752EFB2D"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res</w:t>
            </w:r>
          </w:p>
        </w:tc>
        <w:tc>
          <w:tcPr>
            <w:tcW w:w="4083" w:type="dxa"/>
            <w:vAlign w:val="center"/>
          </w:tcPr>
          <w:p w14:paraId="2666D859"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Natural resources inputs</w:t>
            </w:r>
          </w:p>
        </w:tc>
      </w:tr>
      <w:tr w:rsidR="008F30F4" w:rsidRPr="00F964C9" w14:paraId="4041E463" w14:textId="77777777" w:rsidTr="001F21E7">
        <w:trPr>
          <w:trHeight w:val="361"/>
          <w:jc w:val="center"/>
        </w:trPr>
        <w:tc>
          <w:tcPr>
            <w:tcW w:w="1664" w:type="dxa"/>
            <w:vAlign w:val="center"/>
          </w:tcPr>
          <w:p w14:paraId="0F621A87"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l</w:t>
            </w:r>
            <w:r w:rsidRPr="00F964C9">
              <w:rPr>
                <w:rFonts w:eastAsia="SimSun" w:cs="Times New Roman" w:hint="eastAsia"/>
                <w:i/>
                <w:iCs/>
                <w:color w:val="000000"/>
                <w:szCs w:val="20"/>
              </w:rPr>
              <w:t>n</w:t>
            </w:r>
            <w:r w:rsidRPr="00F964C9">
              <w:rPr>
                <w:rFonts w:eastAsia="SimSun" w:cs="Times New Roman"/>
                <w:i/>
                <w:iCs/>
                <w:color w:val="000000"/>
                <w:szCs w:val="20"/>
              </w:rPr>
              <w:t>d</w:t>
            </w:r>
          </w:p>
        </w:tc>
        <w:tc>
          <w:tcPr>
            <w:tcW w:w="4083" w:type="dxa"/>
            <w:vAlign w:val="center"/>
          </w:tcPr>
          <w:p w14:paraId="41A05DF9"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hint="eastAsia"/>
                <w:color w:val="000000"/>
                <w:szCs w:val="20"/>
              </w:rPr>
              <w:t>L</w:t>
            </w:r>
            <w:r w:rsidRPr="00F964C9">
              <w:rPr>
                <w:rFonts w:eastAsia="SimSun" w:cs="Times New Roman"/>
                <w:color w:val="000000"/>
                <w:szCs w:val="20"/>
              </w:rPr>
              <w:t>and inputs</w:t>
            </w:r>
          </w:p>
        </w:tc>
      </w:tr>
      <w:tr w:rsidR="008F30F4" w:rsidRPr="00F964C9" w14:paraId="24DC03BC" w14:textId="77777777" w:rsidTr="001F21E7">
        <w:trPr>
          <w:trHeight w:val="361"/>
          <w:jc w:val="center"/>
        </w:trPr>
        <w:tc>
          <w:tcPr>
            <w:tcW w:w="1664" w:type="dxa"/>
            <w:vAlign w:val="center"/>
          </w:tcPr>
          <w:p w14:paraId="3AE37605" w14:textId="77777777" w:rsidR="008F30F4" w:rsidRPr="00F964C9" w:rsidRDefault="0038014B" w:rsidP="001F21E7">
            <w:pPr>
              <w:spacing w:before="0" w:line="240" w:lineRule="auto"/>
              <w:ind w:firstLine="0"/>
              <w:contextualSpacing/>
              <w:rPr>
                <w:rFonts w:eastAsia="SimSun" w:cs="Times New Roman"/>
                <w:i/>
                <w:iCs/>
                <w:color w:val="000000"/>
                <w:szCs w:val="20"/>
              </w:rPr>
            </w:pPr>
            <w:r w:rsidRPr="0038014B">
              <w:rPr>
                <w:noProof/>
                <w:kern w:val="0"/>
                <w:position w:val="-6"/>
                <w:sz w:val="24"/>
                <w:szCs w:val="24"/>
              </w:rPr>
              <w:object w:dxaOrig="220" w:dyaOrig="300" w14:anchorId="2AAD5B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3" type="#_x0000_t75" alt="" style="width:8.45pt;height:14.1pt;mso-width-percent:0;mso-height-percent:0;mso-width-percent:0;mso-height-percent:0" o:ole="">
                  <v:imagedata r:id="rId8" o:title=""/>
                </v:shape>
                <o:OLEObject Type="Embed" ProgID="Equation.DSMT4" ShapeID="_x0000_i1223" DrawAspect="Content" ObjectID="_1758969408" r:id="rId9"/>
              </w:object>
            </w:r>
            <w:r w:rsidR="008F30F4" w:rsidRPr="00F964C9">
              <w:rPr>
                <w:rFonts w:eastAsia="SimSun" w:cs="Times New Roman" w:hint="eastAsia"/>
                <w:i/>
                <w:iCs/>
                <w:color w:val="000000"/>
                <w:szCs w:val="20"/>
              </w:rPr>
              <w:t>,</w:t>
            </w:r>
            <w:r w:rsidRPr="0038014B">
              <w:rPr>
                <w:noProof/>
                <w:kern w:val="0"/>
                <w:position w:val="-6"/>
                <w:sz w:val="24"/>
                <w:szCs w:val="24"/>
              </w:rPr>
              <w:object w:dxaOrig="220" w:dyaOrig="300" w14:anchorId="53002F47">
                <v:shape id="_x0000_i1222" type="#_x0000_t75" alt="" style="width:8.45pt;height:14.1pt;mso-width-percent:0;mso-height-percent:0;mso-width-percent:0;mso-height-percent:0" o:ole="">
                  <v:imagedata r:id="rId10" o:title=""/>
                </v:shape>
                <o:OLEObject Type="Embed" ProgID="Equation.DSMT4" ShapeID="_x0000_i1222" DrawAspect="Content" ObjectID="_1758969409" r:id="rId11"/>
              </w:object>
            </w:r>
            <w:r w:rsidR="008F30F4" w:rsidRPr="00F964C9">
              <w:t>,</w:t>
            </w:r>
            <w:r w:rsidRPr="0038014B">
              <w:rPr>
                <w:noProof/>
                <w:kern w:val="0"/>
                <w:position w:val="-6"/>
                <w:sz w:val="24"/>
                <w:szCs w:val="24"/>
              </w:rPr>
              <w:object w:dxaOrig="320" w:dyaOrig="300" w14:anchorId="4E38C6D7">
                <v:shape id="_x0000_i1221" type="#_x0000_t75" alt="" style="width:14.8pt;height:14.1pt;mso-width-percent:0;mso-height-percent:0;mso-width-percent:0;mso-height-percent:0" o:ole="">
                  <v:imagedata r:id="rId12" o:title=""/>
                </v:shape>
                <o:OLEObject Type="Embed" ProgID="Equation.DSMT4" ShapeID="_x0000_i1221" DrawAspect="Content" ObjectID="_1758969410" r:id="rId13"/>
              </w:object>
            </w:r>
            <w:r w:rsidR="008F30F4" w:rsidRPr="00F964C9">
              <w:t>,</w:t>
            </w:r>
            <w:r w:rsidRPr="0038014B">
              <w:rPr>
                <w:noProof/>
                <w:kern w:val="0"/>
                <w:position w:val="-6"/>
                <w:sz w:val="24"/>
                <w:szCs w:val="24"/>
              </w:rPr>
              <w:object w:dxaOrig="340" w:dyaOrig="300" w14:anchorId="3D3EB167">
                <v:shape id="_x0000_i1220" type="#_x0000_t75" alt="" style="width:15.55pt;height:14.1pt;mso-width-percent:0;mso-height-percent:0;mso-width-percent:0;mso-height-percent:0" o:ole="">
                  <v:imagedata r:id="rId14" o:title=""/>
                </v:shape>
                <o:OLEObject Type="Embed" ProgID="Equation.DSMT4" ShapeID="_x0000_i1220" DrawAspect="Content" ObjectID="_1758969411" r:id="rId15"/>
              </w:object>
            </w:r>
            <w:r w:rsidR="008F30F4" w:rsidRPr="00F964C9">
              <w:rPr>
                <w:rFonts w:eastAsia="SimSun" w:cs="Times New Roman"/>
                <w:i/>
                <w:iCs/>
                <w:color w:val="000000"/>
                <w:szCs w:val="20"/>
              </w:rPr>
              <w:t xml:space="preserve"> </w:t>
            </w:r>
          </w:p>
        </w:tc>
        <w:tc>
          <w:tcPr>
            <w:tcW w:w="4083" w:type="dxa"/>
            <w:vAlign w:val="center"/>
          </w:tcPr>
          <w:p w14:paraId="43335F4E"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Factor endowments</w:t>
            </w:r>
          </w:p>
        </w:tc>
      </w:tr>
      <w:tr w:rsidR="008F30F4" w:rsidRPr="00F964C9" w14:paraId="514C2BEE" w14:textId="77777777" w:rsidTr="001F21E7">
        <w:trPr>
          <w:trHeight w:val="369"/>
          <w:jc w:val="center"/>
        </w:trPr>
        <w:tc>
          <w:tcPr>
            <w:tcW w:w="1664" w:type="dxa"/>
            <w:vAlign w:val="center"/>
          </w:tcPr>
          <w:p w14:paraId="27881951" w14:textId="77777777" w:rsidR="008F30F4" w:rsidRPr="00F964C9" w:rsidRDefault="0038014B" w:rsidP="001F21E7">
            <w:pPr>
              <w:spacing w:before="0" w:line="240" w:lineRule="auto"/>
              <w:ind w:firstLine="0"/>
              <w:contextualSpacing/>
              <w:rPr>
                <w:rFonts w:eastAsia="DengXian" w:cs="Times New Roman"/>
                <w:color w:val="000000"/>
                <w:szCs w:val="20"/>
              </w:rPr>
            </w:pPr>
            <w:r w:rsidRPr="0038014B">
              <w:rPr>
                <w:noProof/>
                <w:kern w:val="0"/>
                <w:position w:val="-6"/>
                <w:sz w:val="24"/>
                <w:szCs w:val="24"/>
              </w:rPr>
              <w:object w:dxaOrig="220" w:dyaOrig="200" w14:anchorId="11E318A4">
                <v:shape id="_x0000_i1219" type="#_x0000_t75" alt="" style="width:8.45pt;height:8.45pt;mso-width-percent:0;mso-height-percent:0;mso-width-percent:0;mso-height-percent:0" o:ole="">
                  <v:imagedata r:id="rId16" o:title=""/>
                </v:shape>
                <o:OLEObject Type="Embed" ProgID="Equation.DSMT4" ShapeID="_x0000_i1219" DrawAspect="Content" ObjectID="_1758969412" r:id="rId17"/>
              </w:object>
            </w:r>
          </w:p>
        </w:tc>
        <w:tc>
          <w:tcPr>
            <w:tcW w:w="4083" w:type="dxa"/>
            <w:vAlign w:val="center"/>
          </w:tcPr>
          <w:p w14:paraId="2B3FFFFC"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The elasticity of substitution between inputs</w:t>
            </w:r>
          </w:p>
        </w:tc>
      </w:tr>
      <w:tr w:rsidR="008F30F4" w:rsidRPr="00F964C9" w14:paraId="302F4E2E" w14:textId="77777777" w:rsidTr="001F21E7">
        <w:trPr>
          <w:trHeight w:val="369"/>
          <w:jc w:val="center"/>
        </w:trPr>
        <w:tc>
          <w:tcPr>
            <w:tcW w:w="1664" w:type="dxa"/>
            <w:vAlign w:val="center"/>
          </w:tcPr>
          <w:p w14:paraId="723E2AF1" w14:textId="77777777" w:rsidR="008F30F4" w:rsidRPr="00F964C9" w:rsidDel="00EF4EE1" w:rsidRDefault="0038014B" w:rsidP="001F21E7">
            <w:pPr>
              <w:spacing w:before="0" w:line="240" w:lineRule="auto"/>
              <w:ind w:firstLine="0"/>
              <w:contextualSpacing/>
              <w:rPr>
                <w:rFonts w:eastAsia="DengXian" w:cs="Times New Roman"/>
                <w:color w:val="000000"/>
                <w:szCs w:val="20"/>
              </w:rPr>
            </w:pPr>
            <w:r w:rsidRPr="0038014B">
              <w:rPr>
                <w:noProof/>
                <w:kern w:val="0"/>
                <w:position w:val="-6"/>
                <w:sz w:val="24"/>
                <w:szCs w:val="24"/>
              </w:rPr>
              <w:object w:dxaOrig="220" w:dyaOrig="200" w14:anchorId="1A8020E7">
                <v:shape id="_x0000_i1218" type="#_x0000_t75" alt="" style="width:8.45pt;height:8.45pt;mso-width-percent:0;mso-height-percent:0;mso-width-percent:0;mso-height-percent:0" o:ole="">
                  <v:imagedata r:id="rId18" o:title=""/>
                </v:shape>
                <o:OLEObject Type="Embed" ProgID="Equation.DSMT4" ShapeID="_x0000_i1218" DrawAspect="Content" ObjectID="_1758969413" r:id="rId19"/>
              </w:object>
            </w:r>
          </w:p>
        </w:tc>
        <w:tc>
          <w:tcPr>
            <w:tcW w:w="4083" w:type="dxa"/>
            <w:vAlign w:val="center"/>
          </w:tcPr>
          <w:p w14:paraId="56024574"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Parameters of CES functions</w:t>
            </w:r>
          </w:p>
        </w:tc>
      </w:tr>
      <w:tr w:rsidR="008F30F4" w:rsidRPr="00F964C9" w14:paraId="26E3D7C0" w14:textId="77777777" w:rsidTr="001F21E7">
        <w:trPr>
          <w:trHeight w:val="361"/>
          <w:jc w:val="center"/>
        </w:trPr>
        <w:tc>
          <w:tcPr>
            <w:tcW w:w="1664" w:type="dxa"/>
            <w:vAlign w:val="center"/>
          </w:tcPr>
          <w:p w14:paraId="21D708CA"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i,j,l</w:t>
            </w:r>
          </w:p>
        </w:tc>
        <w:tc>
          <w:tcPr>
            <w:tcW w:w="4083" w:type="dxa"/>
            <w:vAlign w:val="center"/>
          </w:tcPr>
          <w:p w14:paraId="5178EB33"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 xml:space="preserve">Sectors </w:t>
            </w:r>
          </w:p>
        </w:tc>
      </w:tr>
      <w:tr w:rsidR="008F30F4" w:rsidRPr="00F964C9" w14:paraId="02B07F3C" w14:textId="77777777" w:rsidTr="001F21E7">
        <w:trPr>
          <w:trHeight w:val="369"/>
          <w:jc w:val="center"/>
        </w:trPr>
        <w:tc>
          <w:tcPr>
            <w:tcW w:w="1664" w:type="dxa"/>
            <w:tcBorders>
              <w:bottom w:val="single" w:sz="4" w:space="0" w:color="auto"/>
            </w:tcBorders>
            <w:vAlign w:val="center"/>
          </w:tcPr>
          <w:p w14:paraId="0DD89A86" w14:textId="77777777" w:rsidR="008F30F4" w:rsidRPr="00F964C9" w:rsidRDefault="008F30F4" w:rsidP="001F21E7">
            <w:pPr>
              <w:spacing w:before="0" w:line="240" w:lineRule="auto"/>
              <w:ind w:firstLine="0"/>
              <w:contextualSpacing/>
              <w:rPr>
                <w:rFonts w:eastAsia="SimSun" w:cs="Times New Roman"/>
                <w:i/>
                <w:iCs/>
                <w:color w:val="000000"/>
                <w:szCs w:val="20"/>
              </w:rPr>
            </w:pPr>
            <w:r w:rsidRPr="00F964C9">
              <w:rPr>
                <w:rFonts w:eastAsia="SimSun" w:cs="Times New Roman"/>
                <w:i/>
                <w:iCs/>
                <w:color w:val="000000"/>
                <w:szCs w:val="20"/>
              </w:rPr>
              <w:t>k</w:t>
            </w:r>
          </w:p>
        </w:tc>
        <w:tc>
          <w:tcPr>
            <w:tcW w:w="4083" w:type="dxa"/>
            <w:tcBorders>
              <w:bottom w:val="single" w:sz="4" w:space="0" w:color="auto"/>
            </w:tcBorders>
            <w:vAlign w:val="center"/>
          </w:tcPr>
          <w:p w14:paraId="49ACBBE1" w14:textId="77777777" w:rsidR="008F30F4" w:rsidRPr="00F964C9" w:rsidRDefault="008F30F4" w:rsidP="001F21E7">
            <w:pPr>
              <w:spacing w:before="0" w:line="240" w:lineRule="auto"/>
              <w:ind w:hanging="44"/>
              <w:contextualSpacing/>
              <w:rPr>
                <w:rFonts w:eastAsia="SimSun" w:cs="Times New Roman"/>
                <w:color w:val="000000"/>
                <w:szCs w:val="20"/>
              </w:rPr>
            </w:pPr>
            <w:r w:rsidRPr="00F964C9">
              <w:rPr>
                <w:rFonts w:eastAsia="SimSun" w:cs="Times New Roman"/>
                <w:color w:val="000000"/>
                <w:szCs w:val="20"/>
              </w:rPr>
              <w:t>Subsectors</w:t>
            </w:r>
          </w:p>
        </w:tc>
      </w:tr>
    </w:tbl>
    <w:p w14:paraId="480DC1C4" w14:textId="77777777" w:rsidR="008F30F4" w:rsidRDefault="008F30F4" w:rsidP="008F30F4">
      <w:pPr>
        <w:spacing w:before="0" w:line="240" w:lineRule="auto"/>
        <w:ind w:firstLine="0"/>
        <w:rPr>
          <w:rFonts w:eastAsiaTheme="minorHAnsi" w:cs="Times New Roman"/>
          <w:b/>
          <w:bCs/>
          <w:sz w:val="28"/>
          <w:szCs w:val="28"/>
          <w:lang w:eastAsia="en-US"/>
        </w:rPr>
      </w:pPr>
      <w:r>
        <w:rPr>
          <w:sz w:val="28"/>
          <w:szCs w:val="28"/>
        </w:rPr>
        <w:br w:type="page"/>
      </w:r>
    </w:p>
    <w:p w14:paraId="52CF530C" w14:textId="77777777" w:rsidR="008F30F4" w:rsidRPr="009220C9" w:rsidRDefault="008F30F4" w:rsidP="008F30F4">
      <w:pPr>
        <w:pStyle w:val="Heading2"/>
        <w:rPr>
          <w:szCs w:val="28"/>
        </w:rPr>
      </w:pPr>
      <w:r w:rsidRPr="00B018A7">
        <w:rPr>
          <w:rFonts w:hint="eastAsia"/>
          <w:szCs w:val="28"/>
        </w:rPr>
        <w:lastRenderedPageBreak/>
        <w:t>P</w:t>
      </w:r>
      <w:r w:rsidRPr="00B018A7">
        <w:rPr>
          <w:szCs w:val="28"/>
        </w:rPr>
        <w:t>roduction</w:t>
      </w:r>
    </w:p>
    <w:p w14:paraId="76B1D1D7" w14:textId="77777777" w:rsidR="008F30F4" w:rsidRPr="00583CA2" w:rsidRDefault="008F30F4" w:rsidP="008F30F4">
      <w:pPr>
        <w:ind w:firstLineChars="327" w:firstLine="719"/>
        <w:rPr>
          <w:rFonts w:eastAsia="SimSun" w:cs="Times New Roman"/>
          <w:color w:val="000000"/>
          <w:sz w:val="22"/>
          <w:szCs w:val="22"/>
        </w:rPr>
      </w:pPr>
      <w:r w:rsidRPr="009220C9">
        <w:rPr>
          <w:rFonts w:eastAsia="SimSun" w:cs="Times New Roman"/>
          <w:color w:val="000000"/>
          <w:sz w:val="22"/>
          <w:szCs w:val="22"/>
        </w:rPr>
        <w:t xml:space="preserve">Production in each sector is represented by </w:t>
      </w:r>
      <w:r>
        <w:rPr>
          <w:rFonts w:eastAsia="SimSun" w:cs="Times New Roman"/>
          <w:color w:val="000000"/>
          <w:sz w:val="22"/>
          <w:szCs w:val="22"/>
        </w:rPr>
        <w:t>the</w:t>
      </w:r>
      <w:r w:rsidRPr="009220C9">
        <w:rPr>
          <w:rFonts w:eastAsia="SimSun" w:cs="Times New Roman"/>
          <w:color w:val="000000"/>
          <w:sz w:val="22"/>
          <w:szCs w:val="22"/>
        </w:rPr>
        <w:t xml:space="preserve"> nested structure shown in Figure </w:t>
      </w:r>
      <w:r w:rsidRPr="00D62B6B">
        <w:rPr>
          <w:rFonts w:eastAsia="SimSun" w:cs="Times New Roman"/>
          <w:color w:val="000000"/>
          <w:sz w:val="22"/>
          <w:szCs w:val="22"/>
        </w:rPr>
        <w:t>A1</w:t>
      </w:r>
      <w:r w:rsidRPr="006B64A1">
        <w:rPr>
          <w:rFonts w:eastAsia="SimSun" w:cs="Times New Roman"/>
          <w:color w:val="000000"/>
          <w:sz w:val="22"/>
          <w:szCs w:val="22"/>
        </w:rPr>
        <w:t>.</w:t>
      </w:r>
      <w:r>
        <w:rPr>
          <w:rFonts w:eastAsia="SimSun" w:cs="Times New Roman"/>
          <w:color w:val="000000"/>
          <w:sz w:val="22"/>
          <w:szCs w:val="22"/>
        </w:rPr>
        <w:t xml:space="preserve"> </w:t>
      </w:r>
      <w:r w:rsidR="0038014B" w:rsidRPr="00982643">
        <w:rPr>
          <w:noProof/>
          <w:position w:val="-6"/>
        </w:rPr>
        <w:object w:dxaOrig="220" w:dyaOrig="200" w14:anchorId="46E4C8DD">
          <v:shape id="_x0000_i1217" type="#_x0000_t75" alt="" style="width:8.45pt;height:8.45pt;mso-width-percent:0;mso-height-percent:0;mso-width-percent:0;mso-height-percent:0" o:ole="">
            <v:imagedata r:id="rId20" o:title=""/>
          </v:shape>
          <o:OLEObject Type="Embed" ProgID="Equation.DSMT4" ShapeID="_x0000_i1217" DrawAspect="Content" ObjectID="_1758969414" r:id="rId21"/>
        </w:object>
      </w:r>
      <w:r>
        <w:rPr>
          <w:noProof/>
        </w:rPr>
        <w:t xml:space="preserve"> parameters </w:t>
      </w:r>
      <w:r w:rsidRPr="009220C9">
        <w:rPr>
          <w:rFonts w:eastAsia="SimSun" w:cs="Times New Roman"/>
          <w:color w:val="000000"/>
          <w:sz w:val="22"/>
          <w:szCs w:val="22"/>
        </w:rPr>
        <w:t>in the</w:t>
      </w:r>
      <w:r>
        <w:rPr>
          <w:rFonts w:eastAsia="SimSun" w:cs="Times New Roman"/>
          <w:color w:val="000000"/>
          <w:sz w:val="22"/>
          <w:szCs w:val="22"/>
        </w:rPr>
        <w:t xml:space="preserve"> figure</w:t>
      </w:r>
      <w:r w:rsidRPr="009220C9">
        <w:rPr>
          <w:rFonts w:eastAsia="SimSun" w:cs="Times New Roman"/>
          <w:color w:val="000000"/>
          <w:sz w:val="22"/>
          <w:szCs w:val="22"/>
        </w:rPr>
        <w:t xml:space="preserve"> are elasticities </w:t>
      </w:r>
      <w:r>
        <w:rPr>
          <w:rFonts w:eastAsia="SimSun" w:cs="Times New Roman"/>
          <w:color w:val="000000"/>
          <w:sz w:val="22"/>
          <w:szCs w:val="22"/>
        </w:rPr>
        <w:t xml:space="preserve">of substitution in production.  </w:t>
      </w:r>
    </w:p>
    <w:p w14:paraId="1ECC272F" w14:textId="77777777" w:rsidR="008F30F4" w:rsidRDefault="008F30F4" w:rsidP="008F30F4">
      <w:pPr>
        <w:widowControl w:val="0"/>
        <w:spacing w:before="0" w:line="240" w:lineRule="auto"/>
        <w:ind w:firstLine="0"/>
        <w:contextualSpacing/>
        <w:rPr>
          <w:rFonts w:eastAsia="SimSun" w:cs="Times New Roman"/>
          <w:b/>
          <w:bCs/>
          <w:color w:val="000000"/>
          <w:sz w:val="22"/>
          <w:szCs w:val="22"/>
        </w:rPr>
      </w:pPr>
      <w:r>
        <w:rPr>
          <w:rFonts w:eastAsia="SimSun" w:cs="Times New Roman"/>
          <w:b/>
          <w:bCs/>
          <w:noProof/>
          <w:color w:val="000000"/>
          <w:sz w:val="22"/>
          <w:szCs w:val="22"/>
        </w:rPr>
        <w:drawing>
          <wp:anchor distT="0" distB="0" distL="114300" distR="114300" simplePos="0" relativeHeight="251680768" behindDoc="0" locked="0" layoutInCell="1" allowOverlap="1" wp14:anchorId="181FAED1" wp14:editId="128239C2">
            <wp:simplePos x="0" y="0"/>
            <wp:positionH relativeFrom="page">
              <wp:posOffset>1474305</wp:posOffset>
            </wp:positionH>
            <wp:positionV relativeFrom="paragraph">
              <wp:posOffset>288787</wp:posOffset>
            </wp:positionV>
            <wp:extent cx="4389120" cy="6951980"/>
            <wp:effectExtent l="0" t="0" r="0" b="1270"/>
            <wp:wrapTopAndBottom/>
            <wp:docPr id="148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9120" cy="6951980"/>
                    </a:xfrm>
                    <a:prstGeom prst="rect">
                      <a:avLst/>
                    </a:prstGeom>
                    <a:noFill/>
                  </pic:spPr>
                </pic:pic>
              </a:graphicData>
            </a:graphic>
            <wp14:sizeRelH relativeFrom="page">
              <wp14:pctWidth>0</wp14:pctWidth>
            </wp14:sizeRelH>
            <wp14:sizeRelV relativeFrom="page">
              <wp14:pctHeight>0</wp14:pctHeight>
            </wp14:sizeRelV>
          </wp:anchor>
        </w:drawing>
      </w:r>
    </w:p>
    <w:p w14:paraId="1907F624" w14:textId="77777777" w:rsidR="008F30F4" w:rsidRDefault="008F30F4" w:rsidP="008F30F4">
      <w:pPr>
        <w:ind w:left="720" w:firstLine="0"/>
        <w:contextualSpacing/>
        <w:rPr>
          <w:rFonts w:eastAsia="SimSun" w:cs="Times New Roman"/>
          <w:b/>
          <w:bCs/>
          <w:color w:val="000000"/>
          <w:sz w:val="22"/>
          <w:szCs w:val="22"/>
        </w:rPr>
      </w:pPr>
    </w:p>
    <w:p w14:paraId="617A822B" w14:textId="77777777" w:rsidR="008F30F4" w:rsidRPr="009220C9" w:rsidRDefault="008F30F4" w:rsidP="008F30F4">
      <w:pPr>
        <w:ind w:firstLine="0"/>
        <w:contextualSpacing/>
        <w:jc w:val="center"/>
        <w:rPr>
          <w:rFonts w:eastAsia="SimSun" w:cs="Times New Roman"/>
          <w:color w:val="000000"/>
          <w:sz w:val="22"/>
          <w:szCs w:val="22"/>
        </w:rPr>
      </w:pPr>
      <w:r w:rsidRPr="009220C9">
        <w:rPr>
          <w:rFonts w:eastAsia="SimSun" w:cs="Times New Roman"/>
          <w:b/>
          <w:bCs/>
          <w:color w:val="000000"/>
          <w:sz w:val="22"/>
          <w:szCs w:val="22"/>
        </w:rPr>
        <w:t xml:space="preserve">Figure </w:t>
      </w:r>
      <w:r w:rsidRPr="00D62B6B">
        <w:rPr>
          <w:rFonts w:eastAsia="SimSun" w:cs="Times New Roman"/>
          <w:b/>
          <w:bCs/>
          <w:color w:val="000000"/>
          <w:sz w:val="22"/>
          <w:szCs w:val="22"/>
        </w:rPr>
        <w:t>A1</w:t>
      </w:r>
      <w:r w:rsidRPr="009220C9">
        <w:rPr>
          <w:rFonts w:eastAsia="SimSun" w:cs="Times New Roman"/>
          <w:b/>
          <w:bCs/>
          <w:color w:val="000000"/>
          <w:sz w:val="22"/>
          <w:szCs w:val="22"/>
        </w:rPr>
        <w:t>. Nested CES Production Structure for Each Sector</w:t>
      </w:r>
    </w:p>
    <w:p w14:paraId="33E08337" w14:textId="77777777" w:rsidR="008F30F4" w:rsidRPr="009220C9" w:rsidRDefault="008F30F4" w:rsidP="008F30F4">
      <w:pPr>
        <w:ind w:firstLineChars="327" w:firstLine="719"/>
        <w:rPr>
          <w:rFonts w:eastAsia="SimSun" w:cs="Times New Roman"/>
          <w:color w:val="000000"/>
          <w:sz w:val="22"/>
          <w:szCs w:val="22"/>
        </w:rPr>
      </w:pPr>
      <w:r>
        <w:rPr>
          <w:rFonts w:eastAsia="SimSun" w:cs="Times New Roman"/>
          <w:color w:val="000000"/>
          <w:sz w:val="22"/>
          <w:szCs w:val="22"/>
        </w:rPr>
        <w:lastRenderedPageBreak/>
        <w:t>The structure described below applies to all sectors other than renewables-based electricity.  It also applies to subsectors of the electricity, iron&amp;steel, aluminum and cement sectors.</w:t>
      </w:r>
      <w:r w:rsidRPr="009220C9">
        <w:rPr>
          <w:rFonts w:eastAsia="SimSun" w:cs="Times New Roman"/>
          <w:color w:val="000000"/>
          <w:sz w:val="22"/>
          <w:szCs w:val="22"/>
        </w:rPr>
        <w:t xml:space="preserve"> The structure</w:t>
      </w:r>
      <w:r>
        <w:rPr>
          <w:rFonts w:eastAsia="SimSun" w:cs="Times New Roman"/>
          <w:color w:val="000000"/>
          <w:sz w:val="22"/>
          <w:szCs w:val="22"/>
        </w:rPr>
        <w:t>s</w:t>
      </w:r>
      <w:r w:rsidRPr="009220C9">
        <w:rPr>
          <w:rFonts w:eastAsia="SimSun" w:cs="Times New Roman"/>
          <w:color w:val="000000"/>
          <w:sz w:val="22"/>
          <w:szCs w:val="22"/>
        </w:rPr>
        <w:t xml:space="preserve"> for solar, wind, hydro, and nuclear </w:t>
      </w:r>
      <w:r>
        <w:rPr>
          <w:rFonts w:eastAsia="SimSun" w:cs="Times New Roman"/>
          <w:color w:val="000000"/>
          <w:sz w:val="22"/>
          <w:szCs w:val="22"/>
        </w:rPr>
        <w:t>electricity</w:t>
      </w:r>
      <w:r w:rsidRPr="009220C9">
        <w:rPr>
          <w:rFonts w:eastAsia="SimSun" w:cs="Times New Roman"/>
          <w:color w:val="000000"/>
          <w:sz w:val="22"/>
          <w:szCs w:val="22"/>
        </w:rPr>
        <w:t xml:space="preserve"> subsectors are similar, except that they have natural resources </w:t>
      </w:r>
      <w:r>
        <w:rPr>
          <w:rFonts w:eastAsia="SimSun" w:cs="Times New Roman"/>
          <w:color w:val="000000"/>
          <w:sz w:val="22"/>
          <w:szCs w:val="22"/>
        </w:rPr>
        <w:t>(</w:t>
      </w:r>
      <w:r w:rsidRPr="00D62B6B">
        <w:rPr>
          <w:rFonts w:eastAsia="SimSun" w:cs="Times New Roman"/>
          <w:i/>
          <w:iCs/>
          <w:color w:val="000000"/>
          <w:sz w:val="22"/>
          <w:szCs w:val="22"/>
        </w:rPr>
        <w:t>res</w:t>
      </w:r>
      <w:r>
        <w:rPr>
          <w:rFonts w:eastAsia="SimSun" w:cs="Times New Roman"/>
          <w:color w:val="000000"/>
          <w:sz w:val="22"/>
          <w:szCs w:val="22"/>
        </w:rPr>
        <w:t xml:space="preserve">) </w:t>
      </w:r>
      <w:r w:rsidRPr="009220C9">
        <w:rPr>
          <w:rFonts w:eastAsia="SimSun" w:cs="Times New Roman"/>
          <w:color w:val="000000"/>
          <w:sz w:val="22"/>
          <w:szCs w:val="22"/>
        </w:rPr>
        <w:t xml:space="preserve">as their inputs. </w:t>
      </w:r>
    </w:p>
    <w:p w14:paraId="4716956B" w14:textId="77777777" w:rsidR="008F30F4" w:rsidRPr="00B64E0A" w:rsidRDefault="008F30F4" w:rsidP="008F30F4">
      <w:pPr>
        <w:pStyle w:val="a2"/>
      </w:pPr>
      <w:r w:rsidRPr="009452A9">
        <w:t>In each sector</w:t>
      </w:r>
      <w:r w:rsidRPr="00542EB9">
        <w:t xml:space="preserve"> or subsector</w:t>
      </w:r>
      <w:r w:rsidRPr="00EC5B7E">
        <w:t>,</w:t>
      </w:r>
      <w:r w:rsidRPr="00160F53">
        <w:t xml:space="preserve"> producers employ material inputs (</w:t>
      </w:r>
      <w:r w:rsidRPr="009452A9">
        <w:rPr>
          <w:b/>
          <w:i/>
        </w:rPr>
        <w:t>x</w:t>
      </w:r>
      <w:r w:rsidRPr="00160F53">
        <w:t>), energy inputs (</w:t>
      </w:r>
      <w:r w:rsidRPr="00160F53">
        <w:rPr>
          <w:b/>
          <w:i/>
        </w:rPr>
        <w:t>e</w:t>
      </w:r>
      <w:r w:rsidRPr="00160F53">
        <w:t>), and factors (</w:t>
      </w:r>
      <w:r w:rsidRPr="00160F53">
        <w:rPr>
          <w:b/>
          <w:i/>
        </w:rPr>
        <w:t>mw</w:t>
      </w:r>
      <w:r w:rsidRPr="00160F53">
        <w:t xml:space="preserve">) to produce output.  As indicated in Figure A1, the material inputs </w:t>
      </w:r>
      <w:r w:rsidRPr="00160F53">
        <w:rPr>
          <w:i/>
        </w:rPr>
        <w:t>x</w:t>
      </w:r>
      <w:r w:rsidRPr="00160F53">
        <w:rPr>
          <w:vertAlign w:val="subscript"/>
        </w:rPr>
        <w:t>1</w:t>
      </w:r>
      <w:r w:rsidRPr="00160F53">
        <w:t xml:space="preserve">, </w:t>
      </w:r>
      <w:r w:rsidRPr="00160F53">
        <w:rPr>
          <w:i/>
        </w:rPr>
        <w:t>x</w:t>
      </w:r>
      <w:r w:rsidRPr="00160F53">
        <w:rPr>
          <w:vertAlign w:val="subscript"/>
        </w:rPr>
        <w:t>2</w:t>
      </w:r>
      <w:r w:rsidRPr="00160F53">
        <w:t xml:space="preserve">, …, </w:t>
      </w:r>
      <w:r w:rsidRPr="00160F53">
        <w:rPr>
          <w:i/>
        </w:rPr>
        <w:t>x</w:t>
      </w:r>
      <w:r w:rsidRPr="00160F53">
        <w:rPr>
          <w:vertAlign w:val="subscript"/>
        </w:rPr>
        <w:t>24</w:t>
      </w:r>
      <w:r w:rsidRPr="00160F53">
        <w:t xml:space="preserve"> combine to produce the composite material input </w:t>
      </w:r>
      <w:r w:rsidRPr="00160F53">
        <w:rPr>
          <w:b/>
          <w:i/>
        </w:rPr>
        <w:t>x</w:t>
      </w:r>
      <w:r w:rsidRPr="00160F53">
        <w:t xml:space="preserve">.  Each of the material inputs </w:t>
      </w:r>
      <w:r w:rsidRPr="00160F53">
        <w:rPr>
          <w:i/>
        </w:rPr>
        <w:t>x</w:t>
      </w:r>
      <w:r w:rsidRPr="00160F53">
        <w:rPr>
          <w:vertAlign w:val="subscript"/>
        </w:rPr>
        <w:t>i</w:t>
      </w:r>
      <w:r w:rsidRPr="00160F53">
        <w:t xml:space="preserve"> is a composite of a domestically produced material input </w:t>
      </w:r>
      <w:r w:rsidRPr="00160F53">
        <w:rPr>
          <w:i/>
        </w:rPr>
        <w:t>d</w:t>
      </w:r>
      <w:r w:rsidRPr="00160F53">
        <w:rPr>
          <w:i/>
          <w:vertAlign w:val="subscript"/>
        </w:rPr>
        <w:t>x,</w:t>
      </w:r>
      <w:r w:rsidRPr="00160F53">
        <w:rPr>
          <w:vertAlign w:val="subscript"/>
        </w:rPr>
        <w:t>i</w:t>
      </w:r>
      <w:r w:rsidRPr="00D62B6B">
        <w:t xml:space="preserve"> </w:t>
      </w:r>
      <w:r w:rsidRPr="00160F53">
        <w:t>and</w:t>
      </w:r>
      <w:r w:rsidRPr="00160F53">
        <w:rPr>
          <w:rFonts w:hint="eastAsia"/>
        </w:rPr>
        <w:t>,</w:t>
      </w:r>
      <w:r w:rsidRPr="00160F53">
        <w:t xml:space="preserve"> if any, a foreign-produced material input </w:t>
      </w:r>
      <w:r w:rsidRPr="00160F53">
        <w:rPr>
          <w:i/>
        </w:rPr>
        <w:t>n</w:t>
      </w:r>
      <w:r w:rsidRPr="00160F53">
        <w:rPr>
          <w:i/>
          <w:vertAlign w:val="subscript"/>
        </w:rPr>
        <w:t>x,i</w:t>
      </w:r>
      <w:r w:rsidRPr="00160F53">
        <w:t>. The energy composite (</w:t>
      </w:r>
      <w:r w:rsidRPr="00D62B6B">
        <w:rPr>
          <w:b/>
          <w:i/>
        </w:rPr>
        <w:t>e</w:t>
      </w:r>
      <w:r w:rsidRPr="00160F53">
        <w:t>) is produced from electricity (</w:t>
      </w:r>
      <w:r w:rsidRPr="00160F53">
        <w:rPr>
          <w:bCs/>
          <w:i/>
        </w:rPr>
        <w:t>s</w:t>
      </w:r>
      <w:r w:rsidRPr="00160F53">
        <w:t>), heat (</w:t>
      </w:r>
      <w:r w:rsidRPr="00160F53">
        <w:rPr>
          <w:i/>
          <w:iCs/>
        </w:rPr>
        <w:t>h</w:t>
      </w:r>
      <w:r w:rsidRPr="00160F53">
        <w:t>) and fossil fuels (</w:t>
      </w:r>
      <w:r w:rsidRPr="00160F53">
        <w:rPr>
          <w:i/>
        </w:rPr>
        <w:t>f</w:t>
      </w:r>
      <w:r w:rsidRPr="00160F53">
        <w:t xml:space="preserve">), and the fossil fuel is a composite of five fuel inputs </w:t>
      </w:r>
      <w:r w:rsidRPr="00160F53">
        <w:rPr>
          <w:i/>
        </w:rPr>
        <w:t>f</w:t>
      </w:r>
      <w:r w:rsidRPr="00160F53">
        <w:rPr>
          <w:vertAlign w:val="subscript"/>
        </w:rPr>
        <w:t>1</w:t>
      </w:r>
      <w:r w:rsidRPr="00160F53">
        <w:t xml:space="preserve">, </w:t>
      </w:r>
      <w:r w:rsidRPr="00160F53">
        <w:rPr>
          <w:i/>
        </w:rPr>
        <w:t>f</w:t>
      </w:r>
      <w:r w:rsidRPr="00160F53">
        <w:rPr>
          <w:vertAlign w:val="subscript"/>
        </w:rPr>
        <w:t>2</w:t>
      </w:r>
      <w:r w:rsidRPr="00160F53">
        <w:t xml:space="preserve">, …, </w:t>
      </w:r>
      <w:r w:rsidRPr="00160F53">
        <w:rPr>
          <w:i/>
        </w:rPr>
        <w:t>f</w:t>
      </w:r>
      <w:r w:rsidRPr="00160F53">
        <w:rPr>
          <w:vertAlign w:val="subscript"/>
        </w:rPr>
        <w:t xml:space="preserve">5 </w:t>
      </w:r>
      <w:r w:rsidRPr="00160F53">
        <w:t>(coal, crude oil, natural gas</w:t>
      </w:r>
      <w:r w:rsidRPr="009452A9">
        <w:t xml:space="preserve">, </w:t>
      </w:r>
      <w:r w:rsidRPr="00542EB9">
        <w:t>gas manufacture &amp; distribution</w:t>
      </w:r>
      <w:r w:rsidRPr="00160F53">
        <w:t xml:space="preserve"> and petroleum products). Producers also employ factors of production labor (</w:t>
      </w:r>
      <w:r w:rsidRPr="00160F53">
        <w:rPr>
          <w:i/>
        </w:rPr>
        <w:t>m</w:t>
      </w:r>
      <w:r w:rsidRPr="00160F53">
        <w:t>), capital (</w:t>
      </w:r>
      <w:r w:rsidRPr="00160F53">
        <w:rPr>
          <w:i/>
        </w:rPr>
        <w:t>w</w:t>
      </w:r>
      <w:r w:rsidRPr="00160F53">
        <w:t>) and, if any, land (</w:t>
      </w:r>
      <w:r w:rsidRPr="00160F53">
        <w:rPr>
          <w:rFonts w:hint="eastAsia"/>
          <w:i/>
        </w:rPr>
        <w:t>lnd</w:t>
      </w:r>
      <w:r w:rsidRPr="00160F53">
        <w:t xml:space="preserve">). The output </w:t>
      </w:r>
      <w:r w:rsidR="0038014B" w:rsidRPr="00160F53">
        <w:rPr>
          <w:noProof/>
          <w:position w:val="-4"/>
        </w:rPr>
        <w:object w:dxaOrig="200" w:dyaOrig="220" w14:anchorId="28EE72F0">
          <v:shape id="_x0000_i1216" type="#_x0000_t75" alt="" style="width:8.45pt;height:8.45pt;mso-width-percent:0;mso-height-percent:0;mso-width-percent:0;mso-height-percent:0" o:ole="">
            <v:imagedata r:id="rId23" o:title=""/>
          </v:shape>
          <o:OLEObject Type="Embed" ProgID="Equation.DSMT4" ShapeID="_x0000_i1216" DrawAspect="Content" ObjectID="_1758969415" r:id="rId24"/>
        </w:object>
      </w:r>
      <w:r w:rsidRPr="00160F53">
        <w:t>is allocated toward the domestic market or the e</w:t>
      </w:r>
      <w:r w:rsidRPr="00B64E0A">
        <w:t xml:space="preserve">xport market. </w:t>
      </w:r>
      <w:r w:rsidR="0038014B" w:rsidRPr="00B64E0A">
        <w:rPr>
          <w:noProof/>
          <w:position w:val="-10"/>
        </w:rPr>
        <w:object w:dxaOrig="340" w:dyaOrig="320" w14:anchorId="7276F826">
          <v:shape id="_x0000_i1215" type="#_x0000_t75" alt="" style="width:15.55pt;height:14.8pt;mso-width-percent:0;mso-height-percent:0;mso-width-percent:0;mso-height-percent:0" o:ole="">
            <v:imagedata r:id="rId25" o:title=""/>
          </v:shape>
          <o:OLEObject Type="Embed" ProgID="Equation.DSMT4" ShapeID="_x0000_i1215" DrawAspect="Content" ObjectID="_1758969416" r:id="rId26"/>
        </w:object>
      </w:r>
      <w:r w:rsidRPr="00B64E0A">
        <w:t xml:space="preserve">and </w:t>
      </w:r>
      <w:r w:rsidR="0038014B" w:rsidRPr="00B64E0A">
        <w:rPr>
          <w:noProof/>
          <w:position w:val="-10"/>
        </w:rPr>
        <w:object w:dxaOrig="300" w:dyaOrig="320" w14:anchorId="71C4D77E">
          <v:shape id="_x0000_i1214" type="#_x0000_t75" alt="" style="width:14.1pt;height:14.8pt;mso-width-percent:0;mso-height-percent:0;mso-width-percent:0;mso-height-percent:0" o:ole="">
            <v:imagedata r:id="rId27" o:title=""/>
          </v:shape>
          <o:OLEObject Type="Embed" ProgID="Equation.DSMT4" ShapeID="_x0000_i1214" DrawAspect="Content" ObjectID="_1758969417" r:id="rId28"/>
        </w:object>
      </w:r>
      <w:r w:rsidRPr="00B64E0A">
        <w:t xml:space="preserve"> represent the output devoted to each of these markets.</w:t>
      </w:r>
    </w:p>
    <w:p w14:paraId="486F0BCD" w14:textId="77777777" w:rsidR="008F30F4" w:rsidRPr="004E3DF0" w:rsidRDefault="008F30F4" w:rsidP="008F30F4">
      <w:pPr>
        <w:ind w:firstLineChars="327" w:firstLine="719"/>
        <w:rPr>
          <w:sz w:val="22"/>
          <w:szCs w:val="22"/>
        </w:rPr>
      </w:pPr>
      <w:r w:rsidRPr="004E3DF0">
        <w:rPr>
          <w:rFonts w:eastAsia="SimSun" w:cs="Times New Roman"/>
          <w:color w:val="000000"/>
          <w:sz w:val="22"/>
          <w:szCs w:val="22"/>
        </w:rPr>
        <w:t xml:space="preserve">The model employs the constant-elasticity-of-substitution (CES) functional form for the production functions at each stage of the production nest. A general equation for this functional form is:  </w:t>
      </w:r>
    </w:p>
    <w:p w14:paraId="6724A0D2" w14:textId="77777777" w:rsidR="008F30F4" w:rsidRPr="004E3DF0" w:rsidRDefault="008F30F4" w:rsidP="008F30F4">
      <w:pPr>
        <w:pStyle w:val="a2"/>
      </w:pPr>
      <w:r w:rsidRPr="004E3DF0">
        <w:tab/>
      </w:r>
      <w:r w:rsidR="0038014B" w:rsidRPr="0069754B">
        <w:rPr>
          <w:noProof/>
          <w:position w:val="-28"/>
        </w:rPr>
        <w:object w:dxaOrig="1380" w:dyaOrig="800" w14:anchorId="3C616370">
          <v:shape id="_x0000_i1213" type="#_x0000_t75" alt="" style="width:67.75pt;height:40.95pt;mso-width-percent:0;mso-height-percent:0;mso-width-percent:0;mso-height-percent:0" o:ole="">
            <v:imagedata r:id="rId29" o:title=""/>
          </v:shape>
          <o:OLEObject Type="Embed" ProgID="Equation.DSMT4" ShapeID="_x0000_i1213" DrawAspect="Content" ObjectID="_1758969418" r:id="rId30"/>
        </w:object>
      </w:r>
      <w:r w:rsidRPr="004E3DF0">
        <w:tab/>
      </w:r>
      <w:r w:rsidRPr="004E3DF0">
        <w:fldChar w:fldCharType="begin"/>
      </w:r>
      <w:r w:rsidRPr="004E3DF0">
        <w:instrText xml:space="preserve"> MACROBUTTON MTPlaceRef \* MERGEFORMAT </w:instrText>
      </w:r>
      <w:r w:rsidRPr="004E3DF0">
        <w:fldChar w:fldCharType="begin"/>
      </w:r>
      <w:r w:rsidRPr="004E3DF0">
        <w:instrText xml:space="preserve"> SEQ MTEqn \h \* MERGEFORMAT </w:instrText>
      </w:r>
      <w:r w:rsidRPr="004E3DF0">
        <w:fldChar w:fldCharType="end"/>
      </w:r>
      <w:r w:rsidRPr="004E3DF0">
        <w:instrText>(</w:instrText>
      </w:r>
      <w:fldSimple w:instr=" SEQ MTSec \c \* Alphabetic \* MERGEFORMAT ">
        <w:r>
          <w:rPr>
            <w:noProof/>
          </w:rPr>
          <w:instrText>A</w:instrText>
        </w:r>
      </w:fldSimple>
      <w:fldSimple w:instr=" SEQ MTEqn \c \* Arabic \* MERGEFORMAT ">
        <w:r>
          <w:rPr>
            <w:noProof/>
          </w:rPr>
          <w:instrText>1</w:instrText>
        </w:r>
      </w:fldSimple>
      <w:r w:rsidRPr="004E3DF0">
        <w:instrText>)</w:instrText>
      </w:r>
      <w:r w:rsidRPr="004E3DF0">
        <w:fldChar w:fldCharType="end"/>
      </w:r>
    </w:p>
    <w:p w14:paraId="033A80F8" w14:textId="77777777" w:rsidR="008F30F4" w:rsidRPr="004E3DF0" w:rsidRDefault="008F30F4" w:rsidP="008F30F4">
      <w:pPr>
        <w:ind w:firstLine="0"/>
        <w:rPr>
          <w:rFonts w:eastAsia="DengXian" w:cs="Times New Roman"/>
          <w:color w:val="000000"/>
          <w:sz w:val="22"/>
          <w:szCs w:val="22"/>
        </w:rPr>
      </w:pPr>
      <w:r w:rsidRPr="004E3DF0">
        <w:rPr>
          <w:rFonts w:eastAsia="DengXian" w:cs="Times New Roman"/>
          <w:color w:val="000000"/>
          <w:sz w:val="22"/>
          <w:szCs w:val="22"/>
        </w:rPr>
        <w:t xml:space="preserve">where </w:t>
      </w:r>
      <w:r w:rsidR="0038014B" w:rsidRPr="00D5099F">
        <w:rPr>
          <w:noProof/>
          <w:position w:val="-26"/>
        </w:rPr>
        <w:object w:dxaOrig="780" w:dyaOrig="639" w14:anchorId="0664C2E2">
          <v:shape id="_x0000_i1212" type="#_x0000_t75" alt="" style="width:38.1pt;height:31.75pt;mso-width-percent:0;mso-height-percent:0;mso-width-percent:0;mso-height-percent:0" o:ole="">
            <v:imagedata r:id="rId31" o:title=""/>
          </v:shape>
          <o:OLEObject Type="Embed" ProgID="Equation.DSMT4" ShapeID="_x0000_i1212" DrawAspect="Content" ObjectID="_1758969419" r:id="rId32"/>
        </w:object>
      </w:r>
      <w:r w:rsidRPr="004E3DF0">
        <w:rPr>
          <w:rFonts w:eastAsia="DengXian" w:cs="Times New Roman"/>
          <w:color w:val="000000"/>
          <w:sz w:val="22"/>
          <w:szCs w:val="22"/>
        </w:rPr>
        <w:t xml:space="preserve">.  The parameter </w:t>
      </w:r>
      <w:r w:rsidR="0038014B" w:rsidRPr="00D5099F">
        <w:rPr>
          <w:noProof/>
          <w:position w:val="-10"/>
        </w:rPr>
        <w:object w:dxaOrig="220" w:dyaOrig="260" w14:anchorId="0AAAC149">
          <v:shape id="_x0000_i1211" type="#_x0000_t75" alt="" style="width:12.7pt;height:13.4pt;mso-width-percent:0;mso-height-percent:0;mso-width-percent:0;mso-height-percent:0" o:ole="">
            <v:imagedata r:id="rId33" o:title=""/>
          </v:shape>
          <o:OLEObject Type="Embed" ProgID="Equation.DSMT4" ShapeID="_x0000_i1211" DrawAspect="Content" ObjectID="_1758969420" r:id="rId34"/>
        </w:object>
      </w:r>
      <w:r>
        <w:rPr>
          <w:noProof/>
        </w:rPr>
        <w:t xml:space="preserve"> </w:t>
      </w:r>
      <w:r w:rsidRPr="004E3DF0">
        <w:rPr>
          <w:rFonts w:eastAsia="DengXian" w:cs="Times New Roman"/>
          <w:color w:val="000000"/>
          <w:sz w:val="22"/>
          <w:szCs w:val="22"/>
        </w:rPr>
        <w:t xml:space="preserve">is equal to </w:t>
      </w:r>
      <w:r w:rsidR="0038014B" w:rsidRPr="00D5099F">
        <w:rPr>
          <w:noProof/>
          <w:position w:val="-22"/>
        </w:rPr>
        <w:object w:dxaOrig="540" w:dyaOrig="580" w14:anchorId="668F3107">
          <v:shape id="_x0000_i1210" type="#_x0000_t75" alt="" style="width:27.55pt;height:28.25pt;mso-width-percent:0;mso-height-percent:0;mso-width-percent:0;mso-height-percent:0" o:ole="">
            <v:imagedata r:id="rId35" o:title=""/>
          </v:shape>
          <o:OLEObject Type="Embed" ProgID="Equation.DSMT4" ShapeID="_x0000_i1210" DrawAspect="Content" ObjectID="_1758969421" r:id="rId36"/>
        </w:object>
      </w:r>
      <w:r w:rsidRPr="004E3DF0">
        <w:rPr>
          <w:rFonts w:eastAsia="DengXian" w:cs="Times New Roman"/>
          <w:color w:val="000000"/>
          <w:sz w:val="22"/>
          <w:szCs w:val="22"/>
        </w:rPr>
        <w:t xml:space="preserve">, where </w:t>
      </w:r>
      <w:r w:rsidR="0038014B" w:rsidRPr="00D5099F">
        <w:rPr>
          <w:noProof/>
          <w:position w:val="-6"/>
        </w:rPr>
        <w:object w:dxaOrig="220" w:dyaOrig="200" w14:anchorId="4FA69D14">
          <v:shape id="_x0000_i1209" type="#_x0000_t75" alt="" style="width:12.7pt;height:8.45pt;mso-width-percent:0;mso-height-percent:0;mso-width-percent:0;mso-height-percent:0" o:ole="">
            <v:imagedata r:id="rId37" o:title=""/>
          </v:shape>
          <o:OLEObject Type="Embed" ProgID="Equation.DSMT4" ShapeID="_x0000_i1209" DrawAspect="Content" ObjectID="_1758969422" r:id="rId38"/>
        </w:object>
      </w:r>
      <w:r w:rsidRPr="004E3DF0">
        <w:rPr>
          <w:rFonts w:eastAsia="DengXian" w:cs="Times New Roman"/>
          <w:color w:val="000000"/>
          <w:sz w:val="22"/>
          <w:szCs w:val="22"/>
        </w:rPr>
        <w:t xml:space="preserve"> is the elasticity of substitution among </w:t>
      </w:r>
      <w:r w:rsidR="0038014B" w:rsidRPr="00D5099F">
        <w:rPr>
          <w:noProof/>
          <w:position w:val="-10"/>
        </w:rPr>
        <w:object w:dxaOrig="200" w:dyaOrig="320" w14:anchorId="7963F03C">
          <v:shape id="_x0000_i1208" type="#_x0000_t75" alt="" style="width:8.45pt;height:15.55pt;mso-width-percent:0;mso-height-percent:0;mso-width-percent:0;mso-height-percent:0" o:ole="">
            <v:imagedata r:id="rId39" o:title=""/>
          </v:shape>
          <o:OLEObject Type="Embed" ProgID="Equation.DSMT4" ShapeID="_x0000_i1208" DrawAspect="Content" ObjectID="_1758969423" r:id="rId40"/>
        </w:object>
      </w:r>
      <w:r w:rsidRPr="004E3DF0">
        <w:rPr>
          <w:rFonts w:eastAsia="DengXian" w:cs="Times New Roman"/>
          <w:color w:val="000000"/>
          <w:sz w:val="22"/>
          <w:szCs w:val="22"/>
        </w:rPr>
        <w:t xml:space="preserve"> in producing</w:t>
      </w:r>
      <w:r w:rsidRPr="004E3DF0">
        <w:rPr>
          <w:rFonts w:eastAsia="DengXian" w:cs="Times New Roman"/>
          <w:noProof/>
          <w:sz w:val="22"/>
          <w:szCs w:val="22"/>
        </w:rPr>
        <w:t xml:space="preserve"> </w:t>
      </w:r>
      <w:r w:rsidRPr="00D62B6B">
        <w:rPr>
          <w:rFonts w:eastAsia="DengXian" w:cs="Times New Roman"/>
          <w:i/>
          <w:iCs/>
          <w:noProof/>
          <w:sz w:val="22"/>
          <w:szCs w:val="22"/>
        </w:rPr>
        <w:t>V</w:t>
      </w:r>
      <w:r w:rsidRPr="004E3DF0">
        <w:rPr>
          <w:rFonts w:eastAsia="DengXian" w:cs="Times New Roman"/>
          <w:color w:val="000000"/>
          <w:sz w:val="22"/>
          <w:szCs w:val="22"/>
        </w:rPr>
        <w:t>.</w:t>
      </w:r>
      <w:r w:rsidRPr="004E3DF0">
        <w:rPr>
          <w:rFonts w:ascii="Times" w:eastAsia="DengXian" w:hAnsi="Times" w:cs="Times New Roman"/>
          <w:sz w:val="22"/>
          <w:szCs w:val="22"/>
        </w:rPr>
        <w:t xml:space="preserve"> </w:t>
      </w:r>
      <w:r w:rsidRPr="004E3DF0">
        <w:rPr>
          <w:rFonts w:eastAsia="DengXian" w:cs="Times New Roman"/>
          <w:color w:val="000000"/>
          <w:sz w:val="22"/>
          <w:szCs w:val="22"/>
        </w:rPr>
        <w:t xml:space="preserve">Equation (A1) indicates the relationship, at any given point of the nest, between a given composite and its underlying elements. A constant elasticity of transformation (CET) function maps the total output </w:t>
      </w:r>
      <w:r w:rsidR="0038014B" w:rsidRPr="00025957">
        <w:rPr>
          <w:noProof/>
          <w:position w:val="-4"/>
        </w:rPr>
        <w:object w:dxaOrig="220" w:dyaOrig="240" w14:anchorId="5D3D498E">
          <v:shape id="_x0000_i1207" type="#_x0000_t75" alt="" style="width:12.7pt;height:13.4pt;mso-width-percent:0;mso-height-percent:0;mso-width-percent:0;mso-height-percent:0" o:ole="">
            <v:imagedata r:id="rId41" o:title=""/>
          </v:shape>
          <o:OLEObject Type="Embed" ProgID="Equation.DSMT4" ShapeID="_x0000_i1207" DrawAspect="Content" ObjectID="_1758969424" r:id="rId42"/>
        </w:object>
      </w:r>
      <w:r w:rsidRPr="004E3DF0">
        <w:rPr>
          <w:rFonts w:eastAsia="DengXian" w:cs="Times New Roman"/>
          <w:color w:val="000000"/>
          <w:sz w:val="22"/>
          <w:szCs w:val="22"/>
        </w:rPr>
        <w:t xml:space="preserve">into the domestic supply </w:t>
      </w:r>
      <w:r w:rsidR="0038014B" w:rsidRPr="00D5099F">
        <w:rPr>
          <w:noProof/>
          <w:position w:val="-10"/>
        </w:rPr>
        <w:object w:dxaOrig="340" w:dyaOrig="320" w14:anchorId="764C28A6">
          <v:shape id="_x0000_i1206" type="#_x0000_t75" alt="" style="width:15.55pt;height:15.55pt;mso-width-percent:0;mso-height-percent:0;mso-width-percent:0;mso-height-percent:0" o:ole="">
            <v:imagedata r:id="rId43" o:title=""/>
          </v:shape>
          <o:OLEObject Type="Embed" ProgID="Equation.DSMT4" ShapeID="_x0000_i1206" DrawAspect="Content" ObjectID="_1758969425" r:id="rId44"/>
        </w:object>
      </w:r>
      <w:r>
        <w:rPr>
          <w:noProof/>
        </w:rPr>
        <w:t xml:space="preserve"> </w:t>
      </w:r>
      <w:r w:rsidRPr="004E3DF0">
        <w:rPr>
          <w:rFonts w:eastAsia="DengXian" w:cs="Times New Roman"/>
          <w:color w:val="000000"/>
          <w:sz w:val="22"/>
          <w:szCs w:val="22"/>
        </w:rPr>
        <w:t xml:space="preserve">and export </w:t>
      </w:r>
      <w:r w:rsidR="0038014B" w:rsidRPr="00D5099F">
        <w:rPr>
          <w:noProof/>
          <w:position w:val="-10"/>
        </w:rPr>
        <w:object w:dxaOrig="300" w:dyaOrig="320" w14:anchorId="0A0BB9D6">
          <v:shape id="_x0000_i1205" type="#_x0000_t75" alt="" style="width:14.8pt;height:15.55pt;mso-width-percent:0;mso-height-percent:0;mso-width-percent:0;mso-height-percent:0" o:ole="">
            <v:imagedata r:id="rId45" o:title=""/>
          </v:shape>
          <o:OLEObject Type="Embed" ProgID="Equation.DSMT4" ShapeID="_x0000_i1205" DrawAspect="Content" ObjectID="_1758969426" r:id="rId46"/>
        </w:object>
      </w:r>
      <w:r w:rsidRPr="004E3DF0">
        <w:rPr>
          <w:rFonts w:eastAsia="DengXian" w:cs="Times New Roman"/>
          <w:color w:val="000000"/>
          <w:sz w:val="22"/>
          <w:szCs w:val="22"/>
        </w:rPr>
        <w:t>.</w:t>
      </w:r>
    </w:p>
    <w:p w14:paraId="7672540D" w14:textId="77777777" w:rsidR="008F30F4" w:rsidRPr="004E3DF0" w:rsidRDefault="008F30F4" w:rsidP="008F30F4">
      <w:pPr>
        <w:pStyle w:val="a2"/>
      </w:pPr>
      <w:r w:rsidRPr="004E3DF0">
        <w:tab/>
      </w:r>
      <w:r w:rsidR="0038014B" w:rsidRPr="00D5099F">
        <w:rPr>
          <w:noProof/>
          <w:position w:val="-28"/>
        </w:rPr>
        <w:object w:dxaOrig="1980" w:dyaOrig="720" w14:anchorId="3340126B">
          <v:shape id="_x0000_i1204" type="#_x0000_t75" alt="" style="width:99.55pt;height:37.4pt;mso-width-percent:0;mso-height-percent:0;mso-width-percent:0;mso-height-percent:0" o:ole="">
            <v:imagedata r:id="rId47" o:title=""/>
          </v:shape>
          <o:OLEObject Type="Embed" ProgID="Equation.DSMT4" ShapeID="_x0000_i1204" DrawAspect="Content" ObjectID="_1758969427" r:id="rId48"/>
        </w:object>
      </w:r>
      <w:r w:rsidRPr="004E3DF0">
        <w:tab/>
      </w:r>
      <w:r w:rsidRPr="004E3DF0">
        <w:fldChar w:fldCharType="begin"/>
      </w:r>
      <w:r w:rsidRPr="004E3DF0">
        <w:instrText xml:space="preserve"> MACROBUTTON MTPlaceRef \* MERGEFORMAT </w:instrText>
      </w:r>
      <w:r w:rsidRPr="004E3DF0">
        <w:fldChar w:fldCharType="begin"/>
      </w:r>
      <w:r w:rsidRPr="004E3DF0">
        <w:instrText xml:space="preserve"> SEQ MTEqn \h \* MERGEFORMAT </w:instrText>
      </w:r>
      <w:r w:rsidRPr="004E3DF0">
        <w:fldChar w:fldCharType="end"/>
      </w:r>
      <w:r w:rsidRPr="004E3DF0">
        <w:instrText>(</w:instrText>
      </w:r>
      <w:fldSimple w:instr=" SEQ MTSec \c \* Alphabetic \* MERGEFORMAT ">
        <w:r>
          <w:rPr>
            <w:noProof/>
          </w:rPr>
          <w:instrText>A</w:instrText>
        </w:r>
      </w:fldSimple>
      <w:fldSimple w:instr=" SEQ MTEqn \c \* Arabic \* MERGEFORMAT ">
        <w:r>
          <w:rPr>
            <w:noProof/>
          </w:rPr>
          <w:instrText>2</w:instrText>
        </w:r>
      </w:fldSimple>
      <w:r w:rsidRPr="004E3DF0">
        <w:instrText>)</w:instrText>
      </w:r>
      <w:r w:rsidRPr="004E3DF0">
        <w:fldChar w:fldCharType="end"/>
      </w:r>
    </w:p>
    <w:p w14:paraId="1B0F6C24" w14:textId="77777777" w:rsidR="008F30F4" w:rsidRPr="004E3DF0" w:rsidRDefault="008F30F4" w:rsidP="008F30F4">
      <w:pPr>
        <w:pStyle w:val="a2"/>
      </w:pPr>
      <w:r w:rsidRPr="004E3DF0">
        <w:tab/>
      </w:r>
      <w:r w:rsidR="0038014B" w:rsidRPr="00D5099F">
        <w:rPr>
          <w:noProof/>
          <w:position w:val="-28"/>
        </w:rPr>
        <w:object w:dxaOrig="1880" w:dyaOrig="720" w14:anchorId="3715106D">
          <v:shape id="_x0000_i1203" type="#_x0000_t75" alt="" style="width:94.6pt;height:37.4pt;mso-width-percent:0;mso-height-percent:0;mso-width-percent:0;mso-height-percent:0" o:ole="">
            <v:imagedata r:id="rId49" o:title=""/>
          </v:shape>
          <o:OLEObject Type="Embed" ProgID="Equation.DSMT4" ShapeID="_x0000_i1203" DrawAspect="Content" ObjectID="_1758969428" r:id="rId50"/>
        </w:object>
      </w:r>
      <w:r w:rsidRPr="004E3DF0">
        <w:tab/>
      </w:r>
      <w:r w:rsidRPr="004E3DF0">
        <w:fldChar w:fldCharType="begin"/>
      </w:r>
      <w:r w:rsidRPr="004E3DF0">
        <w:instrText xml:space="preserve"> MACROBUTTON MTPlaceRef \* MERGEFORMAT </w:instrText>
      </w:r>
      <w:r w:rsidRPr="004E3DF0">
        <w:fldChar w:fldCharType="begin"/>
      </w:r>
      <w:r w:rsidRPr="004E3DF0">
        <w:instrText xml:space="preserve"> SEQ MTEqn \h \* MERGEFORMAT </w:instrText>
      </w:r>
      <w:r w:rsidRPr="004E3DF0">
        <w:fldChar w:fldCharType="end"/>
      </w:r>
      <w:r w:rsidRPr="004E3DF0">
        <w:instrText>(</w:instrText>
      </w:r>
      <w:fldSimple w:instr=" SEQ MTSec \c \* Alphabetic \* MERGEFORMAT ">
        <w:r>
          <w:rPr>
            <w:noProof/>
          </w:rPr>
          <w:instrText>A</w:instrText>
        </w:r>
      </w:fldSimple>
      <w:fldSimple w:instr=" SEQ MTEqn \c \* Arabic \* MERGEFORMAT ">
        <w:r>
          <w:rPr>
            <w:noProof/>
          </w:rPr>
          <w:instrText>3</w:instrText>
        </w:r>
      </w:fldSimple>
      <w:r w:rsidRPr="004E3DF0">
        <w:instrText>)</w:instrText>
      </w:r>
      <w:r w:rsidRPr="004E3DF0">
        <w:fldChar w:fldCharType="end"/>
      </w:r>
    </w:p>
    <w:p w14:paraId="39B45D65" w14:textId="77777777" w:rsidR="008F30F4" w:rsidRPr="009220C9" w:rsidRDefault="008F30F4" w:rsidP="008F30F4">
      <w:pPr>
        <w:ind w:firstLine="0"/>
        <w:rPr>
          <w:rFonts w:eastAsia="DengXian" w:cs="Times New Roman"/>
          <w:color w:val="000000"/>
          <w:sz w:val="22"/>
          <w:szCs w:val="22"/>
        </w:rPr>
      </w:pPr>
      <w:r w:rsidRPr="004E3DF0">
        <w:rPr>
          <w:rFonts w:eastAsia="DengXian" w:cs="Times New Roman"/>
          <w:color w:val="000000"/>
          <w:sz w:val="22"/>
          <w:szCs w:val="22"/>
        </w:rPr>
        <w:t xml:space="preserve">where </w:t>
      </w:r>
      <w:r w:rsidR="0038014B" w:rsidRPr="00D5099F">
        <w:rPr>
          <w:noProof/>
          <w:position w:val="-10"/>
        </w:rPr>
        <w:object w:dxaOrig="1160" w:dyaOrig="320" w14:anchorId="072AB06E">
          <v:shape id="_x0000_i1202" type="#_x0000_t75" alt="" style="width:57.9pt;height:15.55pt;mso-width-percent:0;mso-height-percent:0;mso-width-percent:0;mso-height-percent:0" o:ole="">
            <v:imagedata r:id="rId51" o:title=""/>
          </v:shape>
          <o:OLEObject Type="Embed" ProgID="Equation.DSMT4" ShapeID="_x0000_i1202" DrawAspect="Content" ObjectID="_1758969429" r:id="rId52"/>
        </w:object>
      </w:r>
      <w:r w:rsidRPr="004E3DF0">
        <w:rPr>
          <w:rFonts w:eastAsia="DengXian" w:cs="Times New Roman"/>
          <w:color w:val="000000"/>
          <w:sz w:val="22"/>
          <w:szCs w:val="22"/>
        </w:rPr>
        <w:t xml:space="preserve">, and </w:t>
      </w:r>
      <w:r w:rsidR="0038014B" w:rsidRPr="00D5099F">
        <w:rPr>
          <w:noProof/>
          <w:position w:val="-10"/>
        </w:rPr>
        <w:object w:dxaOrig="340" w:dyaOrig="320" w14:anchorId="3F900D11">
          <v:shape id="_x0000_i1201" type="#_x0000_t75" alt="" style="width:15.55pt;height:15.55pt;mso-width-percent:0;mso-height-percent:0;mso-width-percent:0;mso-height-percent:0" o:ole="">
            <v:imagedata r:id="rId53" o:title=""/>
          </v:shape>
          <o:OLEObject Type="Embed" ProgID="Equation.DSMT4" ShapeID="_x0000_i1201" DrawAspect="Content" ObjectID="_1758969430" r:id="rId54"/>
        </w:object>
      </w:r>
      <w:r w:rsidRPr="004E3DF0">
        <w:rPr>
          <w:rFonts w:eastAsia="DengXian" w:cs="Times New Roman"/>
          <w:color w:val="000000"/>
          <w:sz w:val="22"/>
          <w:szCs w:val="22"/>
        </w:rPr>
        <w:t xml:space="preserve"> is the elasticity of transformation between </w:t>
      </w:r>
      <w:r w:rsidR="0038014B" w:rsidRPr="00D5099F">
        <w:rPr>
          <w:noProof/>
          <w:position w:val="-10"/>
        </w:rPr>
        <w:object w:dxaOrig="340" w:dyaOrig="320" w14:anchorId="2A57D256">
          <v:shape id="_x0000_i1200" type="#_x0000_t75" alt="" style="width:15.55pt;height:15.55pt;mso-width-percent:0;mso-height-percent:0;mso-width-percent:0;mso-height-percent:0" o:ole="">
            <v:imagedata r:id="rId55" o:title=""/>
          </v:shape>
          <o:OLEObject Type="Embed" ProgID="Equation.DSMT4" ShapeID="_x0000_i1200" DrawAspect="Content" ObjectID="_1758969431" r:id="rId56"/>
        </w:object>
      </w:r>
      <w:r>
        <w:rPr>
          <w:noProof/>
        </w:rPr>
        <w:t xml:space="preserve"> </w:t>
      </w:r>
      <w:r w:rsidRPr="004E3DF0">
        <w:rPr>
          <w:rFonts w:eastAsia="DengXian" w:cs="Times New Roman"/>
          <w:color w:val="000000"/>
          <w:sz w:val="22"/>
          <w:szCs w:val="22"/>
        </w:rPr>
        <w:t xml:space="preserve">and </w:t>
      </w:r>
      <w:r w:rsidR="0038014B" w:rsidRPr="00D5099F">
        <w:rPr>
          <w:noProof/>
          <w:position w:val="-10"/>
        </w:rPr>
        <w:object w:dxaOrig="300" w:dyaOrig="320" w14:anchorId="08D73DE8">
          <v:shape id="_x0000_i1199" type="#_x0000_t75" alt="" style="width:14.8pt;height:15.55pt;mso-width-percent:0;mso-height-percent:0;mso-width-percent:0;mso-height-percent:0" o:ole="">
            <v:imagedata r:id="rId57" o:title=""/>
          </v:shape>
          <o:OLEObject Type="Embed" ProgID="Equation.DSMT4" ShapeID="_x0000_i1199" DrawAspect="Content" ObjectID="_1758969432" r:id="rId58"/>
        </w:object>
      </w:r>
      <w:r w:rsidRPr="004E3DF0">
        <w:rPr>
          <w:rFonts w:eastAsia="DengXian" w:cs="Times New Roman"/>
          <w:color w:val="000000"/>
          <w:sz w:val="22"/>
          <w:szCs w:val="22"/>
        </w:rPr>
        <w:t>.</w:t>
      </w:r>
      <w:r w:rsidR="0038014B" w:rsidRPr="00D5099F">
        <w:rPr>
          <w:noProof/>
          <w:position w:val="-10"/>
        </w:rPr>
        <w:object w:dxaOrig="380" w:dyaOrig="320" w14:anchorId="65086DE7">
          <v:shape id="_x0000_i1198" type="#_x0000_t75" alt="" style="width:19.75pt;height:15.55pt;mso-width-percent:0;mso-height-percent:0;mso-width-percent:0;mso-height-percent:0" o:ole="">
            <v:imagedata r:id="rId59" o:title=""/>
          </v:shape>
          <o:OLEObject Type="Embed" ProgID="Equation.DSMT4" ShapeID="_x0000_i1198" DrawAspect="Content" ObjectID="_1758969433" r:id="rId60"/>
        </w:object>
      </w:r>
      <w:r w:rsidRPr="004E3DF0">
        <w:rPr>
          <w:rFonts w:eastAsia="DengXian" w:cs="Times New Roman"/>
          <w:color w:val="000000"/>
          <w:sz w:val="22"/>
          <w:szCs w:val="22"/>
        </w:rPr>
        <w:t xml:space="preserve">, </w:t>
      </w:r>
      <w:r w:rsidR="0038014B" w:rsidRPr="00D5099F">
        <w:rPr>
          <w:noProof/>
          <w:position w:val="-10"/>
        </w:rPr>
        <w:object w:dxaOrig="340" w:dyaOrig="320" w14:anchorId="6919D243">
          <v:shape id="_x0000_i1197" type="#_x0000_t75" alt="" style="width:15.55pt;height:15.55pt;mso-width-percent:0;mso-height-percent:0;mso-width-percent:0;mso-height-percent:0" o:ole="">
            <v:imagedata r:id="rId61" o:title=""/>
          </v:shape>
          <o:OLEObject Type="Embed" ProgID="Equation.DSMT4" ShapeID="_x0000_i1197" DrawAspect="Content" ObjectID="_1758969434" r:id="rId62"/>
        </w:object>
      </w:r>
      <w:r w:rsidRPr="004E3DF0">
        <w:rPr>
          <w:rFonts w:eastAsia="DengXian" w:cs="Times New Roman"/>
          <w:color w:val="000000"/>
          <w:sz w:val="22"/>
          <w:szCs w:val="22"/>
        </w:rPr>
        <w:t xml:space="preserve"> and </w:t>
      </w:r>
      <w:r w:rsidR="0038014B" w:rsidRPr="00D5099F">
        <w:rPr>
          <w:noProof/>
          <w:position w:val="-10"/>
        </w:rPr>
        <w:object w:dxaOrig="220" w:dyaOrig="240" w14:anchorId="20663484">
          <v:shape id="_x0000_i1196" type="#_x0000_t75" alt="" style="width:12.7pt;height:13.4pt;mso-width-percent:0;mso-height-percent:0;mso-width-percent:0;mso-height-percent:0" o:ole="">
            <v:imagedata r:id="rId63" o:title=""/>
          </v:shape>
          <o:OLEObject Type="Embed" ProgID="Equation.DSMT4" ShapeID="_x0000_i1196" DrawAspect="Content" ObjectID="_1758969435" r:id="rId64"/>
        </w:object>
      </w:r>
      <w:r w:rsidRPr="004E3DF0">
        <w:rPr>
          <w:rFonts w:eastAsia="DengXian" w:cs="Times New Roman"/>
          <w:color w:val="000000"/>
          <w:sz w:val="22"/>
          <w:szCs w:val="22"/>
        </w:rPr>
        <w:t xml:space="preserve"> denote the domestic price, export price, and composite price of the produced good, respectively. As these functions indicate, the fraction of </w:t>
      </w:r>
      <w:r w:rsidRPr="004E3DF0">
        <w:rPr>
          <w:rFonts w:eastAsia="DengXian" w:cs="Times New Roman"/>
          <w:i/>
          <w:iCs/>
          <w:color w:val="000000"/>
          <w:sz w:val="22"/>
          <w:szCs w:val="22"/>
        </w:rPr>
        <w:t>Y</w:t>
      </w:r>
      <w:r w:rsidRPr="004E3DF0">
        <w:rPr>
          <w:rFonts w:eastAsia="DengXian" w:cs="Times New Roman"/>
          <w:color w:val="000000"/>
          <w:sz w:val="22"/>
          <w:szCs w:val="22"/>
        </w:rPr>
        <w:t xml:space="preserve"> devoted to the domestic market and exports is a function of the real prices of goods sold to the domestic and foreign markets. </w:t>
      </w:r>
      <w:r>
        <w:rPr>
          <w:rFonts w:eastAsia="DengXian" w:cs="Times New Roman"/>
          <w:color w:val="000000"/>
          <w:sz w:val="22"/>
          <w:szCs w:val="22"/>
        </w:rPr>
        <w:t>In all equations in this appendix</w:t>
      </w:r>
      <w:r w:rsidRPr="009220C9">
        <w:rPr>
          <w:rFonts w:eastAsia="DengXian" w:cs="Times New Roman"/>
          <w:color w:val="000000"/>
          <w:sz w:val="22"/>
          <w:szCs w:val="22"/>
        </w:rPr>
        <w:t>, the price</w:t>
      </w:r>
      <w:r>
        <w:rPr>
          <w:rFonts w:eastAsia="DengXian" w:cs="Times New Roman"/>
          <w:color w:val="000000"/>
          <w:sz w:val="22"/>
          <w:szCs w:val="22"/>
        </w:rPr>
        <w:t xml:space="preserve"> shown is</w:t>
      </w:r>
      <w:r w:rsidRPr="009220C9">
        <w:rPr>
          <w:rFonts w:eastAsia="DengXian" w:cs="Times New Roman"/>
          <w:color w:val="000000"/>
          <w:sz w:val="22"/>
          <w:szCs w:val="22"/>
        </w:rPr>
        <w:t xml:space="preserve"> </w:t>
      </w:r>
      <w:r>
        <w:rPr>
          <w:rFonts w:eastAsia="DengXian" w:cs="Times New Roman"/>
          <w:color w:val="000000"/>
          <w:sz w:val="22"/>
          <w:szCs w:val="22"/>
        </w:rPr>
        <w:t>inclusive of any tax and net of any subsidy.</w:t>
      </w:r>
      <w:r w:rsidRPr="009220C9" w:rsidDel="00376070">
        <w:rPr>
          <w:rFonts w:eastAsia="DengXian" w:cs="Times New Roman"/>
          <w:color w:val="000000"/>
          <w:sz w:val="22"/>
          <w:szCs w:val="22"/>
        </w:rPr>
        <w:t xml:space="preserve">  </w:t>
      </w:r>
    </w:p>
    <w:p w14:paraId="576FCDFF" w14:textId="77777777" w:rsidR="008F30F4" w:rsidRPr="00D62B6B" w:rsidRDefault="008F30F4" w:rsidP="008F30F4">
      <w:pPr>
        <w:ind w:firstLine="0"/>
        <w:rPr>
          <w:b/>
          <w:bCs/>
          <w:i/>
          <w:iCs/>
        </w:rPr>
      </w:pPr>
      <w:r w:rsidRPr="00D62B6B">
        <w:rPr>
          <w:b/>
          <w:bCs/>
          <w:i/>
          <w:iCs/>
        </w:rPr>
        <w:lastRenderedPageBreak/>
        <w:t>State-</w:t>
      </w:r>
      <w:r>
        <w:rPr>
          <w:b/>
          <w:bCs/>
          <w:i/>
          <w:iCs/>
        </w:rPr>
        <w:t>O</w:t>
      </w:r>
      <w:r w:rsidRPr="00D62B6B">
        <w:rPr>
          <w:b/>
          <w:bCs/>
          <w:i/>
          <w:iCs/>
        </w:rPr>
        <w:t xml:space="preserve">wned Enterprises </w:t>
      </w:r>
    </w:p>
    <w:p w14:paraId="773E9576" w14:textId="77777777" w:rsidR="008F30F4" w:rsidRPr="00596897" w:rsidRDefault="008F30F4" w:rsidP="008F30F4">
      <w:pPr>
        <w:ind w:firstLineChars="330" w:firstLine="726"/>
        <w:rPr>
          <w:rFonts w:cs="Times New Roman"/>
          <w:sz w:val="22"/>
          <w:szCs w:val="22"/>
        </w:rPr>
      </w:pPr>
      <w:r>
        <w:rPr>
          <w:rFonts w:cs="Times New Roman"/>
          <w:sz w:val="22"/>
          <w:szCs w:val="22"/>
        </w:rPr>
        <w:t>State-owned enterprises (</w:t>
      </w:r>
      <w:r w:rsidRPr="00596897">
        <w:rPr>
          <w:rFonts w:cs="Times New Roman"/>
          <w:sz w:val="22"/>
          <w:szCs w:val="22"/>
        </w:rPr>
        <w:t>SOEs</w:t>
      </w:r>
      <w:r>
        <w:rPr>
          <w:rFonts w:cs="Times New Roman"/>
          <w:sz w:val="22"/>
          <w:szCs w:val="22"/>
        </w:rPr>
        <w:t>)</w:t>
      </w:r>
      <w:r w:rsidRPr="00596897">
        <w:rPr>
          <w:rFonts w:cs="Times New Roman"/>
          <w:sz w:val="22"/>
          <w:szCs w:val="22"/>
        </w:rPr>
        <w:t xml:space="preserve"> and </w:t>
      </w:r>
      <w:r>
        <w:rPr>
          <w:rFonts w:cs="Times New Roman"/>
          <w:sz w:val="22"/>
          <w:szCs w:val="22"/>
        </w:rPr>
        <w:t>privately-owned enterprises</w:t>
      </w:r>
      <w:r w:rsidRPr="00596897">
        <w:rPr>
          <w:rFonts w:cs="Times New Roman"/>
          <w:sz w:val="22"/>
          <w:szCs w:val="22"/>
        </w:rPr>
        <w:t xml:space="preserve"> </w:t>
      </w:r>
      <w:r>
        <w:rPr>
          <w:rFonts w:cs="Times New Roman"/>
          <w:sz w:val="22"/>
          <w:szCs w:val="22"/>
        </w:rPr>
        <w:t>(</w:t>
      </w:r>
      <w:r w:rsidRPr="00596897">
        <w:rPr>
          <w:rFonts w:cs="Times New Roman"/>
          <w:sz w:val="22"/>
          <w:szCs w:val="22"/>
        </w:rPr>
        <w:t>POEs</w:t>
      </w:r>
      <w:r>
        <w:rPr>
          <w:rFonts w:cs="Times New Roman"/>
          <w:sz w:val="22"/>
          <w:szCs w:val="22"/>
        </w:rPr>
        <w:t>)</w:t>
      </w:r>
      <w:r w:rsidRPr="00596897">
        <w:rPr>
          <w:rFonts w:cs="Times New Roman"/>
          <w:sz w:val="22"/>
          <w:szCs w:val="22"/>
        </w:rPr>
        <w:t xml:space="preserve"> are modeled as profit-maximizing firms that enjoy subsidies and face taxes. SOEs receive favorable treatment relative to POEs through </w:t>
      </w:r>
      <w:r>
        <w:rPr>
          <w:rFonts w:cs="Times New Roman"/>
          <w:sz w:val="22"/>
          <w:szCs w:val="22"/>
        </w:rPr>
        <w:t>input</w:t>
      </w:r>
      <w:r w:rsidRPr="00596897">
        <w:rPr>
          <w:rFonts w:cs="Times New Roman"/>
          <w:sz w:val="22"/>
          <w:szCs w:val="22"/>
        </w:rPr>
        <w:t xml:space="preserve"> subsidies. Despite the SOEs’ favorable treatment, the two types of firms share the markets for specific products and receive the same prices for these products. </w:t>
      </w:r>
      <w:r w:rsidRPr="00D2632C">
        <w:rPr>
          <w:rFonts w:cs="Times New Roman"/>
          <w:sz w:val="22"/>
          <w:szCs w:val="22"/>
        </w:rPr>
        <w:t>For a given product, both SOEs and POEs choose levels of output that bring the marginal costs from their differing marginal cost functions up to the common output price.</w:t>
      </w:r>
    </w:p>
    <w:p w14:paraId="36F8CA4D" w14:textId="77777777" w:rsidR="008F30F4" w:rsidRPr="00596897" w:rsidRDefault="008F30F4" w:rsidP="008F30F4">
      <w:pPr>
        <w:ind w:firstLineChars="330" w:firstLine="726"/>
        <w:rPr>
          <w:rFonts w:cs="Times New Roman"/>
          <w:sz w:val="22"/>
          <w:szCs w:val="22"/>
        </w:rPr>
      </w:pPr>
      <w:r w:rsidRPr="00D2632C">
        <w:rPr>
          <w:rFonts w:cs="Times New Roman"/>
          <w:sz w:val="22"/>
          <w:szCs w:val="22"/>
        </w:rPr>
        <w:t xml:space="preserve">SOEs benefit from preferential treatment through lower interest rates in capital markets due to government subsidies </w:t>
      </w:r>
      <w:r>
        <w:rPr>
          <w:rFonts w:cs="Times New Roman"/>
          <w:sz w:val="22"/>
          <w:szCs w:val="22"/>
        </w:rPr>
        <w:t>(</w:t>
      </w:r>
      <w:r w:rsidRPr="00D2632C">
        <w:rPr>
          <w:rFonts w:cs="Times New Roman"/>
          <w:sz w:val="22"/>
          <w:szCs w:val="22"/>
        </w:rPr>
        <w:t xml:space="preserve">Cull and Xu, 2003; Guariglia </w:t>
      </w:r>
      <w:r w:rsidRPr="00D62B6B">
        <w:rPr>
          <w:rFonts w:cs="Times New Roman"/>
          <w:i/>
          <w:iCs/>
          <w:sz w:val="22"/>
          <w:szCs w:val="22"/>
        </w:rPr>
        <w:t>et al.</w:t>
      </w:r>
      <w:r w:rsidRPr="00D2632C">
        <w:rPr>
          <w:rFonts w:cs="Times New Roman"/>
          <w:sz w:val="22"/>
          <w:szCs w:val="22"/>
        </w:rPr>
        <w:t xml:space="preserve">, 2011; Song </w:t>
      </w:r>
      <w:r w:rsidRPr="00D62B6B">
        <w:rPr>
          <w:rFonts w:cs="Times New Roman"/>
          <w:i/>
          <w:iCs/>
          <w:sz w:val="22"/>
          <w:szCs w:val="22"/>
        </w:rPr>
        <w:t>et al.</w:t>
      </w:r>
      <w:r w:rsidRPr="00D2632C">
        <w:rPr>
          <w:rFonts w:cs="Times New Roman"/>
          <w:sz w:val="22"/>
          <w:szCs w:val="22"/>
        </w:rPr>
        <w:t xml:space="preserve">, 2011; Harrison </w:t>
      </w:r>
      <w:r w:rsidRPr="00D62B6B">
        <w:rPr>
          <w:rFonts w:cs="Times New Roman"/>
          <w:i/>
          <w:iCs/>
          <w:sz w:val="22"/>
          <w:szCs w:val="22"/>
        </w:rPr>
        <w:t>et al.,</w:t>
      </w:r>
      <w:r w:rsidRPr="00D2632C">
        <w:rPr>
          <w:rFonts w:cs="Times New Roman"/>
          <w:sz w:val="22"/>
          <w:szCs w:val="22"/>
        </w:rPr>
        <w:t xml:space="preserve"> 2019). These are modeled as subsidies to their capital inputs. SOEs also offer superior benefits to their employees, including higher social security and pensions. The associated higher labor costs are often offset by government transfers (Hering &amp; Poncet, 2010; Démurger </w:t>
      </w:r>
      <w:r w:rsidRPr="00D62B6B">
        <w:rPr>
          <w:rFonts w:cs="Times New Roman"/>
          <w:i/>
          <w:iCs/>
          <w:sz w:val="22"/>
          <w:szCs w:val="22"/>
        </w:rPr>
        <w:t>et al.</w:t>
      </w:r>
      <w:r w:rsidRPr="00D2632C">
        <w:rPr>
          <w:rFonts w:cs="Times New Roman"/>
          <w:sz w:val="22"/>
          <w:szCs w:val="22"/>
        </w:rPr>
        <w:t xml:space="preserve">, 2012; Berkowitz </w:t>
      </w:r>
      <w:r w:rsidRPr="00D62B6B">
        <w:rPr>
          <w:rFonts w:cs="Times New Roman"/>
          <w:i/>
          <w:iCs/>
          <w:sz w:val="22"/>
          <w:szCs w:val="22"/>
        </w:rPr>
        <w:t>et al.</w:t>
      </w:r>
      <w:r w:rsidRPr="00D2632C">
        <w:rPr>
          <w:rFonts w:cs="Times New Roman"/>
          <w:sz w:val="22"/>
          <w:szCs w:val="22"/>
        </w:rPr>
        <w:t>, 2017). This is captured via a higher tax rate on the labor input of SOEs and lump</w:t>
      </w:r>
      <w:r>
        <w:rPr>
          <w:rFonts w:cs="Times New Roman"/>
          <w:sz w:val="22"/>
          <w:szCs w:val="22"/>
        </w:rPr>
        <w:t>-</w:t>
      </w:r>
      <w:r w:rsidRPr="00D2632C">
        <w:rPr>
          <w:rFonts w:cs="Times New Roman"/>
          <w:sz w:val="22"/>
          <w:szCs w:val="22"/>
        </w:rPr>
        <w:t>sum transfers from the government to SOEs.</w:t>
      </w:r>
    </w:p>
    <w:p w14:paraId="0175BE53" w14:textId="77777777" w:rsidR="008F30F4" w:rsidRPr="00596897" w:rsidRDefault="008F30F4" w:rsidP="008F30F4">
      <w:pPr>
        <w:ind w:firstLineChars="330" w:firstLine="726"/>
        <w:rPr>
          <w:rFonts w:cs="Times New Roman"/>
          <w:sz w:val="22"/>
          <w:szCs w:val="22"/>
        </w:rPr>
      </w:pPr>
      <w:r w:rsidRPr="00D2632C">
        <w:rPr>
          <w:rFonts w:cs="Times New Roman"/>
          <w:sz w:val="22"/>
          <w:szCs w:val="22"/>
        </w:rPr>
        <w:t xml:space="preserve">The model assumes there are two representative firms in each sector (or in each subsector, when subsectors are identified), with one representing SOEs and one representing POEs. </w:t>
      </w:r>
    </w:p>
    <w:p w14:paraId="1D131B2B" w14:textId="77777777" w:rsidR="008F30F4" w:rsidRDefault="008F30F4" w:rsidP="008F30F4">
      <w:pPr>
        <w:ind w:firstLine="0"/>
        <w:rPr>
          <w:b/>
          <w:bCs/>
          <w:i/>
          <w:iCs/>
        </w:rPr>
      </w:pPr>
    </w:p>
    <w:p w14:paraId="01061020" w14:textId="77777777" w:rsidR="008F30F4" w:rsidRPr="00D62B6B" w:rsidRDefault="008F30F4" w:rsidP="008F30F4">
      <w:pPr>
        <w:ind w:firstLine="0"/>
        <w:rPr>
          <w:b/>
          <w:bCs/>
          <w:i/>
          <w:iCs/>
        </w:rPr>
      </w:pPr>
      <w:r w:rsidRPr="00D62B6B">
        <w:rPr>
          <w:b/>
          <w:bCs/>
          <w:i/>
          <w:iCs/>
        </w:rPr>
        <w:t>Administered Electricity Pricing</w:t>
      </w:r>
    </w:p>
    <w:p w14:paraId="60A54FE3" w14:textId="77777777" w:rsidR="008F30F4" w:rsidRPr="003466C6" w:rsidRDefault="008F30F4" w:rsidP="008F30F4">
      <w:pPr>
        <w:ind w:firstLine="660"/>
        <w:rPr>
          <w:rFonts w:eastAsia="DengXian" w:cs="Times New Roman"/>
          <w:color w:val="000000"/>
          <w:sz w:val="22"/>
          <w:szCs w:val="22"/>
        </w:rPr>
      </w:pPr>
      <w:r w:rsidRPr="003466C6">
        <w:rPr>
          <w:rFonts w:eastAsia="DengXian" w:cs="Times New Roman"/>
          <w:color w:val="000000"/>
          <w:sz w:val="22"/>
          <w:szCs w:val="22"/>
        </w:rPr>
        <w:t>In China’s electricity market</w:t>
      </w:r>
      <w:r>
        <w:rPr>
          <w:rFonts w:eastAsia="DengXian" w:cs="Times New Roman"/>
          <w:color w:val="000000"/>
          <w:sz w:val="22"/>
          <w:szCs w:val="22"/>
        </w:rPr>
        <w:t>s</w:t>
      </w:r>
      <w:r w:rsidRPr="003466C6">
        <w:rPr>
          <w:rFonts w:eastAsia="DengXian" w:cs="Times New Roman"/>
          <w:color w:val="000000"/>
          <w:sz w:val="22"/>
          <w:szCs w:val="22"/>
        </w:rPr>
        <w:t xml:space="preserve">, generators sell </w:t>
      </w:r>
      <w:r>
        <w:rPr>
          <w:rFonts w:eastAsia="DengXian" w:cs="Times New Roman"/>
          <w:color w:val="000000"/>
          <w:sz w:val="22"/>
          <w:szCs w:val="22"/>
        </w:rPr>
        <w:t xml:space="preserve">some of </w:t>
      </w:r>
      <w:r w:rsidRPr="003466C6">
        <w:rPr>
          <w:rFonts w:eastAsia="DengXian" w:cs="Times New Roman"/>
          <w:color w:val="000000"/>
          <w:sz w:val="22"/>
          <w:szCs w:val="22"/>
        </w:rPr>
        <w:t>their electricity</w:t>
      </w:r>
      <w:r>
        <w:rPr>
          <w:rFonts w:eastAsia="DengXian" w:cs="Times New Roman"/>
          <w:color w:val="000000"/>
          <w:sz w:val="22"/>
          <w:szCs w:val="22"/>
        </w:rPr>
        <w:t xml:space="preserve"> </w:t>
      </w:r>
      <w:r w:rsidRPr="003466C6">
        <w:rPr>
          <w:rFonts w:eastAsia="DengXian" w:cs="Times New Roman"/>
          <w:color w:val="000000"/>
          <w:sz w:val="22"/>
          <w:szCs w:val="22"/>
        </w:rPr>
        <w:t xml:space="preserve">at a government-administered price and </w:t>
      </w:r>
      <w:r>
        <w:rPr>
          <w:rFonts w:eastAsia="DengXian" w:cs="Times New Roman"/>
          <w:color w:val="000000"/>
          <w:sz w:val="22"/>
          <w:szCs w:val="22"/>
        </w:rPr>
        <w:t>some at market prices</w:t>
      </w:r>
      <w:r w:rsidRPr="003466C6">
        <w:rPr>
          <w:rFonts w:eastAsia="DengXian" w:cs="Times New Roman"/>
          <w:color w:val="000000"/>
          <w:sz w:val="22"/>
          <w:szCs w:val="22"/>
        </w:rPr>
        <w:t>. </w:t>
      </w:r>
      <w:r>
        <w:rPr>
          <w:rFonts w:eastAsia="DengXian" w:cs="Times New Roman"/>
          <w:color w:val="000000"/>
          <w:sz w:val="22"/>
          <w:szCs w:val="22"/>
        </w:rPr>
        <w:t xml:space="preserve">The market price applies at the margin, that is, for the supply beyond a government-specified quantity to which the administered price applies inframarginally. </w:t>
      </w:r>
      <w:r w:rsidRPr="005510DC">
        <w:rPr>
          <w:rFonts w:eastAsia="DengXian" w:cs="Times New Roman"/>
          <w:color w:val="000000"/>
          <w:sz w:val="22"/>
          <w:szCs w:val="22"/>
        </w:rPr>
        <w:t>The data indicates that</w:t>
      </w:r>
      <w:r>
        <w:rPr>
          <w:rFonts w:eastAsia="DengXian" w:cs="Times New Roman"/>
          <w:color w:val="000000"/>
          <w:sz w:val="22"/>
          <w:szCs w:val="22"/>
        </w:rPr>
        <w:t xml:space="preserve"> </w:t>
      </w:r>
      <w:r>
        <w:rPr>
          <w:rFonts w:eastAsia="DengXian" w:cs="Times New Roman" w:hint="eastAsia"/>
          <w:color w:val="000000"/>
          <w:sz w:val="22"/>
          <w:szCs w:val="22"/>
        </w:rPr>
        <w:t>t</w:t>
      </w:r>
      <w:r w:rsidRPr="000E584F">
        <w:rPr>
          <w:rFonts w:eastAsia="DengXian" w:cs="Times New Roman"/>
          <w:color w:val="000000"/>
          <w:sz w:val="22"/>
          <w:szCs w:val="22"/>
        </w:rPr>
        <w:t>he government-administered price is higher than the market price</w:t>
      </w:r>
      <w:r>
        <w:rPr>
          <w:rFonts w:eastAsia="DengXian" w:cs="Times New Roman"/>
          <w:color w:val="000000"/>
          <w:sz w:val="22"/>
          <w:szCs w:val="22"/>
        </w:rPr>
        <w:t xml:space="preserve"> (CEC, 2019)</w:t>
      </w:r>
      <w:r w:rsidRPr="000E584F">
        <w:rPr>
          <w:rFonts w:eastAsia="DengXian" w:cs="Times New Roman"/>
          <w:color w:val="000000"/>
          <w:sz w:val="22"/>
          <w:szCs w:val="22"/>
        </w:rPr>
        <w:t xml:space="preserve">. We assume the administered price </w:t>
      </w:r>
      <w:r>
        <w:rPr>
          <w:rFonts w:eastAsia="DengXian" w:cs="Times New Roman"/>
          <w:color w:val="000000"/>
          <w:sz w:val="22"/>
          <w:szCs w:val="22"/>
        </w:rPr>
        <w:t xml:space="preserve">will </w:t>
      </w:r>
      <w:r w:rsidRPr="000E584F">
        <w:rPr>
          <w:rFonts w:eastAsia="DengXian" w:cs="Times New Roman"/>
          <w:color w:val="000000"/>
          <w:sz w:val="22"/>
          <w:szCs w:val="22"/>
        </w:rPr>
        <w:t>remain constant at the level</w:t>
      </w:r>
      <w:r w:rsidRPr="00D62B6B">
        <w:rPr>
          <w:rFonts w:eastAsia="DengXian" w:cs="Times New Roman"/>
          <w:color w:val="000000"/>
          <w:sz w:val="22"/>
          <w:szCs w:val="22"/>
        </w:rPr>
        <w:t xml:space="preserve"> in the data</w:t>
      </w:r>
      <w:r w:rsidRPr="000E584F">
        <w:rPr>
          <w:rFonts w:eastAsia="DengXian" w:cs="Times New Roman"/>
          <w:color w:val="000000"/>
          <w:sz w:val="22"/>
          <w:szCs w:val="22"/>
        </w:rPr>
        <w:t xml:space="preserve">, while the share of the administered electricity </w:t>
      </w:r>
      <w:r>
        <w:rPr>
          <w:rFonts w:eastAsia="DengXian" w:cs="Times New Roman"/>
          <w:color w:val="000000"/>
          <w:sz w:val="22"/>
          <w:szCs w:val="22"/>
        </w:rPr>
        <w:t xml:space="preserve">will </w:t>
      </w:r>
      <w:r w:rsidRPr="000E584F">
        <w:rPr>
          <w:rFonts w:eastAsia="DengXian" w:cs="Times New Roman"/>
          <w:color w:val="000000"/>
          <w:sz w:val="22"/>
          <w:szCs w:val="22"/>
        </w:rPr>
        <w:t>decrease linearly to zero before 2025, following the expectation that China’s electricity market will be fully liberalized by 2025. Thus, the model incorporates administered pricing only through 2024.</w:t>
      </w:r>
    </w:p>
    <w:p w14:paraId="40F698C3" w14:textId="77777777" w:rsidR="008F30F4" w:rsidRPr="003466C6" w:rsidRDefault="008F30F4" w:rsidP="008F30F4">
      <w:pPr>
        <w:ind w:firstLine="660"/>
        <w:rPr>
          <w:rFonts w:eastAsia="DengXian" w:cs="Times New Roman"/>
          <w:color w:val="000000"/>
          <w:sz w:val="22"/>
          <w:szCs w:val="22"/>
        </w:rPr>
      </w:pPr>
      <w:r>
        <w:rPr>
          <w:rFonts w:eastAsia="DengXian" w:cs="Times New Roman"/>
          <w:color w:val="000000"/>
          <w:sz w:val="22"/>
          <w:szCs w:val="22"/>
        </w:rPr>
        <w:t xml:space="preserve">A piecewise marginal revenue function captures the hybrid pricing structure. Three cases apply. Let </w:t>
      </w:r>
      <w:r w:rsidR="0038014B" w:rsidRPr="000569DF">
        <w:rPr>
          <w:noProof/>
          <w:position w:val="-10"/>
        </w:rPr>
        <w:object w:dxaOrig="260" w:dyaOrig="320" w14:anchorId="7C276A17">
          <v:shape id="_x0000_i1195" type="#_x0000_t75" alt="" style="width:13.4pt;height:14.8pt;mso-width-percent:0;mso-height-percent:0;mso-width-percent:0;mso-height-percent:0" o:ole="">
            <v:imagedata r:id="rId65" o:title=""/>
          </v:shape>
          <o:OLEObject Type="Embed" ProgID="Equation.DSMT4" ShapeID="_x0000_i1195" DrawAspect="Content" ObjectID="_1758969436" r:id="rId66"/>
        </w:object>
      </w:r>
      <w:r>
        <w:rPr>
          <w:rFonts w:eastAsia="DengXian" w:cs="Times New Roman"/>
          <w:color w:val="000000"/>
          <w:sz w:val="22"/>
          <w:szCs w:val="22"/>
        </w:rPr>
        <w:t xml:space="preserve"> represent the level of output at which administered pricing no longer applies.  There are three cases:  </w:t>
      </w:r>
    </w:p>
    <w:p w14:paraId="4F4F3DA4" w14:textId="77777777" w:rsidR="008F30F4" w:rsidRPr="003466C6" w:rsidRDefault="008F30F4" w:rsidP="008F30F4">
      <w:pPr>
        <w:spacing w:line="240" w:lineRule="auto"/>
        <w:ind w:left="660" w:firstLine="0"/>
        <w:rPr>
          <w:sz w:val="22"/>
          <w:szCs w:val="22"/>
        </w:rPr>
      </w:pPr>
      <w:r w:rsidRPr="003466C6">
        <w:rPr>
          <w:i/>
          <w:iCs/>
          <w:sz w:val="22"/>
          <w:szCs w:val="22"/>
        </w:rPr>
        <w:t>Case i)</w:t>
      </w:r>
      <w:r w:rsidRPr="003466C6">
        <w:rPr>
          <w:b/>
          <w:bCs/>
          <w:sz w:val="22"/>
          <w:szCs w:val="22"/>
        </w:rPr>
        <w:t xml:space="preserve"> </w:t>
      </w:r>
      <w:r w:rsidRPr="003466C6">
        <w:rPr>
          <w:sz w:val="22"/>
          <w:szCs w:val="22"/>
        </w:rPr>
        <w:t xml:space="preserve">For firms that produce output above </w:t>
      </w:r>
      <w:r w:rsidR="0038014B" w:rsidRPr="002F0B8D">
        <w:rPr>
          <w:noProof/>
          <w:position w:val="-10"/>
        </w:rPr>
        <w:object w:dxaOrig="260" w:dyaOrig="320" w14:anchorId="0B196540">
          <v:shape id="_x0000_i1194" type="#_x0000_t75" alt="" style="width:13.4pt;height:15.55pt;mso-width-percent:0;mso-height-percent:0;mso-width-percent:0;mso-height-percent:0" o:ole="">
            <v:imagedata r:id="rId67" o:title=""/>
          </v:shape>
          <o:OLEObject Type="Embed" ProgID="Equation.DSMT4" ShapeID="_x0000_i1194" DrawAspect="Content" ObjectID="_1758969437" r:id="rId68"/>
        </w:object>
      </w:r>
      <w:r w:rsidRPr="003466C6">
        <w:rPr>
          <w:rFonts w:eastAsia="DengXian" w:cs="Times New Roman"/>
          <w:color w:val="000000"/>
          <w:sz w:val="22"/>
          <w:szCs w:val="22"/>
        </w:rPr>
        <w:t xml:space="preserve">, the </w:t>
      </w:r>
      <w:r w:rsidRPr="003466C6">
        <w:rPr>
          <w:sz w:val="22"/>
          <w:szCs w:val="22"/>
        </w:rPr>
        <w:t xml:space="preserve">marginal cost </w:t>
      </w:r>
      <w:r>
        <w:rPr>
          <w:sz w:val="22"/>
          <w:szCs w:val="22"/>
        </w:rPr>
        <w:t>is</w:t>
      </w:r>
      <w:r w:rsidRPr="003466C6">
        <w:rPr>
          <w:sz w:val="22"/>
          <w:szCs w:val="22"/>
        </w:rPr>
        <w:t xml:space="preserve"> below the market price at the quantity </w:t>
      </w:r>
      <w:r w:rsidR="0038014B" w:rsidRPr="002F0B8D">
        <w:rPr>
          <w:noProof/>
          <w:position w:val="-10"/>
        </w:rPr>
        <w:object w:dxaOrig="260" w:dyaOrig="320" w14:anchorId="156261DA">
          <v:shape id="_x0000_i1193" type="#_x0000_t75" alt="" style="width:13.4pt;height:15.55pt;mso-width-percent:0;mso-height-percent:0;mso-width-percent:0;mso-height-percent:0" o:ole="">
            <v:imagedata r:id="rId69" o:title=""/>
          </v:shape>
          <o:OLEObject Type="Embed" ProgID="Equation.DSMT4" ShapeID="_x0000_i1193" DrawAspect="Content" ObjectID="_1758969438" r:id="rId70"/>
        </w:object>
      </w:r>
      <w:r w:rsidRPr="003466C6">
        <w:rPr>
          <w:rFonts w:eastAsia="DengXian" w:cs="Times New Roman"/>
          <w:color w:val="000000"/>
          <w:sz w:val="22"/>
          <w:szCs w:val="22"/>
        </w:rPr>
        <w:t xml:space="preserve">, </w:t>
      </w:r>
      <w:r w:rsidRPr="003466C6">
        <w:rPr>
          <w:sz w:val="22"/>
          <w:szCs w:val="22"/>
        </w:rPr>
        <w:t xml:space="preserve">so firms have incentives to exceed </w:t>
      </w:r>
      <w:r w:rsidR="0038014B" w:rsidRPr="002F0B8D">
        <w:rPr>
          <w:noProof/>
          <w:position w:val="-10"/>
        </w:rPr>
        <w:object w:dxaOrig="260" w:dyaOrig="320" w14:anchorId="05B815E3">
          <v:shape id="_x0000_i1192" type="#_x0000_t75" alt="" style="width:13.4pt;height:15.55pt;mso-width-percent:0;mso-height-percent:0;mso-width-percent:0;mso-height-percent:0" o:ole="">
            <v:imagedata r:id="rId71" o:title=""/>
          </v:shape>
          <o:OLEObject Type="Embed" ProgID="Equation.DSMT4" ShapeID="_x0000_i1192" DrawAspect="Content" ObjectID="_1758969439" r:id="rId72"/>
        </w:object>
      </w:r>
      <w:r w:rsidRPr="003466C6">
        <w:rPr>
          <w:rFonts w:eastAsia="DengXian" w:cs="Times New Roman"/>
          <w:color w:val="000000"/>
          <w:sz w:val="22"/>
          <w:szCs w:val="22"/>
        </w:rPr>
        <w:t xml:space="preserve"> </w:t>
      </w:r>
      <w:r w:rsidRPr="003466C6">
        <w:rPr>
          <w:sz w:val="22"/>
          <w:szCs w:val="22"/>
        </w:rPr>
        <w:t xml:space="preserve">and face the market price at the margin.  Total expenditure on electricity by electricity consumers exceeds </w:t>
      </w:r>
      <w:r w:rsidR="0038014B" w:rsidRPr="002F0B8D">
        <w:rPr>
          <w:noProof/>
          <w:position w:val="-10"/>
        </w:rPr>
        <w:object w:dxaOrig="480" w:dyaOrig="300" w14:anchorId="7AB8E315">
          <v:shape id="_x0000_i1191" type="#_x0000_t75" alt="" style="width:24pt;height:14.8pt;mso-width-percent:0;mso-height-percent:0;mso-width-percent:0;mso-height-percent:0" o:ole="">
            <v:imagedata r:id="rId73" o:title=""/>
          </v:shape>
          <o:OLEObject Type="Embed" ProgID="Equation.DSMT4" ShapeID="_x0000_i1191" DrawAspect="Content" ObjectID="_1758969440" r:id="rId74"/>
        </w:object>
      </w:r>
      <w:r w:rsidRPr="003466C6">
        <w:rPr>
          <w:sz w:val="22"/>
          <w:szCs w:val="22"/>
        </w:rPr>
        <w:t xml:space="preserve">: </w:t>
      </w:r>
      <w:r w:rsidRPr="003466C6">
        <w:rPr>
          <w:sz w:val="22"/>
          <w:szCs w:val="22"/>
        </w:rPr>
        <w:lastRenderedPageBreak/>
        <w:t xml:space="preserve">this total is </w:t>
      </w:r>
      <w:r w:rsidR="0038014B" w:rsidRPr="00D5099F">
        <w:rPr>
          <w:noProof/>
          <w:position w:val="-10"/>
        </w:rPr>
        <w:object w:dxaOrig="1719" w:dyaOrig="320" w14:anchorId="0AB45DCD">
          <v:shape id="_x0000_i1190" type="#_x0000_t75" alt="" style="width:85.4pt;height:15.55pt;mso-width-percent:0;mso-height-percent:0;mso-width-percent:0;mso-height-percent:0" o:ole="">
            <v:imagedata r:id="rId75" o:title=""/>
          </v:shape>
          <o:OLEObject Type="Embed" ProgID="Equation.DSMT4" ShapeID="_x0000_i1190" DrawAspect="Content" ObjectID="_1758969441" r:id="rId76"/>
        </w:object>
      </w:r>
      <w:r w:rsidRPr="003466C6">
        <w:rPr>
          <w:sz w:val="22"/>
          <w:szCs w:val="22"/>
        </w:rPr>
        <w:t xml:space="preserve">. The electricity consumers effectively face a lump-sum tax of </w:t>
      </w:r>
      <w:r w:rsidR="0038014B" w:rsidRPr="00D5099F">
        <w:rPr>
          <w:noProof/>
          <w:position w:val="-10"/>
        </w:rPr>
        <w:object w:dxaOrig="1120" w:dyaOrig="320" w14:anchorId="61C2A18E">
          <v:shape id="_x0000_i1189" type="#_x0000_t75" alt="" style="width:56.45pt;height:15.55pt;mso-width-percent:0;mso-height-percent:0;mso-width-percent:0;mso-height-percent:0" o:ole="">
            <v:imagedata r:id="rId77" o:title=""/>
          </v:shape>
          <o:OLEObject Type="Embed" ProgID="Equation.DSMT4" ShapeID="_x0000_i1189" DrawAspect="Content" ObjectID="_1758969442" r:id="rId78"/>
        </w:object>
      </w:r>
      <w:r w:rsidRPr="003466C6">
        <w:rPr>
          <w:sz w:val="22"/>
          <w:szCs w:val="22"/>
        </w:rPr>
        <w:t>.</w:t>
      </w:r>
    </w:p>
    <w:p w14:paraId="2DFC9D63" w14:textId="77777777" w:rsidR="008F30F4" w:rsidRPr="003466C6" w:rsidRDefault="008F30F4" w:rsidP="008F30F4">
      <w:pPr>
        <w:spacing w:line="240" w:lineRule="auto"/>
        <w:ind w:left="660" w:firstLine="0"/>
        <w:rPr>
          <w:sz w:val="22"/>
          <w:szCs w:val="22"/>
        </w:rPr>
      </w:pPr>
      <w:r w:rsidRPr="003466C6">
        <w:rPr>
          <w:i/>
          <w:iCs/>
          <w:sz w:val="22"/>
          <w:szCs w:val="22"/>
        </w:rPr>
        <w:t>Case ii)</w:t>
      </w:r>
      <w:r w:rsidRPr="003466C6">
        <w:rPr>
          <w:sz w:val="22"/>
          <w:szCs w:val="22"/>
        </w:rPr>
        <w:t xml:space="preserve"> For firms that would produce less than </w:t>
      </w:r>
      <w:r w:rsidR="0038014B" w:rsidRPr="00D5099F">
        <w:rPr>
          <w:noProof/>
          <w:position w:val="-10"/>
        </w:rPr>
        <w:object w:dxaOrig="260" w:dyaOrig="320" w14:anchorId="1D5DBC00">
          <v:shape id="_x0000_i1188" type="#_x0000_t75" alt="" style="width:13.4pt;height:15.55pt;mso-width-percent:0;mso-height-percent:0;mso-width-percent:0;mso-height-percent:0" o:ole="">
            <v:imagedata r:id="rId79" o:title=""/>
          </v:shape>
          <o:OLEObject Type="Embed" ProgID="Equation.DSMT4" ShapeID="_x0000_i1188" DrawAspect="Content" ObjectID="_1758969443" r:id="rId80"/>
        </w:object>
      </w:r>
      <w:r w:rsidRPr="003466C6">
        <w:rPr>
          <w:sz w:val="22"/>
          <w:szCs w:val="22"/>
        </w:rPr>
        <w:t>,</w:t>
      </w:r>
      <w:r w:rsidRPr="003466C6">
        <w:rPr>
          <w:rFonts w:eastAsia="DengXian" w:cs="Times New Roman"/>
          <w:color w:val="000000"/>
          <w:sz w:val="22"/>
          <w:szCs w:val="22"/>
        </w:rPr>
        <w:t xml:space="preserve"> the </w:t>
      </w:r>
      <w:r w:rsidRPr="003466C6">
        <w:rPr>
          <w:sz w:val="22"/>
          <w:szCs w:val="22"/>
        </w:rPr>
        <w:t xml:space="preserve">marginal cost at the level </w:t>
      </w:r>
      <w:r w:rsidR="0038014B" w:rsidRPr="00D5099F">
        <w:rPr>
          <w:noProof/>
          <w:position w:val="-10"/>
        </w:rPr>
        <w:object w:dxaOrig="260" w:dyaOrig="320" w14:anchorId="580BEFFC">
          <v:shape id="_x0000_i1187" type="#_x0000_t75" alt="" style="width:13.4pt;height:15.55pt;mso-width-percent:0;mso-height-percent:0;mso-width-percent:0;mso-height-percent:0" o:ole="">
            <v:imagedata r:id="rId81" o:title=""/>
          </v:shape>
          <o:OLEObject Type="Embed" ProgID="Equation.DSMT4" ShapeID="_x0000_i1187" DrawAspect="Content" ObjectID="_1758969444" r:id="rId82"/>
        </w:object>
      </w:r>
      <w:r w:rsidRPr="003466C6">
        <w:rPr>
          <w:sz w:val="22"/>
          <w:szCs w:val="22"/>
        </w:rPr>
        <w:t xml:space="preserve"> is higher than the administered price </w:t>
      </w:r>
      <w:r w:rsidR="0038014B" w:rsidRPr="00D5099F">
        <w:rPr>
          <w:noProof/>
          <w:position w:val="-10"/>
        </w:rPr>
        <w:object w:dxaOrig="300" w:dyaOrig="320" w14:anchorId="440B3BB4">
          <v:shape id="_x0000_i1186" type="#_x0000_t75" alt="" style="width:14.8pt;height:15.55pt;mso-width-percent:0;mso-height-percent:0;mso-width-percent:0;mso-height-percent:0" o:ole="">
            <v:imagedata r:id="rId83" o:title=""/>
          </v:shape>
          <o:OLEObject Type="Embed" ProgID="Equation.DSMT4" ShapeID="_x0000_i1186" DrawAspect="Content" ObjectID="_1758969445" r:id="rId84"/>
        </w:object>
      </w:r>
      <w:r w:rsidRPr="003466C6">
        <w:rPr>
          <w:sz w:val="22"/>
          <w:szCs w:val="22"/>
        </w:rPr>
        <w:t xml:space="preserve">. The profit-maximizing output level is </w:t>
      </w:r>
      <w:r w:rsidR="0038014B" w:rsidRPr="00D5099F">
        <w:rPr>
          <w:noProof/>
          <w:position w:val="-10"/>
        </w:rPr>
        <w:object w:dxaOrig="620" w:dyaOrig="320" w14:anchorId="1D037155">
          <v:shape id="_x0000_i1185" type="#_x0000_t75" alt="" style="width:31.75pt;height:15.55pt;mso-width-percent:0;mso-height-percent:0;mso-width-percent:0;mso-height-percent:0" o:ole="">
            <v:imagedata r:id="rId85" o:title=""/>
          </v:shape>
          <o:OLEObject Type="Embed" ProgID="Equation.DSMT4" ShapeID="_x0000_i1185" DrawAspect="Content" ObjectID="_1758969446" r:id="rId86"/>
        </w:object>
      </w:r>
      <w:r w:rsidRPr="003466C6">
        <w:rPr>
          <w:sz w:val="22"/>
          <w:szCs w:val="22"/>
        </w:rPr>
        <w:t xml:space="preserve">. All of their electricity is sold at the price </w:t>
      </w:r>
      <w:r w:rsidR="0038014B" w:rsidRPr="00D5099F">
        <w:rPr>
          <w:noProof/>
          <w:position w:val="-10"/>
        </w:rPr>
        <w:object w:dxaOrig="300" w:dyaOrig="320" w14:anchorId="5FB92872">
          <v:shape id="_x0000_i1184" type="#_x0000_t75" alt="" style="width:14.8pt;height:15.55pt;mso-width-percent:0;mso-height-percent:0;mso-width-percent:0;mso-height-percent:0" o:ole="">
            <v:imagedata r:id="rId87" o:title=""/>
          </v:shape>
          <o:OLEObject Type="Embed" ProgID="Equation.DSMT4" ShapeID="_x0000_i1184" DrawAspect="Content" ObjectID="_1758969447" r:id="rId88"/>
        </w:object>
      </w:r>
      <w:r w:rsidRPr="003466C6">
        <w:rPr>
          <w:sz w:val="22"/>
          <w:szCs w:val="22"/>
        </w:rPr>
        <w:t xml:space="preserve">.  </w:t>
      </w:r>
    </w:p>
    <w:p w14:paraId="4F2EAC84" w14:textId="77777777" w:rsidR="008F30F4" w:rsidRDefault="008F30F4" w:rsidP="008F30F4">
      <w:pPr>
        <w:spacing w:line="240" w:lineRule="auto"/>
        <w:ind w:left="660" w:firstLine="0"/>
        <w:rPr>
          <w:sz w:val="22"/>
          <w:szCs w:val="22"/>
        </w:rPr>
      </w:pPr>
      <w:r w:rsidRPr="003466C6">
        <w:rPr>
          <w:i/>
          <w:iCs/>
          <w:sz w:val="22"/>
          <w:szCs w:val="22"/>
        </w:rPr>
        <w:t>Case iii)</w:t>
      </w:r>
      <w:r w:rsidRPr="003466C6">
        <w:rPr>
          <w:sz w:val="22"/>
          <w:szCs w:val="22"/>
        </w:rPr>
        <w:t xml:space="preserve"> </w:t>
      </w:r>
      <w:r w:rsidRPr="002F3961">
        <w:rPr>
          <w:sz w:val="22"/>
          <w:szCs w:val="22"/>
        </w:rPr>
        <w:t xml:space="preserve">For firms that would </w:t>
      </w:r>
      <w:r w:rsidRPr="000E584F">
        <w:rPr>
          <w:sz w:val="22"/>
          <w:szCs w:val="22"/>
        </w:rPr>
        <w:t xml:space="preserve">produce </w:t>
      </w:r>
      <w:r w:rsidR="0038014B" w:rsidRPr="00D5099F">
        <w:rPr>
          <w:noProof/>
          <w:position w:val="-10"/>
        </w:rPr>
        <w:object w:dxaOrig="260" w:dyaOrig="320" w14:anchorId="1D8BD9EB">
          <v:shape id="_x0000_i1183" type="#_x0000_t75" alt="" style="width:13.4pt;height:15.55pt;mso-width-percent:0;mso-height-percent:0;mso-width-percent:0;mso-height-percent:0" o:ole="">
            <v:imagedata r:id="rId89" o:title=""/>
          </v:shape>
          <o:OLEObject Type="Embed" ProgID="Equation.DSMT4" ShapeID="_x0000_i1183" DrawAspect="Content" ObjectID="_1758969448" r:id="rId90"/>
        </w:object>
      </w:r>
      <w:r w:rsidRPr="000E584F">
        <w:rPr>
          <w:sz w:val="22"/>
          <w:szCs w:val="22"/>
        </w:rPr>
        <w:t xml:space="preserve">, the marginal cost </w:t>
      </w:r>
      <w:r w:rsidRPr="003466C6">
        <w:rPr>
          <w:sz w:val="22"/>
          <w:szCs w:val="22"/>
        </w:rPr>
        <w:t xml:space="preserve">at the level </w:t>
      </w:r>
      <w:r w:rsidR="0038014B" w:rsidRPr="00D5099F">
        <w:rPr>
          <w:noProof/>
          <w:position w:val="-10"/>
        </w:rPr>
        <w:object w:dxaOrig="260" w:dyaOrig="320" w14:anchorId="75FF83B4">
          <v:shape id="_x0000_i1182" type="#_x0000_t75" alt="" style="width:13.4pt;height:15.55pt;mso-width-percent:0;mso-height-percent:0;mso-width-percent:0;mso-height-percent:0" o:ole="">
            <v:imagedata r:id="rId81" o:title=""/>
          </v:shape>
          <o:OLEObject Type="Embed" ProgID="Equation.DSMT4" ShapeID="_x0000_i1182" DrawAspect="Content" ObjectID="_1758969449" r:id="rId91"/>
        </w:object>
      </w:r>
      <w:r>
        <w:rPr>
          <w:noProof/>
        </w:rPr>
        <w:t xml:space="preserve"> </w:t>
      </w:r>
      <w:r w:rsidRPr="000E584F">
        <w:rPr>
          <w:sz w:val="22"/>
          <w:szCs w:val="22"/>
        </w:rPr>
        <w:t xml:space="preserve">is lower than or equal to the administered price </w:t>
      </w:r>
      <w:r w:rsidR="0038014B" w:rsidRPr="00D5099F">
        <w:rPr>
          <w:noProof/>
          <w:position w:val="-10"/>
        </w:rPr>
        <w:object w:dxaOrig="300" w:dyaOrig="320" w14:anchorId="69EED743">
          <v:shape id="_x0000_i1181" type="#_x0000_t75" alt="" style="width:14.8pt;height:15.55pt;mso-width-percent:0;mso-height-percent:0;mso-width-percent:0;mso-height-percent:0" o:ole="">
            <v:imagedata r:id="rId92" o:title=""/>
          </v:shape>
          <o:OLEObject Type="Embed" ProgID="Equation.DSMT4" ShapeID="_x0000_i1181" DrawAspect="Content" ObjectID="_1758969450" r:id="rId93"/>
        </w:object>
      </w:r>
      <w:r w:rsidRPr="000E584F">
        <w:rPr>
          <w:sz w:val="22"/>
          <w:szCs w:val="22"/>
        </w:rPr>
        <w:t xml:space="preserve"> but higher than t</w:t>
      </w:r>
      <w:r w:rsidRPr="002F3961">
        <w:rPr>
          <w:sz w:val="22"/>
          <w:szCs w:val="22"/>
        </w:rPr>
        <w:t xml:space="preserve">he market price </w:t>
      </w:r>
      <w:r w:rsidR="0038014B" w:rsidRPr="00D5099F">
        <w:rPr>
          <w:noProof/>
          <w:position w:val="-10"/>
        </w:rPr>
        <w:object w:dxaOrig="220" w:dyaOrig="240" w14:anchorId="46190FDE">
          <v:shape id="_x0000_i1180" type="#_x0000_t75" alt="" style="width:12.7pt;height:13.4pt;mso-width-percent:0;mso-height-percent:0;mso-width-percent:0;mso-height-percent:0" o:ole="">
            <v:imagedata r:id="rId94" o:title=""/>
          </v:shape>
          <o:OLEObject Type="Embed" ProgID="Equation.DSMT4" ShapeID="_x0000_i1180" DrawAspect="Content" ObjectID="_1758969451" r:id="rId95"/>
        </w:object>
      </w:r>
      <w:r w:rsidRPr="002F3961">
        <w:rPr>
          <w:sz w:val="22"/>
          <w:szCs w:val="22"/>
        </w:rPr>
        <w:t>.</w:t>
      </w:r>
      <w:r w:rsidRPr="003466C6">
        <w:rPr>
          <w:sz w:val="22"/>
          <w:szCs w:val="22"/>
        </w:rPr>
        <w:t xml:space="preserve"> These firms </w:t>
      </w:r>
      <w:r>
        <w:rPr>
          <w:sz w:val="22"/>
          <w:szCs w:val="22"/>
        </w:rPr>
        <w:t xml:space="preserve">could </w:t>
      </w:r>
      <w:r w:rsidRPr="003466C6">
        <w:rPr>
          <w:sz w:val="22"/>
          <w:szCs w:val="22"/>
        </w:rPr>
        <w:t xml:space="preserve">earn </w:t>
      </w:r>
      <w:r w:rsidRPr="00721538">
        <w:rPr>
          <w:sz w:val="22"/>
          <w:szCs w:val="22"/>
        </w:rPr>
        <w:t xml:space="preserve">rents if </w:t>
      </w:r>
      <w:r w:rsidR="0038014B" w:rsidRPr="00D5099F">
        <w:rPr>
          <w:noProof/>
          <w:position w:val="-10"/>
        </w:rPr>
        <w:object w:dxaOrig="300" w:dyaOrig="320" w14:anchorId="10FCB897">
          <v:shape id="_x0000_i1179" type="#_x0000_t75" alt="" style="width:14.8pt;height:15.55pt;mso-width-percent:0;mso-height-percent:0;mso-width-percent:0;mso-height-percent:0" o:ole="">
            <v:imagedata r:id="rId96" o:title=""/>
          </v:shape>
          <o:OLEObject Type="Embed" ProgID="Equation.DSMT4" ShapeID="_x0000_i1179" DrawAspect="Content" ObjectID="_1758969452" r:id="rId97"/>
        </w:object>
      </w:r>
      <w:r w:rsidRPr="00721538">
        <w:rPr>
          <w:sz w:val="22"/>
          <w:szCs w:val="22"/>
        </w:rPr>
        <w:t xml:space="preserve"> exceeds their marginal cost,</w:t>
      </w:r>
      <w:r w:rsidRPr="003466C6">
        <w:rPr>
          <w:sz w:val="22"/>
          <w:szCs w:val="22"/>
        </w:rPr>
        <w:t xml:space="preserve"> yet they have no incentive to exceed </w:t>
      </w:r>
      <w:r w:rsidR="0038014B" w:rsidRPr="00D5099F">
        <w:rPr>
          <w:noProof/>
          <w:position w:val="-10"/>
        </w:rPr>
        <w:object w:dxaOrig="260" w:dyaOrig="320" w14:anchorId="689FDF8E">
          <v:shape id="_x0000_i1178" type="#_x0000_t75" alt="" style="width:13.4pt;height:15.55pt;mso-width-percent:0;mso-height-percent:0;mso-width-percent:0;mso-height-percent:0" o:ole="">
            <v:imagedata r:id="rId98" o:title=""/>
          </v:shape>
          <o:OLEObject Type="Embed" ProgID="Equation.DSMT4" ShapeID="_x0000_i1178" DrawAspect="Content" ObjectID="_1758969453" r:id="rId99"/>
        </w:object>
      </w:r>
      <w:r w:rsidRPr="003466C6">
        <w:rPr>
          <w:sz w:val="22"/>
          <w:szCs w:val="22"/>
        </w:rPr>
        <w:t xml:space="preserve"> because output beyond </w:t>
      </w:r>
      <w:r w:rsidR="0038014B" w:rsidRPr="00D5099F">
        <w:rPr>
          <w:noProof/>
          <w:position w:val="-10"/>
        </w:rPr>
        <w:object w:dxaOrig="260" w:dyaOrig="320" w14:anchorId="1A802280">
          <v:shape id="_x0000_i1177" type="#_x0000_t75" alt="" style="width:13.4pt;height:15.55pt;mso-width-percent:0;mso-height-percent:0;mso-width-percent:0;mso-height-percent:0" o:ole="">
            <v:imagedata r:id="rId100" o:title=""/>
          </v:shape>
          <o:OLEObject Type="Embed" ProgID="Equation.DSMT4" ShapeID="_x0000_i1177" DrawAspect="Content" ObjectID="_1758969454" r:id="rId101"/>
        </w:object>
      </w:r>
      <w:r w:rsidRPr="003466C6">
        <w:rPr>
          <w:sz w:val="22"/>
          <w:szCs w:val="22"/>
        </w:rPr>
        <w:t xml:space="preserve"> would need to be sold at the market price </w:t>
      </w:r>
      <w:r w:rsidR="0038014B" w:rsidRPr="00D5099F">
        <w:rPr>
          <w:noProof/>
          <w:position w:val="-10"/>
        </w:rPr>
        <w:object w:dxaOrig="220" w:dyaOrig="240" w14:anchorId="75E7A2BE">
          <v:shape id="_x0000_i1176" type="#_x0000_t75" alt="" style="width:12.7pt;height:13.4pt;mso-width-percent:0;mso-height-percent:0;mso-width-percent:0;mso-height-percent:0" o:ole="">
            <v:imagedata r:id="rId102" o:title=""/>
          </v:shape>
          <o:OLEObject Type="Embed" ProgID="Equation.DSMT4" ShapeID="_x0000_i1176" DrawAspect="Content" ObjectID="_1758969455" r:id="rId103"/>
        </w:object>
      </w:r>
      <w:r w:rsidRPr="003466C6">
        <w:rPr>
          <w:sz w:val="22"/>
          <w:szCs w:val="22"/>
        </w:rPr>
        <w:t>, which is below marginal cost.</w:t>
      </w:r>
    </w:p>
    <w:p w14:paraId="4C9D1DB7" w14:textId="77777777" w:rsidR="008F30F4" w:rsidRPr="003466C6" w:rsidRDefault="008F30F4" w:rsidP="008F30F4">
      <w:pPr>
        <w:spacing w:line="240" w:lineRule="auto"/>
        <w:ind w:left="660" w:firstLine="0"/>
        <w:rPr>
          <w:sz w:val="22"/>
          <w:szCs w:val="22"/>
        </w:rPr>
      </w:pPr>
    </w:p>
    <w:p w14:paraId="4289E68C" w14:textId="77777777" w:rsidR="008F30F4" w:rsidRPr="00B018A7" w:rsidRDefault="008F30F4" w:rsidP="008F30F4">
      <w:pPr>
        <w:pStyle w:val="Heading2"/>
        <w:rPr>
          <w:szCs w:val="28"/>
        </w:rPr>
      </w:pPr>
      <w:bookmarkStart w:id="2" w:name="_Toc63625938"/>
      <w:r w:rsidRPr="00B018A7">
        <w:rPr>
          <w:szCs w:val="28"/>
        </w:rPr>
        <w:t>Factor Types and Supply</w:t>
      </w:r>
      <w:bookmarkEnd w:id="2"/>
    </w:p>
    <w:p w14:paraId="3F5E665F" w14:textId="77777777" w:rsidR="008F30F4" w:rsidRPr="00E21218" w:rsidRDefault="008F30F4" w:rsidP="008F30F4">
      <w:pPr>
        <w:spacing w:before="240"/>
        <w:ind w:firstLine="720"/>
        <w:rPr>
          <w:rFonts w:eastAsia="DengXian" w:cs="Times New Roman"/>
          <w:color w:val="000000"/>
          <w:sz w:val="22"/>
          <w:szCs w:val="22"/>
        </w:rPr>
      </w:pPr>
      <w:r w:rsidRPr="00E21218">
        <w:rPr>
          <w:rFonts w:eastAsia="DengXian" w:cs="Times New Roman" w:hint="eastAsia"/>
          <w:color w:val="000000"/>
          <w:sz w:val="22"/>
          <w:szCs w:val="22"/>
        </w:rPr>
        <w:t>L</w:t>
      </w:r>
      <w:r w:rsidRPr="00E21218">
        <w:rPr>
          <w:rFonts w:eastAsia="DengXian" w:cs="Times New Roman"/>
          <w:color w:val="000000"/>
          <w:sz w:val="22"/>
          <w:szCs w:val="22"/>
        </w:rPr>
        <w:t>abor (</w:t>
      </w:r>
      <w:r w:rsidRPr="00E21218">
        <w:rPr>
          <w:rFonts w:eastAsia="DengXian" w:cs="Times New Roman"/>
          <w:i/>
          <w:iCs/>
          <w:color w:val="000000"/>
          <w:sz w:val="22"/>
          <w:szCs w:val="22"/>
        </w:rPr>
        <w:t>m</w:t>
      </w:r>
      <w:r w:rsidRPr="00E21218">
        <w:rPr>
          <w:rFonts w:eastAsia="DengXian" w:cs="Times New Roman"/>
          <w:color w:val="000000"/>
          <w:sz w:val="22"/>
          <w:szCs w:val="22"/>
        </w:rPr>
        <w:t>) is perfectly mobile across sectors, capital (</w:t>
      </w:r>
      <w:r w:rsidRPr="00E21218">
        <w:rPr>
          <w:rFonts w:eastAsia="DengXian" w:cs="Times New Roman"/>
          <w:i/>
          <w:iCs/>
          <w:color w:val="000000"/>
          <w:sz w:val="22"/>
          <w:szCs w:val="22"/>
        </w:rPr>
        <w:t>w</w:t>
      </w:r>
      <w:r w:rsidRPr="00E21218">
        <w:rPr>
          <w:rFonts w:eastAsia="DengXian" w:cs="Times New Roman"/>
          <w:color w:val="000000"/>
          <w:sz w:val="22"/>
          <w:szCs w:val="22"/>
        </w:rPr>
        <w:t>) is imperfectly mobile, and land (</w:t>
      </w:r>
      <w:r w:rsidRPr="00E21218">
        <w:rPr>
          <w:rFonts w:eastAsia="DengXian" w:cs="Times New Roman" w:hint="eastAsia"/>
          <w:i/>
          <w:iCs/>
          <w:color w:val="000000"/>
          <w:sz w:val="22"/>
          <w:szCs w:val="22"/>
        </w:rPr>
        <w:t>lnd</w:t>
      </w:r>
      <w:r w:rsidRPr="00E21218">
        <w:rPr>
          <w:rFonts w:eastAsia="DengXian" w:cs="Times New Roman"/>
          <w:color w:val="000000"/>
          <w:sz w:val="22"/>
          <w:szCs w:val="22"/>
        </w:rPr>
        <w:t xml:space="preserve">) and </w:t>
      </w:r>
      <w:r w:rsidRPr="00E21218">
        <w:rPr>
          <w:rFonts w:eastAsia="DengXian" w:cs="Times New Roman" w:hint="eastAsia"/>
          <w:color w:val="000000"/>
          <w:sz w:val="22"/>
          <w:szCs w:val="22"/>
        </w:rPr>
        <w:t>natural</w:t>
      </w:r>
      <w:r w:rsidRPr="00E21218">
        <w:rPr>
          <w:rFonts w:eastAsia="DengXian" w:cs="Times New Roman"/>
          <w:color w:val="000000"/>
          <w:sz w:val="22"/>
          <w:szCs w:val="22"/>
        </w:rPr>
        <w:t xml:space="preserve"> resources (</w:t>
      </w:r>
      <w:r w:rsidRPr="00E21218">
        <w:rPr>
          <w:rFonts w:eastAsia="DengXian" w:cs="Times New Roman"/>
          <w:i/>
          <w:iCs/>
          <w:color w:val="000000"/>
          <w:sz w:val="22"/>
          <w:szCs w:val="22"/>
        </w:rPr>
        <w:t>res</w:t>
      </w:r>
      <w:r w:rsidRPr="00E21218">
        <w:rPr>
          <w:rFonts w:eastAsia="DengXian" w:cs="Times New Roman"/>
          <w:color w:val="000000"/>
          <w:sz w:val="22"/>
          <w:szCs w:val="22"/>
        </w:rPr>
        <w:t>) are immobile. In all sectors</w:t>
      </w:r>
      <w:r>
        <w:rPr>
          <w:rFonts w:eastAsia="DengXian" w:cs="Times New Roman"/>
          <w:color w:val="000000"/>
          <w:sz w:val="22"/>
          <w:szCs w:val="22"/>
        </w:rPr>
        <w:t xml:space="preserve"> and in each period</w:t>
      </w:r>
      <w:r w:rsidRPr="00E21218">
        <w:rPr>
          <w:rFonts w:eastAsia="DengXian" w:cs="Times New Roman"/>
          <w:color w:val="000000"/>
          <w:sz w:val="22"/>
          <w:szCs w:val="22"/>
        </w:rPr>
        <w:t xml:space="preserve">, the supplies of the imperfectly mobile factor are captured via a transformation function that allocates </w:t>
      </w:r>
      <w:r w:rsidRPr="00E72270">
        <w:rPr>
          <w:rFonts w:eastAsia="DengXian" w:cs="Times New Roman"/>
          <w:color w:val="000000"/>
          <w:sz w:val="22"/>
          <w:szCs w:val="22"/>
        </w:rPr>
        <w:t>capital across sectors and subsectors.</w:t>
      </w:r>
      <w:r w:rsidRPr="00E21218">
        <w:rPr>
          <w:rFonts w:eastAsia="DengXian" w:cs="Times New Roman"/>
          <w:color w:val="000000"/>
          <w:sz w:val="22"/>
          <w:szCs w:val="22"/>
        </w:rPr>
        <w:t xml:space="preserve"> Changes in relative prices alter this allocation.</w:t>
      </w:r>
      <w:r>
        <w:rPr>
          <w:rFonts w:ascii="Times" w:eastAsia="DengXian" w:hAnsi="Times" w:cs="Times New Roman"/>
          <w:sz w:val="22"/>
        </w:rPr>
        <w:t xml:space="preserve"> </w:t>
      </w:r>
      <w:r w:rsidRPr="00E21218">
        <w:rPr>
          <w:rFonts w:eastAsia="DengXian" w:cs="Times New Roman"/>
          <w:color w:val="000000"/>
          <w:sz w:val="22"/>
          <w:szCs w:val="22"/>
        </w:rPr>
        <w:t xml:space="preserve">The marginal returns to capital and the associated market price of capital generally will differ across sectors and subsectors, a reflection of imperfect mobility. </w:t>
      </w:r>
    </w:p>
    <w:p w14:paraId="238A185D" w14:textId="77777777" w:rsidR="008F30F4" w:rsidRPr="00E21218" w:rsidRDefault="008F30F4" w:rsidP="008F30F4">
      <w:pPr>
        <w:ind w:firstLine="720"/>
        <w:rPr>
          <w:rFonts w:eastAsia="DengXian" w:cs="Times New Roman"/>
          <w:color w:val="000000"/>
          <w:sz w:val="22"/>
          <w:szCs w:val="22"/>
        </w:rPr>
      </w:pPr>
      <w:r w:rsidRPr="00E21218">
        <w:rPr>
          <w:rFonts w:eastAsia="DengXian" w:cs="Times New Roman"/>
          <w:color w:val="000000"/>
          <w:sz w:val="22"/>
          <w:szCs w:val="22"/>
        </w:rPr>
        <w:t xml:space="preserve">The transformation function, </w:t>
      </w:r>
      <w:r w:rsidR="0038014B" w:rsidRPr="00D5099F">
        <w:rPr>
          <w:noProof/>
          <w:position w:val="-14"/>
        </w:rPr>
        <w:object w:dxaOrig="620" w:dyaOrig="380" w14:anchorId="10C075FF">
          <v:shape id="_x0000_i1175" type="#_x0000_t75" alt="" style="width:31.75pt;height:19.75pt;mso-width-percent:0;mso-height-percent:0;mso-width-percent:0;mso-height-percent:0" o:ole="">
            <v:imagedata r:id="rId104" o:title=""/>
          </v:shape>
          <o:OLEObject Type="Embed" ProgID="Equation.DSMT4" ShapeID="_x0000_i1175" DrawAspect="Content" ObjectID="_1758969456" r:id="rId105"/>
        </w:object>
      </w:r>
      <w:r w:rsidRPr="00E21218">
        <w:rPr>
          <w:rFonts w:eastAsia="DengXian" w:cs="Times New Roman"/>
          <w:color w:val="000000"/>
          <w:sz w:val="22"/>
          <w:szCs w:val="22"/>
        </w:rPr>
        <w:t xml:space="preserve">, has the CET functional form and is expressed by: </w:t>
      </w:r>
    </w:p>
    <w:p w14:paraId="03D57710" w14:textId="77777777" w:rsidR="008F30F4" w:rsidRPr="00E21218" w:rsidRDefault="008F30F4" w:rsidP="008F30F4">
      <w:pPr>
        <w:pStyle w:val="a2"/>
      </w:pPr>
      <w:r w:rsidRPr="00E21218">
        <w:tab/>
      </w:r>
      <w:r w:rsidR="0038014B" w:rsidRPr="00D5099F">
        <w:rPr>
          <w:noProof/>
          <w:position w:val="-20"/>
        </w:rPr>
        <w:object w:dxaOrig="2140" w:dyaOrig="540" w14:anchorId="13AF2A60">
          <v:shape id="_x0000_i1174" type="#_x0000_t75" alt="" style="width:106.6pt;height:27.55pt;mso-width-percent:0;mso-height-percent:0;mso-width-percent:0;mso-height-percent:0" o:ole="">
            <v:imagedata r:id="rId106" o:title=""/>
          </v:shape>
          <o:OLEObject Type="Embed" ProgID="Equation.DSMT4" ShapeID="_x0000_i1174" DrawAspect="Content" ObjectID="_1758969457" r:id="rId107"/>
        </w:object>
      </w:r>
      <w:r w:rsidRPr="00E21218">
        <w:tab/>
      </w:r>
      <w:r w:rsidRPr="00E21218">
        <w:fldChar w:fldCharType="begin"/>
      </w:r>
      <w:r w:rsidRPr="00E21218">
        <w:instrText xml:space="preserve"> MACROBUTTON MTPlaceRef \* MERGEFORMAT </w:instrText>
      </w:r>
      <w:r w:rsidRPr="00E21218">
        <w:fldChar w:fldCharType="begin"/>
      </w:r>
      <w:r w:rsidRPr="00E21218">
        <w:instrText xml:space="preserve"> SEQ MTEqn \h \* MERGEFORMAT </w:instrText>
      </w:r>
      <w:r w:rsidRPr="00E21218">
        <w:fldChar w:fldCharType="end"/>
      </w:r>
      <w:r w:rsidRPr="00E21218">
        <w:instrText>(</w:instrText>
      </w:r>
      <w:fldSimple w:instr=" SEQ MTSec \c \* Alphabetic \* MERGEFORMAT ">
        <w:r>
          <w:rPr>
            <w:noProof/>
          </w:rPr>
          <w:instrText>A</w:instrText>
        </w:r>
      </w:fldSimple>
      <w:fldSimple w:instr=" SEQ MTEqn \c \* Arabic \* MERGEFORMAT ">
        <w:r>
          <w:rPr>
            <w:noProof/>
          </w:rPr>
          <w:instrText>4</w:instrText>
        </w:r>
      </w:fldSimple>
      <w:r w:rsidRPr="00E21218">
        <w:instrText>)</w:instrText>
      </w:r>
      <w:r w:rsidRPr="00E21218">
        <w:fldChar w:fldCharType="end"/>
      </w:r>
    </w:p>
    <w:p w14:paraId="2F455B08" w14:textId="77777777" w:rsidR="008F30F4" w:rsidRPr="00E21218" w:rsidRDefault="008F30F4" w:rsidP="008F30F4">
      <w:pPr>
        <w:ind w:firstLine="0"/>
        <w:rPr>
          <w:rFonts w:ascii="Times" w:eastAsia="DengXian" w:hAnsi="Times" w:cs="Times New Roman"/>
          <w:sz w:val="22"/>
          <w:szCs w:val="22"/>
        </w:rPr>
      </w:pPr>
      <w:r w:rsidRPr="00E21218">
        <w:rPr>
          <w:rFonts w:ascii="Times" w:eastAsia="DengXian" w:hAnsi="Times" w:cs="Times New Roman"/>
          <w:sz w:val="22"/>
          <w:szCs w:val="22"/>
        </w:rPr>
        <w:t xml:space="preserve">where </w:t>
      </w:r>
      <w:r w:rsidR="0038014B" w:rsidRPr="00D5099F">
        <w:rPr>
          <w:noProof/>
          <w:position w:val="-30"/>
        </w:rPr>
        <w:object w:dxaOrig="940" w:dyaOrig="680" w14:anchorId="157D2958">
          <v:shape id="_x0000_i1173" type="#_x0000_t75" alt="" style="width:47.3pt;height:34.6pt;mso-width-percent:0;mso-height-percent:0;mso-width-percent:0;mso-height-percent:0" o:ole="">
            <v:imagedata r:id="rId108" o:title=""/>
          </v:shape>
          <o:OLEObject Type="Embed" ProgID="Equation.DSMT4" ShapeID="_x0000_i1173" DrawAspect="Content" ObjectID="_1758969458" r:id="rId109"/>
        </w:object>
      </w:r>
      <w:r w:rsidRPr="00E21218">
        <w:rPr>
          <w:rFonts w:eastAsia="DengXian" w:cs="Times New Roman"/>
          <w:noProof/>
          <w:sz w:val="22"/>
          <w:szCs w:val="22"/>
        </w:rPr>
        <w:t xml:space="preserve"> </w:t>
      </w:r>
      <w:r w:rsidRPr="00E21218">
        <w:rPr>
          <w:rFonts w:ascii="Times" w:eastAsia="DengXian" w:hAnsi="Times" w:cs="Times New Roman"/>
          <w:sz w:val="22"/>
          <w:szCs w:val="22"/>
        </w:rPr>
        <w:t xml:space="preserve">and </w:t>
      </w:r>
      <w:r w:rsidR="0038014B" w:rsidRPr="00D5099F">
        <w:rPr>
          <w:noProof/>
          <w:position w:val="-28"/>
        </w:rPr>
        <w:object w:dxaOrig="1100" w:dyaOrig="639" w14:anchorId="2B6510B2">
          <v:shape id="_x0000_i1172" type="#_x0000_t75" alt="" style="width:54.35pt;height:31.75pt;mso-width-percent:0;mso-height-percent:0;mso-width-percent:0;mso-height-percent:0" o:ole="">
            <v:imagedata r:id="rId110" o:title=""/>
          </v:shape>
          <o:OLEObject Type="Embed" ProgID="Equation.DSMT4" ShapeID="_x0000_i1172" DrawAspect="Content" ObjectID="_1758969459" r:id="rId111"/>
        </w:object>
      </w:r>
      <w:r w:rsidRPr="00E21218">
        <w:rPr>
          <w:rFonts w:ascii="Times" w:eastAsia="DengXian" w:hAnsi="Times" w:cs="Times New Roman"/>
          <w:sz w:val="22"/>
          <w:szCs w:val="22"/>
        </w:rPr>
        <w:t xml:space="preserve">, where </w:t>
      </w:r>
      <w:r w:rsidR="0038014B" w:rsidRPr="00D5099F">
        <w:rPr>
          <w:noProof/>
          <w:position w:val="-10"/>
        </w:rPr>
        <w:object w:dxaOrig="300" w:dyaOrig="320" w14:anchorId="7413B558">
          <v:shape id="_x0000_i1171" type="#_x0000_t75" alt="" style="width:14.8pt;height:15.55pt;mso-width-percent:0;mso-height-percent:0;mso-width-percent:0;mso-height-percent:0" o:ole="">
            <v:imagedata r:id="rId112" o:title=""/>
          </v:shape>
          <o:OLEObject Type="Embed" ProgID="Equation.DSMT4" ShapeID="_x0000_i1171" DrawAspect="Content" ObjectID="_1758969460" r:id="rId113"/>
        </w:object>
      </w:r>
      <w:r w:rsidRPr="00E21218">
        <w:rPr>
          <w:rFonts w:ascii="Times" w:eastAsia="DengXian" w:hAnsi="Times" w:cs="Times New Roman"/>
          <w:sz w:val="22"/>
          <w:szCs w:val="22"/>
        </w:rPr>
        <w:t xml:space="preserve"> is the elasticity of transformation among sectors. The element </w:t>
      </w:r>
      <w:r w:rsidR="0038014B" w:rsidRPr="00D5099F">
        <w:rPr>
          <w:noProof/>
          <w:position w:val="-6"/>
        </w:rPr>
        <w:object w:dxaOrig="220" w:dyaOrig="260" w14:anchorId="118BF9D7">
          <v:shape id="_x0000_i1170" type="#_x0000_t75" alt="" style="width:12.7pt;height:13.4pt;mso-width-percent:0;mso-height-percent:0;mso-width-percent:0;mso-height-percent:0" o:ole="">
            <v:imagedata r:id="rId114" o:title=""/>
          </v:shape>
          <o:OLEObject Type="Embed" ProgID="Equation.DSMT4" ShapeID="_x0000_i1170" DrawAspect="Content" ObjectID="_1758969461" r:id="rId115"/>
        </w:object>
      </w:r>
      <w:r w:rsidRPr="00E21218">
        <w:rPr>
          <w:rFonts w:ascii="Times" w:eastAsia="DengXian" w:hAnsi="Times" w:cs="Times New Roman"/>
          <w:sz w:val="22"/>
          <w:szCs w:val="22"/>
        </w:rPr>
        <w:t xml:space="preserve"> denotes the fixed endowment of capital and </w:t>
      </w:r>
      <w:r w:rsidR="0038014B" w:rsidRPr="00D5099F">
        <w:rPr>
          <w:noProof/>
          <w:position w:val="-14"/>
        </w:rPr>
        <w:object w:dxaOrig="320" w:dyaOrig="380" w14:anchorId="089F367D">
          <v:shape id="_x0000_i1169" type="#_x0000_t75" alt="" style="width:15.55pt;height:19.75pt;mso-width-percent:0;mso-height-percent:0;mso-width-percent:0;mso-height-percent:0" o:ole="">
            <v:imagedata r:id="rId116" o:title=""/>
          </v:shape>
          <o:OLEObject Type="Embed" ProgID="Equation.DSMT4" ShapeID="_x0000_i1169" DrawAspect="Content" ObjectID="_1758969462" r:id="rId117"/>
        </w:object>
      </w:r>
      <w:r w:rsidRPr="00E21218">
        <w:rPr>
          <w:rFonts w:ascii="Times" w:eastAsia="DengXian" w:hAnsi="Times" w:cs="Times New Roman"/>
          <w:sz w:val="22"/>
          <w:szCs w:val="22"/>
        </w:rPr>
        <w:t xml:space="preserve">the allocation of </w:t>
      </w:r>
      <w:r w:rsidR="0038014B" w:rsidRPr="00D5099F">
        <w:rPr>
          <w:noProof/>
          <w:position w:val="-6"/>
        </w:rPr>
        <w:object w:dxaOrig="220" w:dyaOrig="260" w14:anchorId="38EA1C5B">
          <v:shape id="_x0000_i1168" type="#_x0000_t75" alt="" style="width:12.7pt;height:13.4pt;mso-width-percent:0;mso-height-percent:0;mso-width-percent:0;mso-height-percent:0" o:ole="">
            <v:imagedata r:id="rId118" o:title=""/>
          </v:shape>
          <o:OLEObject Type="Embed" ProgID="Equation.DSMT4" ShapeID="_x0000_i1168" DrawAspect="Content" ObjectID="_1758969463" r:id="rId119"/>
        </w:object>
      </w:r>
      <w:r w:rsidRPr="00E21218">
        <w:rPr>
          <w:rFonts w:ascii="Times" w:eastAsia="DengXian" w:hAnsi="Times" w:cs="Times New Roman"/>
          <w:sz w:val="22"/>
          <w:szCs w:val="22"/>
        </w:rPr>
        <w:t xml:space="preserve"> to sector </w:t>
      </w:r>
      <w:r w:rsidRPr="00E21218">
        <w:rPr>
          <w:rFonts w:ascii="Times" w:eastAsia="DengXian" w:hAnsi="Times" w:cs="Times New Roman"/>
          <w:i/>
          <w:iCs/>
          <w:sz w:val="22"/>
          <w:szCs w:val="22"/>
        </w:rPr>
        <w:t>j</w:t>
      </w:r>
      <w:r w:rsidRPr="00E21218">
        <w:rPr>
          <w:rFonts w:ascii="Times" w:eastAsia="DengXian" w:hAnsi="Times" w:cs="Times New Roman"/>
          <w:sz w:val="22"/>
          <w:szCs w:val="22"/>
        </w:rPr>
        <w:t xml:space="preserve">.  </w:t>
      </w:r>
    </w:p>
    <w:p w14:paraId="12C220EB" w14:textId="77777777" w:rsidR="008F30F4" w:rsidRPr="00E21218" w:rsidRDefault="008F30F4" w:rsidP="008F30F4">
      <w:pPr>
        <w:tabs>
          <w:tab w:val="left" w:pos="2520"/>
        </w:tabs>
        <w:ind w:firstLine="720"/>
        <w:rPr>
          <w:rFonts w:ascii="Times" w:eastAsia="DengXian" w:hAnsi="Times" w:cs="Times New Roman"/>
          <w:sz w:val="22"/>
          <w:szCs w:val="22"/>
        </w:rPr>
      </w:pPr>
      <w:r w:rsidRPr="00E21218">
        <w:rPr>
          <w:rFonts w:ascii="Times" w:eastAsia="DengXian" w:hAnsi="Times" w:cs="Times New Roman"/>
          <w:sz w:val="22"/>
          <w:szCs w:val="22"/>
        </w:rPr>
        <w:t>The model assumes that owners of capital make investments so as to maximize their returns from capital. The maximization problem is expressed by the following:</w:t>
      </w:r>
      <m:oMath>
        <m:r>
          <w:rPr>
            <w:rFonts w:ascii="Cambria Math" w:eastAsia="DengXian" w:hAnsi="Cambria Math" w:cs="Times New Roman"/>
            <w:sz w:val="22"/>
            <w:szCs w:val="22"/>
          </w:rPr>
          <m:t xml:space="preserve"> </m:t>
        </m:r>
      </m:oMath>
    </w:p>
    <w:p w14:paraId="3C759723" w14:textId="77777777" w:rsidR="008F30F4" w:rsidRPr="00E21218" w:rsidRDefault="008F30F4" w:rsidP="008F30F4">
      <w:pPr>
        <w:pStyle w:val="a2"/>
        <w:rPr>
          <w:noProof/>
        </w:rPr>
      </w:pPr>
      <w:r w:rsidRPr="00E21218">
        <w:rPr>
          <w:noProof/>
        </w:rPr>
        <w:tab/>
      </w:r>
      <w:r w:rsidR="0038014B" w:rsidRPr="00D5099F">
        <w:rPr>
          <w:noProof/>
          <w:position w:val="-54"/>
        </w:rPr>
        <w:object w:dxaOrig="1600" w:dyaOrig="1200" w14:anchorId="49AD1404">
          <v:shape id="_x0000_i1167" type="#_x0000_t75" alt="" style="width:81.2pt;height:58.6pt;mso-width-percent:0;mso-height-percent:0;mso-width-percent:0;mso-height-percent:0" o:ole="">
            <v:imagedata r:id="rId120" o:title=""/>
          </v:shape>
          <o:OLEObject Type="Embed" ProgID="Equation.DSMT4" ShapeID="_x0000_i1167" DrawAspect="Content" ObjectID="_1758969464" r:id="rId121"/>
        </w:object>
      </w:r>
      <w:r w:rsidRPr="00E21218">
        <w:rPr>
          <w:noProof/>
        </w:rPr>
        <w:tab/>
      </w:r>
      <w:r w:rsidRPr="00E21218">
        <w:rPr>
          <w:noProof/>
        </w:rPr>
        <w:fldChar w:fldCharType="begin"/>
      </w:r>
      <w:r w:rsidRPr="00E21218">
        <w:rPr>
          <w:noProof/>
        </w:rPr>
        <w:instrText xml:space="preserve"> MACROBUTTON MTPlaceRef \* MERGEFORMAT </w:instrText>
      </w:r>
      <w:r w:rsidRPr="00E21218">
        <w:rPr>
          <w:noProof/>
        </w:rPr>
        <w:fldChar w:fldCharType="begin"/>
      </w:r>
      <w:r w:rsidRPr="00E21218">
        <w:rPr>
          <w:noProof/>
        </w:rPr>
        <w:instrText xml:space="preserve"> SEQ MTEqn \h \* MERGEFORMAT </w:instrText>
      </w:r>
      <w:r w:rsidRPr="00E21218">
        <w:rPr>
          <w:noProof/>
        </w:rPr>
        <w:fldChar w:fldCharType="end"/>
      </w:r>
      <w:r w:rsidRPr="00E21218">
        <w:rPr>
          <w:noProof/>
        </w:rPr>
        <w:instrText>(</w:instrText>
      </w:r>
      <w:r w:rsidRPr="00E21218">
        <w:rPr>
          <w:noProof/>
        </w:rPr>
        <w:fldChar w:fldCharType="begin"/>
      </w:r>
      <w:r w:rsidRPr="00E21218">
        <w:rPr>
          <w:noProof/>
        </w:rPr>
        <w:instrText xml:space="preserve"> SEQ MTSec \c \* Alphabetic \* MERGEFORMAT </w:instrText>
      </w:r>
      <w:r w:rsidRPr="00E21218">
        <w:rPr>
          <w:noProof/>
        </w:rPr>
        <w:fldChar w:fldCharType="separate"/>
      </w:r>
      <w:r>
        <w:rPr>
          <w:noProof/>
        </w:rPr>
        <w:instrText>A</w:instrText>
      </w:r>
      <w:r w:rsidRPr="00E21218">
        <w:rPr>
          <w:noProof/>
        </w:rPr>
        <w:fldChar w:fldCharType="end"/>
      </w:r>
      <w:r w:rsidRPr="00E21218">
        <w:rPr>
          <w:noProof/>
        </w:rPr>
        <w:fldChar w:fldCharType="begin"/>
      </w:r>
      <w:r w:rsidRPr="00E21218">
        <w:rPr>
          <w:noProof/>
        </w:rPr>
        <w:instrText xml:space="preserve"> SEQ MTEqn \c \* Arabic \* MERGEFORMAT </w:instrText>
      </w:r>
      <w:r w:rsidRPr="00E21218">
        <w:rPr>
          <w:noProof/>
        </w:rPr>
        <w:fldChar w:fldCharType="separate"/>
      </w:r>
      <w:r>
        <w:rPr>
          <w:noProof/>
        </w:rPr>
        <w:instrText>5</w:instrText>
      </w:r>
      <w:r w:rsidRPr="00E21218">
        <w:rPr>
          <w:noProof/>
        </w:rPr>
        <w:fldChar w:fldCharType="end"/>
      </w:r>
      <w:r w:rsidRPr="00E21218">
        <w:rPr>
          <w:noProof/>
        </w:rPr>
        <w:instrText>)</w:instrText>
      </w:r>
      <w:r w:rsidRPr="00E21218">
        <w:rPr>
          <w:noProof/>
        </w:rPr>
        <w:fldChar w:fldCharType="end"/>
      </w:r>
    </w:p>
    <w:p w14:paraId="0633E34C" w14:textId="77777777" w:rsidR="008F30F4" w:rsidRDefault="008F30F4" w:rsidP="008F30F4">
      <w:pPr>
        <w:ind w:firstLine="0"/>
        <w:rPr>
          <w:rFonts w:ascii="Times" w:eastAsia="DengXian" w:hAnsi="Times" w:cs="Times New Roman"/>
          <w:sz w:val="22"/>
          <w:szCs w:val="22"/>
        </w:rPr>
      </w:pPr>
      <w:r w:rsidRPr="00E21218">
        <w:rPr>
          <w:rFonts w:ascii="Times" w:eastAsia="DengXian" w:hAnsi="Times" w:cs="Times New Roman"/>
          <w:sz w:val="22"/>
          <w:szCs w:val="22"/>
        </w:rPr>
        <w:t xml:space="preserve">where </w:t>
      </w:r>
      <w:r w:rsidR="0038014B" w:rsidRPr="00D5099F">
        <w:rPr>
          <w:noProof/>
          <w:position w:val="-14"/>
        </w:rPr>
        <w:object w:dxaOrig="320" w:dyaOrig="380" w14:anchorId="7A0BF18C">
          <v:shape id="_x0000_i1166" type="#_x0000_t75" alt="" style="width:15.55pt;height:19.75pt;mso-width-percent:0;mso-height-percent:0;mso-width-percent:0;mso-height-percent:0" o:ole="">
            <v:imagedata r:id="rId122" o:title=""/>
          </v:shape>
          <o:OLEObject Type="Embed" ProgID="Equation.DSMT4" ShapeID="_x0000_i1166" DrawAspect="Content" ObjectID="_1758969465" r:id="rId123"/>
        </w:object>
      </w:r>
      <w:r w:rsidRPr="00E21218">
        <w:rPr>
          <w:rFonts w:eastAsia="DengXian" w:cs="Times New Roman"/>
          <w:noProof/>
          <w:sz w:val="22"/>
          <w:szCs w:val="22"/>
        </w:rPr>
        <w:t xml:space="preserve"> </w:t>
      </w:r>
      <w:r w:rsidRPr="00E21218">
        <w:rPr>
          <w:rFonts w:ascii="Times" w:eastAsia="DengXian" w:hAnsi="Times" w:cs="Times New Roman"/>
          <w:sz w:val="22"/>
          <w:szCs w:val="22"/>
        </w:rPr>
        <w:t xml:space="preserve">denotes the allocation of capital to sector </w:t>
      </w:r>
      <w:r w:rsidRPr="00E21218">
        <w:rPr>
          <w:rFonts w:ascii="Times" w:eastAsia="DengXian" w:hAnsi="Times" w:cs="Times New Roman"/>
          <w:i/>
          <w:iCs/>
          <w:sz w:val="22"/>
          <w:szCs w:val="22"/>
        </w:rPr>
        <w:t>j</w:t>
      </w:r>
      <w:r w:rsidRPr="00E21218">
        <w:rPr>
          <w:rFonts w:ascii="Times" w:eastAsia="DengXian" w:hAnsi="Times" w:cs="Times New Roman"/>
          <w:sz w:val="22"/>
          <w:szCs w:val="22"/>
        </w:rPr>
        <w:t xml:space="preserve"> and </w:t>
      </w:r>
      <w:r w:rsidR="0038014B" w:rsidRPr="00D5099F">
        <w:rPr>
          <w:noProof/>
          <w:position w:val="-14"/>
        </w:rPr>
        <w:object w:dxaOrig="340" w:dyaOrig="360" w14:anchorId="7116EC40">
          <v:shape id="_x0000_i1165" type="#_x0000_t75" alt="" style="width:15.55pt;height:19.75pt;mso-width-percent:0;mso-height-percent:0;mso-width-percent:0;mso-height-percent:0" o:ole="">
            <v:imagedata r:id="rId124" o:title=""/>
          </v:shape>
          <o:OLEObject Type="Embed" ProgID="Equation.DSMT4" ShapeID="_x0000_i1165" DrawAspect="Content" ObjectID="_1758969466" r:id="rId125"/>
        </w:object>
      </w:r>
      <w:r w:rsidRPr="00E21218">
        <w:rPr>
          <w:rFonts w:ascii="Times" w:eastAsia="DengXian" w:hAnsi="Times" w:cs="Times New Roman"/>
          <w:sz w:val="22"/>
          <w:szCs w:val="22"/>
        </w:rPr>
        <w:t xml:space="preserve"> is the sector-specific price of the factor</w:t>
      </w:r>
      <w:r w:rsidRPr="00E21218">
        <w:rPr>
          <w:rFonts w:eastAsia="DengXian" w:cs="Times New Roman"/>
          <w:noProof/>
          <w:sz w:val="22"/>
          <w:szCs w:val="22"/>
        </w:rPr>
        <w:t xml:space="preserve"> </w:t>
      </w:r>
      <w:r w:rsidRPr="00E72270">
        <w:rPr>
          <w:rFonts w:eastAsia="DengXian" w:cs="Times New Roman"/>
          <w:i/>
          <w:iCs/>
          <w:noProof/>
          <w:sz w:val="22"/>
          <w:szCs w:val="22"/>
        </w:rPr>
        <w:t>w</w:t>
      </w:r>
      <w:r w:rsidRPr="00E21218">
        <w:rPr>
          <w:rFonts w:ascii="Times" w:eastAsia="DengXian" w:hAnsi="Times" w:cs="Arial"/>
          <w:noProof/>
          <w:sz w:val="22"/>
          <w:szCs w:val="22"/>
        </w:rPr>
        <w:t>.</w:t>
      </w:r>
      <w:r w:rsidRPr="00E21218">
        <w:rPr>
          <w:rFonts w:ascii="Times" w:eastAsia="DengXian" w:hAnsi="Times" w:cs="Times New Roman"/>
          <w:sz w:val="22"/>
          <w:szCs w:val="22"/>
        </w:rPr>
        <w:t xml:space="preserve"> </w:t>
      </w:r>
      <w:r w:rsidR="0038014B" w:rsidRPr="00D5099F">
        <w:rPr>
          <w:noProof/>
          <w:position w:val="-14"/>
        </w:rPr>
        <w:object w:dxaOrig="620" w:dyaOrig="380" w14:anchorId="149721E4">
          <v:shape id="_x0000_i1164" type="#_x0000_t75" alt="" style="width:31.75pt;height:19.75pt;mso-width-percent:0;mso-height-percent:0;mso-width-percent:0;mso-height-percent:0" o:ole="">
            <v:imagedata r:id="rId126" o:title=""/>
          </v:shape>
          <o:OLEObject Type="Embed" ProgID="Equation.DSMT4" ShapeID="_x0000_i1164" DrawAspect="Content" ObjectID="_1758969467" r:id="rId127"/>
        </w:object>
      </w:r>
      <w:r w:rsidRPr="00E21218">
        <w:rPr>
          <w:rFonts w:ascii="Times" w:eastAsia="DengXian" w:hAnsi="Times" w:cs="Times New Roman"/>
          <w:sz w:val="22"/>
          <w:szCs w:val="22"/>
        </w:rPr>
        <w:t xml:space="preserve">is the CET function for capital. As indicated earlier, the model distinguishes subsectors of the electricity, cement, aluminum, and iron &amp; steel sectors, to reflect within-sector </w:t>
      </w:r>
      <w:r w:rsidRPr="00E21218">
        <w:rPr>
          <w:rFonts w:ascii="Times" w:eastAsia="DengXian" w:hAnsi="Times" w:cs="Times New Roman"/>
          <w:sz w:val="22"/>
          <w:szCs w:val="22"/>
        </w:rPr>
        <w:lastRenderedPageBreak/>
        <w:t>differences in technology or emissions intensities. The same maximization problem determines the allocation of capital across subsector</w:t>
      </w:r>
      <w:r>
        <w:rPr>
          <w:rFonts w:ascii="Times" w:eastAsia="DengXian" w:hAnsi="Times" w:cs="Times New Roman"/>
          <w:sz w:val="22"/>
          <w:szCs w:val="22"/>
        </w:rPr>
        <w:t>s</w:t>
      </w:r>
      <w:r w:rsidRPr="00E21218">
        <w:rPr>
          <w:rFonts w:ascii="Times" w:eastAsia="DengXian" w:hAnsi="Times" w:cs="Times New Roman"/>
          <w:sz w:val="22"/>
          <w:szCs w:val="22"/>
        </w:rPr>
        <w:t>.</w:t>
      </w:r>
      <w:r>
        <w:rPr>
          <w:rFonts w:ascii="Times" w:eastAsia="DengXian" w:hAnsi="Times" w:cs="Times New Roman"/>
          <w:sz w:val="22"/>
          <w:szCs w:val="22"/>
        </w:rPr>
        <w:t xml:space="preserve"> </w:t>
      </w:r>
    </w:p>
    <w:p w14:paraId="0FA39C53" w14:textId="77777777" w:rsidR="008F30F4" w:rsidRPr="00157EE0" w:rsidRDefault="008F30F4" w:rsidP="008F30F4">
      <w:pPr>
        <w:ind w:firstLine="720"/>
        <w:rPr>
          <w:rFonts w:ascii="Times" w:eastAsia="DengXian" w:hAnsi="Times" w:cs="Times New Roman"/>
          <w:sz w:val="22"/>
          <w:szCs w:val="22"/>
        </w:rPr>
      </w:pPr>
      <w:r>
        <w:rPr>
          <w:rFonts w:ascii="Times" w:eastAsia="DengXian" w:hAnsi="Times" w:cs="Times New Roman"/>
          <w:sz w:val="22"/>
        </w:rPr>
        <w:t xml:space="preserve">The government’s preferential treatment of SOEs (described above) influences both the average return to capital and its </w:t>
      </w:r>
      <w:r w:rsidRPr="005F5FA6">
        <w:rPr>
          <w:rFonts w:ascii="Times" w:eastAsia="DengXian" w:hAnsi="Times" w:cs="Times New Roman"/>
          <w:sz w:val="22"/>
        </w:rPr>
        <w:t>relative returns across s</w:t>
      </w:r>
      <w:r w:rsidRPr="00C84C1A">
        <w:rPr>
          <w:rFonts w:ascii="Times" w:eastAsia="DengXian" w:hAnsi="Times" w:cs="Times New Roman"/>
          <w:sz w:val="22"/>
        </w:rPr>
        <w:t>e</w:t>
      </w:r>
      <w:r>
        <w:rPr>
          <w:rFonts w:ascii="Times" w:eastAsia="DengXian" w:hAnsi="Times" w:cs="Times New Roman"/>
          <w:sz w:val="22"/>
        </w:rPr>
        <w:t xml:space="preserve">ctors. These interventions affect </w:t>
      </w:r>
      <w:r>
        <w:rPr>
          <w:rFonts w:ascii="Times" w:eastAsia="DengXian" w:hAnsi="Times" w:cs="Times New Roman" w:hint="eastAsia"/>
          <w:sz w:val="22"/>
        </w:rPr>
        <w:t>the</w:t>
      </w:r>
      <w:r>
        <w:rPr>
          <w:rFonts w:ascii="Times" w:eastAsia="DengXian" w:hAnsi="Times" w:cs="Times New Roman"/>
          <w:sz w:val="22"/>
        </w:rPr>
        <w:t xml:space="preserve"> capital owner’s optimizing investment decisions and the allocation of capital across sectors. </w:t>
      </w:r>
      <w:r w:rsidRPr="00542B40">
        <w:rPr>
          <w:rFonts w:ascii="Times" w:eastAsia="DengXian" w:hAnsi="Times" w:cs="Times New Roman"/>
          <w:sz w:val="22"/>
          <w:szCs w:val="22"/>
        </w:rPr>
        <w:t xml:space="preserve">The same maximization problem in Equation (A5) determines the allocation of capital </w:t>
      </w:r>
      <w:r w:rsidRPr="00E72270">
        <w:rPr>
          <w:rFonts w:ascii="Times" w:eastAsia="DengXian" w:hAnsi="Times" w:cs="Times New Roman"/>
          <w:sz w:val="22"/>
          <w:szCs w:val="22"/>
        </w:rPr>
        <w:t>between</w:t>
      </w:r>
      <w:r w:rsidRPr="00542B40">
        <w:rPr>
          <w:rFonts w:ascii="Times" w:eastAsia="DengXian" w:hAnsi="Times" w:cs="Times New Roman"/>
          <w:sz w:val="22"/>
          <w:szCs w:val="22"/>
        </w:rPr>
        <w:t xml:space="preserve"> SOEs and POEs within a subsector.</w:t>
      </w:r>
    </w:p>
    <w:p w14:paraId="12B0DB18" w14:textId="77777777" w:rsidR="008F30F4" w:rsidRPr="00B018A7" w:rsidRDefault="008F30F4" w:rsidP="008F30F4">
      <w:pPr>
        <w:pStyle w:val="Heading2"/>
        <w:rPr>
          <w:szCs w:val="28"/>
        </w:rPr>
      </w:pPr>
      <w:bookmarkStart w:id="3" w:name="_Toc63625939"/>
      <w:r w:rsidRPr="00B018A7">
        <w:rPr>
          <w:szCs w:val="28"/>
        </w:rPr>
        <w:t>Inputs and Outputs</w:t>
      </w:r>
      <w:bookmarkEnd w:id="3"/>
      <w:r w:rsidRPr="00B018A7">
        <w:rPr>
          <w:szCs w:val="28"/>
        </w:rPr>
        <w:t xml:space="preserve"> </w:t>
      </w:r>
    </w:p>
    <w:p w14:paraId="25D1F160" w14:textId="77777777" w:rsidR="008F30F4" w:rsidRPr="00333C7B" w:rsidRDefault="008F30F4" w:rsidP="008F30F4">
      <w:pPr>
        <w:ind w:firstLine="720"/>
        <w:rPr>
          <w:rFonts w:eastAsia="DengXian" w:cs="Times New Roman"/>
          <w:sz w:val="22"/>
        </w:rPr>
      </w:pPr>
      <w:r>
        <w:rPr>
          <w:rFonts w:eastAsia="DengXian" w:cs="Times New Roman"/>
          <w:sz w:val="22"/>
        </w:rPr>
        <w:t xml:space="preserve">Firms make choices of variable inputs and levels of output consistent with the objective of profit maximization.  The modeling of these choices is </w:t>
      </w:r>
      <w:r w:rsidRPr="00333C7B">
        <w:rPr>
          <w:rFonts w:eastAsia="DengXian" w:cs="Times New Roman"/>
          <w:sz w:val="22"/>
        </w:rPr>
        <w:t xml:space="preserve">shown below. </w:t>
      </w:r>
      <w:r>
        <w:rPr>
          <w:rFonts w:eastAsia="DengXian" w:cs="Times New Roman"/>
          <w:sz w:val="22"/>
        </w:rPr>
        <w:t>For convenience, t</w:t>
      </w:r>
      <w:r w:rsidRPr="00333C7B">
        <w:rPr>
          <w:rFonts w:eastAsia="DengXian" w:cs="Times New Roman"/>
          <w:sz w:val="22"/>
        </w:rPr>
        <w:t xml:space="preserve">he sector subscript has been suppressed in this subsection. </w:t>
      </w:r>
    </w:p>
    <w:p w14:paraId="0225B88F" w14:textId="77777777" w:rsidR="008F30F4" w:rsidRDefault="008F30F4" w:rsidP="008F30F4">
      <w:pPr>
        <w:ind w:firstLine="0"/>
        <w:rPr>
          <w:rFonts w:eastAsia="SimSun" w:cs="Times New Roman"/>
          <w:b/>
          <w:bCs/>
          <w:i/>
          <w:iCs/>
          <w:color w:val="000000"/>
          <w:szCs w:val="21"/>
        </w:rPr>
      </w:pPr>
    </w:p>
    <w:p w14:paraId="7C2600C4" w14:textId="77777777" w:rsidR="008F30F4" w:rsidRPr="00333C7B" w:rsidRDefault="008F30F4" w:rsidP="008F30F4">
      <w:pPr>
        <w:ind w:firstLine="0"/>
        <w:rPr>
          <w:rFonts w:eastAsia="SimSun" w:cs="Times New Roman"/>
          <w:b/>
          <w:bCs/>
          <w:i/>
          <w:iCs/>
          <w:color w:val="000000"/>
          <w:szCs w:val="21"/>
        </w:rPr>
      </w:pPr>
      <w:r w:rsidRPr="00333C7B">
        <w:rPr>
          <w:rFonts w:eastAsia="SimSun" w:cs="Times New Roman"/>
          <w:b/>
          <w:bCs/>
          <w:i/>
          <w:iCs/>
          <w:color w:val="000000"/>
          <w:szCs w:val="21"/>
        </w:rPr>
        <w:t xml:space="preserve">Optimal </w:t>
      </w:r>
      <w:r>
        <w:rPr>
          <w:rFonts w:eastAsia="SimSun" w:cs="Times New Roman"/>
          <w:b/>
          <w:bCs/>
          <w:i/>
          <w:iCs/>
          <w:color w:val="000000"/>
          <w:szCs w:val="21"/>
        </w:rPr>
        <w:t>I</w:t>
      </w:r>
      <w:r w:rsidRPr="00333C7B">
        <w:rPr>
          <w:rFonts w:eastAsia="SimSun" w:cs="Times New Roman"/>
          <w:b/>
          <w:bCs/>
          <w:i/>
          <w:iCs/>
          <w:color w:val="000000"/>
          <w:szCs w:val="21"/>
        </w:rPr>
        <w:t>nput Intensities</w:t>
      </w:r>
    </w:p>
    <w:p w14:paraId="58F84F99" w14:textId="77777777" w:rsidR="008F30F4" w:rsidRPr="00FB42CB" w:rsidRDefault="008F30F4" w:rsidP="008F30F4">
      <w:pPr>
        <w:ind w:firstLine="720"/>
        <w:rPr>
          <w:rFonts w:ascii="Times" w:eastAsia="DengXian" w:hAnsi="Times" w:cs="Times New Roman"/>
          <w:sz w:val="22"/>
          <w:szCs w:val="22"/>
        </w:rPr>
      </w:pPr>
      <w:r w:rsidRPr="00FB42CB">
        <w:rPr>
          <w:rFonts w:eastAsia="DengXian" w:cs="Times New Roman"/>
          <w:sz w:val="22"/>
          <w:szCs w:val="22"/>
        </w:rPr>
        <w:t>For any CES function of the form in Equation (A1)</w:t>
      </w:r>
      <w:r w:rsidRPr="00FB42CB">
        <w:rPr>
          <w:rFonts w:eastAsia="DengXian" w:cs="Times New Roman" w:hint="eastAsia"/>
          <w:sz w:val="22"/>
          <w:szCs w:val="22"/>
        </w:rPr>
        <w:t>,</w:t>
      </w:r>
      <w:r w:rsidRPr="00FB42CB">
        <w:rPr>
          <w:rFonts w:eastAsia="DengXian" w:cs="Times New Roman"/>
          <w:sz w:val="22"/>
          <w:szCs w:val="22"/>
        </w:rPr>
        <w:t xml:space="preserve"> </w:t>
      </w:r>
      <w:r w:rsidRPr="00FB42CB">
        <w:rPr>
          <w:rFonts w:ascii="Times" w:eastAsia="DengXian" w:hAnsi="Times" w:cs="Times New Roman"/>
          <w:sz w:val="22"/>
          <w:szCs w:val="22"/>
        </w:rPr>
        <w:t xml:space="preserve">the Lagrangian equation for obtaining the composite </w:t>
      </w:r>
      <w:r w:rsidR="0038014B" w:rsidRPr="00D05B24">
        <w:rPr>
          <w:noProof/>
          <w:position w:val="-6"/>
        </w:rPr>
        <w:object w:dxaOrig="220" w:dyaOrig="260" w14:anchorId="510A039D">
          <v:shape id="_x0000_i1163" type="#_x0000_t75" alt="" style="width:12.7pt;height:13.4pt;mso-width-percent:0;mso-height-percent:0;mso-width-percent:0;mso-height-percent:0" o:ole="">
            <v:imagedata r:id="rId128" o:title=""/>
          </v:shape>
          <o:OLEObject Type="Embed" ProgID="Equation.DSMT4" ShapeID="_x0000_i1163" DrawAspect="Content" ObjectID="_1758969468" r:id="rId129"/>
        </w:object>
      </w:r>
      <w:r w:rsidRPr="00FB42CB">
        <w:rPr>
          <w:rFonts w:ascii="Times" w:eastAsia="DengXian" w:hAnsi="Times" w:cs="Times New Roman"/>
          <w:sz w:val="22"/>
          <w:szCs w:val="22"/>
        </w:rPr>
        <w:t xml:space="preserve"> </w:t>
      </w:r>
      <w:r w:rsidRPr="00FB42CB">
        <w:rPr>
          <w:rFonts w:ascii="Times" w:eastAsia="DengXian" w:hAnsi="Times" w:cs="Times New Roman" w:hint="eastAsia"/>
          <w:sz w:val="22"/>
          <w:szCs w:val="22"/>
        </w:rPr>
        <w:t>at</w:t>
      </w:r>
      <w:r w:rsidRPr="00FB42CB">
        <w:rPr>
          <w:rFonts w:ascii="Times" w:eastAsia="DengXian" w:hAnsi="Times" w:cs="Times New Roman"/>
          <w:sz w:val="22"/>
          <w:szCs w:val="22"/>
        </w:rPr>
        <w:t xml:space="preserve"> minimum cost is given by: </w:t>
      </w:r>
    </w:p>
    <w:p w14:paraId="49127CD2" w14:textId="77777777" w:rsidR="008F30F4" w:rsidRPr="00FB42CB" w:rsidRDefault="008F30F4" w:rsidP="008F30F4">
      <w:pPr>
        <w:pStyle w:val="a2"/>
      </w:pPr>
      <w:r w:rsidRPr="00FB42CB">
        <w:tab/>
      </w:r>
      <w:r w:rsidR="0038014B" w:rsidRPr="00D05B24">
        <w:rPr>
          <w:noProof/>
          <w:position w:val="-42"/>
        </w:rPr>
        <w:object w:dxaOrig="2900" w:dyaOrig="960" w14:anchorId="21596B4C">
          <v:shape id="_x0000_i1162" type="#_x0000_t75" alt="" style="width:145.4pt;height:48pt;mso-width-percent:0;mso-height-percent:0;mso-width-percent:0;mso-height-percent:0" o:ole="">
            <v:imagedata r:id="rId130" o:title=""/>
          </v:shape>
          <o:OLEObject Type="Embed" ProgID="Equation.DSMT4" ShapeID="_x0000_i1162" DrawAspect="Content" ObjectID="_1758969469" r:id="rId131"/>
        </w:object>
      </w:r>
      <w:r w:rsidRPr="00FB42CB">
        <w:tab/>
      </w:r>
      <w:r w:rsidRPr="00FB42CB">
        <w:fldChar w:fldCharType="begin"/>
      </w:r>
      <w:r w:rsidRPr="00FB42CB">
        <w:instrText xml:space="preserve"> MACROBUTTON MTPlaceRef \* MERGEFORMAT </w:instrText>
      </w:r>
      <w:r w:rsidRPr="00FB42CB">
        <w:fldChar w:fldCharType="begin"/>
      </w:r>
      <w:r w:rsidRPr="00FB42CB">
        <w:instrText xml:space="preserve"> SEQ MTEqn \h \* MERGEFORMAT </w:instrText>
      </w:r>
      <w:r w:rsidRPr="00FB42CB">
        <w:fldChar w:fldCharType="end"/>
      </w:r>
      <w:r w:rsidRPr="00FB42CB">
        <w:instrText>(</w:instrText>
      </w:r>
      <w:fldSimple w:instr=" SEQ MTSec \c \* Alphabetic \* MERGEFORMAT ">
        <w:r>
          <w:rPr>
            <w:noProof/>
          </w:rPr>
          <w:instrText>A</w:instrText>
        </w:r>
      </w:fldSimple>
      <w:fldSimple w:instr=" SEQ MTEqn \c \* Arabic \* MERGEFORMAT ">
        <w:r>
          <w:rPr>
            <w:noProof/>
          </w:rPr>
          <w:instrText>6</w:instrText>
        </w:r>
      </w:fldSimple>
      <w:r w:rsidRPr="00FB42CB">
        <w:instrText>)</w:instrText>
      </w:r>
      <w:r w:rsidRPr="00FB42CB">
        <w:fldChar w:fldCharType="end"/>
      </w:r>
    </w:p>
    <w:p w14:paraId="654B4EC4" w14:textId="77777777" w:rsidR="008F30F4" w:rsidRPr="00FB42CB" w:rsidRDefault="008F30F4" w:rsidP="008F30F4">
      <w:pPr>
        <w:ind w:firstLine="0"/>
        <w:rPr>
          <w:rFonts w:ascii="Times" w:eastAsia="DengXian" w:hAnsi="Times" w:cs="Times New Roman"/>
          <w:sz w:val="22"/>
          <w:szCs w:val="22"/>
        </w:rPr>
      </w:pPr>
      <w:r w:rsidRPr="00FB42CB">
        <w:rPr>
          <w:rFonts w:ascii="Times" w:eastAsia="DengXian" w:hAnsi="Times" w:cs="Times New Roman"/>
          <w:sz w:val="22"/>
          <w:szCs w:val="22"/>
        </w:rPr>
        <w:t xml:space="preserve">where </w:t>
      </w:r>
      <w:r w:rsidRPr="00FB42CB">
        <w:rPr>
          <w:rFonts w:ascii="Times" w:eastAsia="DengXian" w:hAnsi="Times" w:cs="Times New Roman"/>
          <w:i/>
          <w:sz w:val="22"/>
          <w:szCs w:val="22"/>
        </w:rPr>
        <w:t>p</w:t>
      </w:r>
      <w:r w:rsidRPr="00FB42CB">
        <w:rPr>
          <w:rFonts w:ascii="Times" w:eastAsia="DengXian" w:hAnsi="Times" w:cs="Times New Roman"/>
          <w:i/>
          <w:sz w:val="22"/>
          <w:szCs w:val="22"/>
          <w:vertAlign w:val="subscript"/>
        </w:rPr>
        <w:t>i</w:t>
      </w:r>
      <w:r w:rsidRPr="00FB42CB">
        <w:rPr>
          <w:rFonts w:ascii="Times" w:eastAsia="DengXian" w:hAnsi="Times" w:cs="Times New Roman"/>
          <w:sz w:val="22"/>
          <w:szCs w:val="22"/>
        </w:rPr>
        <w:t xml:space="preserve"> </w:t>
      </w:r>
      <w:r>
        <w:rPr>
          <w:rFonts w:ascii="Times" w:eastAsia="DengXian" w:hAnsi="Times" w:cs="Times New Roman"/>
          <w:sz w:val="22"/>
          <w:szCs w:val="22"/>
        </w:rPr>
        <w:t xml:space="preserve">is </w:t>
      </w:r>
      <w:r w:rsidRPr="00FB42CB">
        <w:rPr>
          <w:rFonts w:ascii="Times" w:eastAsia="DengXian" w:hAnsi="Times" w:cs="Times New Roman"/>
          <w:sz w:val="22"/>
          <w:szCs w:val="22"/>
        </w:rPr>
        <w:t xml:space="preserve">the price of input </w:t>
      </w:r>
      <w:r w:rsidR="0038014B" w:rsidRPr="00D05B24">
        <w:rPr>
          <w:noProof/>
          <w:position w:val="-10"/>
        </w:rPr>
        <w:object w:dxaOrig="200" w:dyaOrig="320" w14:anchorId="10CD0061">
          <v:shape id="_x0000_i1161" type="#_x0000_t75" alt="" style="width:8.45pt;height:15.55pt;mso-width-percent:0;mso-height-percent:0;mso-width-percent:0;mso-height-percent:0" o:ole="">
            <v:imagedata r:id="rId132" o:title=""/>
          </v:shape>
          <o:OLEObject Type="Embed" ProgID="Equation.DSMT4" ShapeID="_x0000_i1161" DrawAspect="Content" ObjectID="_1758969470" r:id="rId133"/>
        </w:object>
      </w:r>
      <w:r w:rsidRPr="00FB42CB">
        <w:rPr>
          <w:rFonts w:eastAsia="DengXian" w:cs="Times New Roman"/>
          <w:noProof/>
          <w:sz w:val="22"/>
          <w:szCs w:val="22"/>
        </w:rPr>
        <w:t xml:space="preserve">. </w:t>
      </w:r>
      <w:r w:rsidRPr="00FB42CB">
        <w:rPr>
          <w:rFonts w:ascii="Times" w:eastAsia="DengXian" w:hAnsi="Times" w:cs="Times New Roman"/>
          <w:sz w:val="22"/>
          <w:szCs w:val="22"/>
        </w:rPr>
        <w:t xml:space="preserve">From this minimization problem, the optimal demand of input </w:t>
      </w:r>
      <w:r w:rsidR="0038014B" w:rsidRPr="00D05B24">
        <w:rPr>
          <w:noProof/>
          <w:position w:val="-10"/>
        </w:rPr>
        <w:object w:dxaOrig="200" w:dyaOrig="320" w14:anchorId="0AC734B0">
          <v:shape id="_x0000_i1160" type="#_x0000_t75" alt="" style="width:8.45pt;height:15.55pt;mso-width-percent:0;mso-height-percent:0;mso-width-percent:0;mso-height-percent:0" o:ole="">
            <v:imagedata r:id="rId134" o:title=""/>
          </v:shape>
          <o:OLEObject Type="Embed" ProgID="Equation.DSMT4" ShapeID="_x0000_i1160" DrawAspect="Content" ObjectID="_1758969471" r:id="rId135"/>
        </w:object>
      </w:r>
      <w:r w:rsidRPr="00FB42CB">
        <w:rPr>
          <w:rFonts w:ascii="Times" w:eastAsia="DengXian" w:hAnsi="Times" w:cs="Arial"/>
          <w:sz w:val="22"/>
          <w:szCs w:val="22"/>
        </w:rPr>
        <w:t xml:space="preserve"> </w:t>
      </w:r>
      <w:r w:rsidRPr="00FB42CB">
        <w:rPr>
          <w:rFonts w:ascii="Times" w:eastAsia="DengXian" w:hAnsi="Times" w:cs="Times New Roman"/>
          <w:sz w:val="22"/>
          <w:szCs w:val="22"/>
        </w:rPr>
        <w:t xml:space="preserve">per unit of the composite </w:t>
      </w:r>
      <w:r w:rsidRPr="00FB42CB">
        <w:rPr>
          <w:rFonts w:ascii="Times" w:eastAsia="DengXian" w:hAnsi="Times" w:cs="Times New Roman"/>
          <w:i/>
          <w:iCs/>
          <w:sz w:val="22"/>
          <w:szCs w:val="22"/>
        </w:rPr>
        <w:t>V</w:t>
      </w:r>
      <w:r w:rsidRPr="00FB42CB">
        <w:rPr>
          <w:rFonts w:ascii="Times" w:eastAsia="DengXian" w:hAnsi="Times" w:cs="Times New Roman"/>
          <w:sz w:val="22"/>
          <w:szCs w:val="22"/>
        </w:rPr>
        <w:t xml:space="preserve"> is derived as:  </w:t>
      </w:r>
      <w:r w:rsidRPr="00FB42CB">
        <w:rPr>
          <w:rFonts w:ascii="Times" w:eastAsia="DengXian" w:hAnsi="Times" w:cs="Times New Roman"/>
          <w:sz w:val="22"/>
          <w:szCs w:val="22"/>
        </w:rPr>
        <w:fldChar w:fldCharType="begin"/>
      </w:r>
      <w:r w:rsidRPr="00FB42CB">
        <w:rPr>
          <w:rFonts w:ascii="Times" w:eastAsia="DengXian" w:hAnsi="Times" w:cs="Times New Roman"/>
          <w:sz w:val="22"/>
          <w:szCs w:val="22"/>
        </w:rPr>
        <w:instrText xml:space="preserve"> MACROBUTTON MTPlaceRef \* MERGEFORMAT </w:instrText>
      </w:r>
      <w:r w:rsidRPr="00FB42CB">
        <w:rPr>
          <w:rFonts w:ascii="Times" w:eastAsia="DengXian" w:hAnsi="Times" w:cs="Times New Roman"/>
          <w:sz w:val="22"/>
          <w:szCs w:val="22"/>
        </w:rPr>
        <w:fldChar w:fldCharType="end"/>
      </w:r>
    </w:p>
    <w:p w14:paraId="1519A42D" w14:textId="77777777" w:rsidR="008F30F4" w:rsidRPr="00FB42CB" w:rsidRDefault="008F30F4" w:rsidP="008F30F4">
      <w:pPr>
        <w:pStyle w:val="a2"/>
      </w:pPr>
      <w:r w:rsidRPr="00FB42CB">
        <w:tab/>
      </w:r>
      <w:r w:rsidR="0038014B" w:rsidRPr="00D05B24">
        <w:rPr>
          <w:noProof/>
          <w:position w:val="-28"/>
        </w:rPr>
        <w:object w:dxaOrig="1380" w:dyaOrig="720" w14:anchorId="19D264D6">
          <v:shape id="_x0000_i1159" type="#_x0000_t75" alt="" style="width:67.75pt;height:37.4pt;mso-width-percent:0;mso-height-percent:0;mso-width-percent:0;mso-height-percent:0" o:ole="">
            <v:imagedata r:id="rId136" o:title=""/>
          </v:shape>
          <o:OLEObject Type="Embed" ProgID="Equation.DSMT4" ShapeID="_x0000_i1159" DrawAspect="Content" ObjectID="_1758969472" r:id="rId137"/>
        </w:object>
      </w:r>
      <w:r w:rsidRPr="00FB42CB">
        <w:tab/>
      </w:r>
      <w:r w:rsidRPr="00FB42CB">
        <w:fldChar w:fldCharType="begin"/>
      </w:r>
      <w:r w:rsidRPr="00FB42CB">
        <w:instrText xml:space="preserve"> MACROBUTTON MTPlaceRef \* MERGEFORMAT </w:instrText>
      </w:r>
      <w:r w:rsidRPr="00FB42CB">
        <w:fldChar w:fldCharType="begin"/>
      </w:r>
      <w:r w:rsidRPr="00FB42CB">
        <w:instrText xml:space="preserve"> SEQ MTEqn \h \* MERGEFORMAT </w:instrText>
      </w:r>
      <w:r w:rsidRPr="00FB42CB">
        <w:fldChar w:fldCharType="end"/>
      </w:r>
      <w:r w:rsidRPr="00FB42CB">
        <w:instrText>(</w:instrText>
      </w:r>
      <w:fldSimple w:instr=" SEQ MTSec \c \* Alphabetic \* MERGEFORMAT ">
        <w:r>
          <w:rPr>
            <w:noProof/>
          </w:rPr>
          <w:instrText>A</w:instrText>
        </w:r>
      </w:fldSimple>
      <w:fldSimple w:instr=" SEQ MTEqn \c \* Arabic \* MERGEFORMAT ">
        <w:r>
          <w:rPr>
            <w:noProof/>
          </w:rPr>
          <w:instrText>7</w:instrText>
        </w:r>
      </w:fldSimple>
      <w:r w:rsidRPr="00FB42CB">
        <w:instrText>)</w:instrText>
      </w:r>
      <w:r w:rsidRPr="00FB42CB">
        <w:fldChar w:fldCharType="end"/>
      </w:r>
    </w:p>
    <w:p w14:paraId="13BC0633" w14:textId="77777777" w:rsidR="008F30F4" w:rsidRPr="00FB42CB" w:rsidRDefault="008F30F4" w:rsidP="008F30F4">
      <w:pPr>
        <w:ind w:firstLine="0"/>
        <w:rPr>
          <w:rFonts w:ascii="Times" w:eastAsia="DengXian" w:hAnsi="Times" w:cs="Times New Roman"/>
          <w:sz w:val="22"/>
          <w:szCs w:val="22"/>
        </w:rPr>
      </w:pPr>
      <w:r w:rsidRPr="00FB42CB">
        <w:rPr>
          <w:rFonts w:ascii="Times" w:eastAsia="DengXian" w:hAnsi="Times" w:cs="Times New Roman"/>
          <w:sz w:val="22"/>
          <w:szCs w:val="22"/>
        </w:rPr>
        <w:t xml:space="preserve">where </w:t>
      </w:r>
      <m:oMath>
        <m:r>
          <w:rPr>
            <w:rFonts w:ascii="Cambria Math" w:eastAsia="DengXian" w:hAnsi="Cambria Math" w:cs="Times New Roman"/>
            <w:sz w:val="22"/>
            <w:szCs w:val="22"/>
          </w:rPr>
          <m:t>σ</m:t>
        </m:r>
      </m:oMath>
      <w:r w:rsidRPr="00FB42CB">
        <w:rPr>
          <w:rFonts w:ascii="Times" w:eastAsia="DengXian" w:hAnsi="Times" w:cs="Times New Roman"/>
          <w:sz w:val="22"/>
          <w:szCs w:val="22"/>
        </w:rPr>
        <w:t xml:space="preserve"> is the constant elasticity of substitution equal to </w:t>
      </w:r>
      <w:r w:rsidR="0038014B" w:rsidRPr="00D05B24">
        <w:rPr>
          <w:noProof/>
          <w:position w:val="-26"/>
        </w:rPr>
        <w:object w:dxaOrig="520" w:dyaOrig="620" w14:anchorId="57DFF0E4">
          <v:shape id="_x0000_i1158" type="#_x0000_t75" alt="" style="width:26.8pt;height:31.75pt;mso-width-percent:0;mso-height-percent:0;mso-width-percent:0;mso-height-percent:0" o:ole="">
            <v:imagedata r:id="rId138" o:title=""/>
          </v:shape>
          <o:OLEObject Type="Embed" ProgID="Equation.DSMT4" ShapeID="_x0000_i1158" DrawAspect="Content" ObjectID="_1758969473" r:id="rId139"/>
        </w:object>
      </w:r>
      <w:r w:rsidRPr="00FB42CB">
        <w:rPr>
          <w:rFonts w:ascii="Times" w:eastAsia="DengXian" w:hAnsi="Times" w:cs="Times New Roman"/>
          <w:sz w:val="22"/>
          <w:szCs w:val="22"/>
        </w:rPr>
        <w:t xml:space="preserve">. </w:t>
      </w:r>
      <w:r w:rsidRPr="00FB42CB">
        <w:rPr>
          <w:rFonts w:ascii="Times" w:eastAsia="DengXian" w:hAnsi="Times" w:cs="Times New Roman"/>
          <w:i/>
          <w:iCs/>
          <w:sz w:val="22"/>
          <w:szCs w:val="22"/>
        </w:rPr>
        <w:t>p</w:t>
      </w:r>
      <w:r w:rsidRPr="00FB42CB">
        <w:rPr>
          <w:rFonts w:ascii="Times" w:eastAsia="DengXian" w:hAnsi="Times" w:cs="Arial"/>
          <w:sz w:val="22"/>
          <w:szCs w:val="22"/>
        </w:rPr>
        <w:t xml:space="preserve"> </w:t>
      </w:r>
      <w:r w:rsidRPr="00FB42CB">
        <w:rPr>
          <w:rFonts w:ascii="Times" w:eastAsia="DengXian" w:hAnsi="Times" w:cs="Times New Roman"/>
          <w:sz w:val="22"/>
          <w:szCs w:val="22"/>
        </w:rPr>
        <w:t>is the price of the composite</w:t>
      </w:r>
      <w:r w:rsidRPr="00FB42CB">
        <w:rPr>
          <w:rFonts w:ascii="Times" w:eastAsia="DengXian" w:hAnsi="Times" w:cs="Times New Roman"/>
          <w:i/>
          <w:iCs/>
          <w:sz w:val="22"/>
          <w:szCs w:val="22"/>
        </w:rPr>
        <w:t xml:space="preserve"> V</w:t>
      </w:r>
      <w:r w:rsidRPr="00FB42CB">
        <w:rPr>
          <w:rFonts w:ascii="Times" w:eastAsia="DengXian" w:hAnsi="Times" w:cs="Times New Roman"/>
          <w:sz w:val="22"/>
          <w:szCs w:val="22"/>
        </w:rPr>
        <w:t>:</w:t>
      </w:r>
    </w:p>
    <w:p w14:paraId="2F46A0AE" w14:textId="77777777" w:rsidR="008F30F4" w:rsidRPr="00FB42CB" w:rsidRDefault="008F30F4" w:rsidP="008F30F4">
      <w:pPr>
        <w:pStyle w:val="a2"/>
      </w:pPr>
      <w:r w:rsidRPr="00FB42CB">
        <w:tab/>
      </w:r>
      <w:r w:rsidR="0038014B" w:rsidRPr="00D05B24">
        <w:rPr>
          <w:noProof/>
          <w:position w:val="-28"/>
        </w:rPr>
        <w:object w:dxaOrig="1740" w:dyaOrig="800" w14:anchorId="5A7FC2A7">
          <v:shape id="_x0000_i1157" type="#_x0000_t75" alt="" style="width:86.8pt;height:40.95pt;mso-width-percent:0;mso-height-percent:0;mso-width-percent:0;mso-height-percent:0" o:ole="">
            <v:imagedata r:id="rId140" o:title=""/>
          </v:shape>
          <o:OLEObject Type="Embed" ProgID="Equation.DSMT4" ShapeID="_x0000_i1157" DrawAspect="Content" ObjectID="_1758969474" r:id="rId141"/>
        </w:object>
      </w:r>
      <w:r w:rsidRPr="00FB42CB">
        <w:tab/>
      </w:r>
      <w:r w:rsidRPr="00FB42CB">
        <w:fldChar w:fldCharType="begin"/>
      </w:r>
      <w:r w:rsidRPr="00FB42CB">
        <w:instrText xml:space="preserve"> MACROBUTTON MTPlaceRef \* MERGEFORMAT </w:instrText>
      </w:r>
      <w:r w:rsidRPr="00FB42CB">
        <w:fldChar w:fldCharType="begin"/>
      </w:r>
      <w:r w:rsidRPr="00FB42CB">
        <w:instrText xml:space="preserve"> SEQ MTEqn \h \* MERGEFORMAT </w:instrText>
      </w:r>
      <w:r w:rsidRPr="00FB42CB">
        <w:fldChar w:fldCharType="end"/>
      </w:r>
      <w:r w:rsidRPr="00FB42CB">
        <w:instrText>(</w:instrText>
      </w:r>
      <w:fldSimple w:instr=" SEQ MTSec \c \* Alphabetic \* MERGEFORMAT ">
        <w:r>
          <w:rPr>
            <w:noProof/>
          </w:rPr>
          <w:instrText>A</w:instrText>
        </w:r>
      </w:fldSimple>
      <w:fldSimple w:instr=" SEQ MTEqn \c \* Arabic \* MERGEFORMAT ">
        <w:r>
          <w:rPr>
            <w:noProof/>
          </w:rPr>
          <w:instrText>8</w:instrText>
        </w:r>
      </w:fldSimple>
      <w:r w:rsidRPr="00FB42CB">
        <w:instrText>)</w:instrText>
      </w:r>
      <w:r w:rsidRPr="00FB42CB">
        <w:fldChar w:fldCharType="end"/>
      </w:r>
    </w:p>
    <w:p w14:paraId="438EF7FF" w14:textId="77777777" w:rsidR="008F30F4" w:rsidRDefault="008F30F4" w:rsidP="008F30F4">
      <w:pPr>
        <w:ind w:firstLine="0"/>
        <w:rPr>
          <w:rFonts w:eastAsia="SimSun" w:cs="Times New Roman"/>
          <w:b/>
          <w:bCs/>
          <w:i/>
          <w:iCs/>
          <w:color w:val="000000"/>
        </w:rPr>
      </w:pPr>
    </w:p>
    <w:p w14:paraId="5ECCC1BC" w14:textId="77777777" w:rsidR="008F30F4" w:rsidRPr="00E72270" w:rsidRDefault="008F30F4" w:rsidP="008F30F4">
      <w:pPr>
        <w:ind w:firstLine="0"/>
        <w:rPr>
          <w:rFonts w:eastAsia="SimSun" w:cs="Times New Roman"/>
          <w:b/>
          <w:bCs/>
          <w:i/>
          <w:iCs/>
          <w:color w:val="000000"/>
        </w:rPr>
      </w:pPr>
      <w:r w:rsidRPr="00E72270">
        <w:rPr>
          <w:rFonts w:eastAsia="SimSun" w:cs="Times New Roman"/>
          <w:b/>
          <w:bCs/>
          <w:i/>
          <w:iCs/>
          <w:color w:val="000000"/>
        </w:rPr>
        <w:t xml:space="preserve">Optimal </w:t>
      </w:r>
      <w:r w:rsidRPr="00F40B79">
        <w:rPr>
          <w:rFonts w:eastAsia="SimSun" w:cs="Times New Roman"/>
          <w:b/>
          <w:bCs/>
          <w:i/>
          <w:iCs/>
          <w:color w:val="000000"/>
        </w:rPr>
        <w:t xml:space="preserve">Supply </w:t>
      </w:r>
      <w:r>
        <w:rPr>
          <w:rFonts w:eastAsia="SimSun" w:cs="Times New Roman"/>
          <w:b/>
          <w:bCs/>
          <w:i/>
          <w:iCs/>
          <w:color w:val="000000"/>
        </w:rPr>
        <w:t>o</w:t>
      </w:r>
      <w:r w:rsidRPr="00090DAA">
        <w:rPr>
          <w:rFonts w:eastAsia="SimSun" w:cs="Times New Roman"/>
          <w:b/>
          <w:bCs/>
          <w:i/>
          <w:iCs/>
          <w:color w:val="000000"/>
        </w:rPr>
        <w:t>f Output</w:t>
      </w:r>
    </w:p>
    <w:p w14:paraId="703129CD" w14:textId="77777777" w:rsidR="008F30F4" w:rsidRPr="00FB42CB" w:rsidRDefault="008F30F4" w:rsidP="008F30F4">
      <w:pPr>
        <w:ind w:firstLine="720"/>
        <w:rPr>
          <w:rFonts w:ascii="Times" w:eastAsia="DengXian" w:hAnsi="Times" w:cs="Times New Roman"/>
          <w:sz w:val="22"/>
          <w:szCs w:val="22"/>
        </w:rPr>
      </w:pPr>
      <w:r w:rsidRPr="00FB42CB">
        <w:rPr>
          <w:rFonts w:ascii="Times" w:eastAsia="DengXian" w:hAnsi="Times" w:cs="Times New Roman"/>
          <w:sz w:val="22"/>
          <w:szCs w:val="22"/>
        </w:rPr>
        <w:t>For fossil-based electricity subsectors and other sectors, the profit function is:</w:t>
      </w:r>
    </w:p>
    <w:p w14:paraId="291D9BE1" w14:textId="77777777" w:rsidR="008F30F4" w:rsidRPr="00FB42CB" w:rsidRDefault="008F30F4" w:rsidP="008F30F4">
      <w:pPr>
        <w:pStyle w:val="MTDisplayEquation"/>
        <w:ind w:firstLine="0"/>
        <w:rPr>
          <w:sz w:val="22"/>
          <w:szCs w:val="22"/>
        </w:rPr>
      </w:pPr>
      <w:r w:rsidRPr="00FB42CB">
        <w:rPr>
          <w:sz w:val="22"/>
          <w:szCs w:val="22"/>
        </w:rPr>
        <w:lastRenderedPageBreak/>
        <w:tab/>
      </w:r>
      <w:r w:rsidR="0038014B" w:rsidRPr="004D2C4D">
        <w:rPr>
          <w:noProof/>
          <w:position w:val="-26"/>
        </w:rPr>
        <w:object w:dxaOrig="2299" w:dyaOrig="639" w14:anchorId="363038F3">
          <v:shape id="_x0000_i1156" type="#_x0000_t75" alt="" style="width:114.35pt;height:31.75pt;mso-width-percent:0;mso-height-percent:0;mso-width-percent:0;mso-height-percent:0" o:ole="">
            <v:imagedata r:id="rId142" o:title=""/>
          </v:shape>
          <o:OLEObject Type="Embed" ProgID="Equation.DSMT4" ShapeID="_x0000_i1156" DrawAspect="Content" ObjectID="_1758969475" r:id="rId143"/>
        </w:object>
      </w:r>
      <w:r w:rsidRPr="00FB42CB">
        <w:rPr>
          <w:sz w:val="22"/>
          <w:szCs w:val="22"/>
        </w:rPr>
        <w:tab/>
      </w:r>
      <w:r w:rsidRPr="00FB42CB">
        <w:rPr>
          <w:sz w:val="22"/>
          <w:szCs w:val="22"/>
        </w:rPr>
        <w:fldChar w:fldCharType="begin"/>
      </w:r>
      <w:r w:rsidRPr="00FB42CB">
        <w:rPr>
          <w:sz w:val="22"/>
          <w:szCs w:val="22"/>
        </w:rPr>
        <w:instrText xml:space="preserve"> MACROBUTTON MTPlaceRef \* MERGEFORMAT </w:instrText>
      </w:r>
      <w:r w:rsidRPr="00FB42CB">
        <w:rPr>
          <w:sz w:val="22"/>
          <w:szCs w:val="22"/>
        </w:rPr>
        <w:fldChar w:fldCharType="begin"/>
      </w:r>
      <w:r w:rsidRPr="00FB42CB">
        <w:rPr>
          <w:sz w:val="22"/>
          <w:szCs w:val="22"/>
        </w:rPr>
        <w:instrText xml:space="preserve"> SEQ MTEqn \h \* MERGEFORMAT </w:instrText>
      </w:r>
      <w:r w:rsidRPr="00FB42CB">
        <w:rPr>
          <w:sz w:val="22"/>
          <w:szCs w:val="22"/>
        </w:rPr>
        <w:fldChar w:fldCharType="end"/>
      </w:r>
      <w:r w:rsidRPr="00FB42CB">
        <w:rPr>
          <w:sz w:val="22"/>
          <w:szCs w:val="22"/>
        </w:rPr>
        <w:instrText>(</w:instrText>
      </w:r>
      <w:r w:rsidRPr="00FB42CB">
        <w:rPr>
          <w:sz w:val="22"/>
          <w:szCs w:val="22"/>
        </w:rPr>
        <w:fldChar w:fldCharType="begin"/>
      </w:r>
      <w:r w:rsidRPr="00FB42CB">
        <w:rPr>
          <w:sz w:val="22"/>
          <w:szCs w:val="22"/>
        </w:rPr>
        <w:instrText xml:space="preserve"> SEQ MTSec \c \* Alphabetic \* MERGEFORMAT </w:instrText>
      </w:r>
      <w:r w:rsidRPr="00FB42CB">
        <w:rPr>
          <w:sz w:val="22"/>
          <w:szCs w:val="22"/>
        </w:rPr>
        <w:fldChar w:fldCharType="separate"/>
      </w:r>
      <w:r>
        <w:rPr>
          <w:noProof/>
          <w:sz w:val="22"/>
          <w:szCs w:val="22"/>
        </w:rPr>
        <w:instrText>A</w:instrText>
      </w:r>
      <w:r w:rsidRPr="00FB42CB">
        <w:rPr>
          <w:noProof/>
          <w:sz w:val="22"/>
          <w:szCs w:val="22"/>
        </w:rPr>
        <w:fldChar w:fldCharType="end"/>
      </w:r>
      <w:r w:rsidRPr="00FB42CB">
        <w:rPr>
          <w:sz w:val="22"/>
          <w:szCs w:val="22"/>
        </w:rPr>
        <w:fldChar w:fldCharType="begin"/>
      </w:r>
      <w:r w:rsidRPr="00FB42CB">
        <w:rPr>
          <w:sz w:val="22"/>
          <w:szCs w:val="22"/>
        </w:rPr>
        <w:instrText xml:space="preserve"> SEQ MTEqn \c \* Arabic \* MERGEFORMAT </w:instrText>
      </w:r>
      <w:r w:rsidRPr="00FB42CB">
        <w:rPr>
          <w:sz w:val="22"/>
          <w:szCs w:val="22"/>
        </w:rPr>
        <w:fldChar w:fldCharType="separate"/>
      </w:r>
      <w:r>
        <w:rPr>
          <w:noProof/>
          <w:sz w:val="22"/>
          <w:szCs w:val="22"/>
        </w:rPr>
        <w:instrText>9</w:instrText>
      </w:r>
      <w:r w:rsidRPr="00FB42CB">
        <w:rPr>
          <w:noProof/>
          <w:sz w:val="22"/>
          <w:szCs w:val="22"/>
        </w:rPr>
        <w:fldChar w:fldCharType="end"/>
      </w:r>
      <w:r w:rsidRPr="00FB42CB">
        <w:rPr>
          <w:sz w:val="22"/>
          <w:szCs w:val="22"/>
        </w:rPr>
        <w:instrText>)</w:instrText>
      </w:r>
      <w:r w:rsidRPr="00FB42CB">
        <w:rPr>
          <w:sz w:val="22"/>
          <w:szCs w:val="22"/>
        </w:rPr>
        <w:fldChar w:fldCharType="end"/>
      </w:r>
    </w:p>
    <w:p w14:paraId="6FF1CAB2" w14:textId="77777777" w:rsidR="008F30F4" w:rsidRPr="00FB42CB" w:rsidRDefault="008F30F4" w:rsidP="008F30F4">
      <w:pPr>
        <w:tabs>
          <w:tab w:val="center" w:pos="3790"/>
          <w:tab w:val="right" w:pos="7580"/>
        </w:tabs>
        <w:ind w:firstLine="0"/>
        <w:rPr>
          <w:rFonts w:eastAsia="DengXian" w:cs="Times New Roman"/>
          <w:noProof/>
          <w:sz w:val="22"/>
          <w:szCs w:val="22"/>
        </w:rPr>
      </w:pPr>
      <w:r w:rsidRPr="00FB42CB">
        <w:rPr>
          <w:rFonts w:eastAsia="DengXian" w:cs="Times New Roman"/>
          <w:noProof/>
          <w:sz w:val="22"/>
          <w:szCs w:val="22"/>
        </w:rPr>
        <w:t xml:space="preserve">            For </w:t>
      </w:r>
      <w:r w:rsidRPr="00FB42CB">
        <w:rPr>
          <w:rFonts w:eastAsia="DengXian" w:cs="Times New Roman"/>
          <w:noProof/>
          <w:sz w:val="22"/>
          <w:szCs w:val="22"/>
        </w:rPr>
        <w:tab/>
        <w:t>solar, wind, hydro, and nuclear electricit</w:t>
      </w:r>
      <w:r w:rsidRPr="00FB42CB">
        <w:rPr>
          <w:rFonts w:eastAsia="DengXian" w:cs="Times New Roman" w:hint="eastAsia"/>
          <w:noProof/>
          <w:sz w:val="22"/>
          <w:szCs w:val="22"/>
        </w:rPr>
        <w:t>y</w:t>
      </w:r>
      <w:r w:rsidRPr="00FB42CB">
        <w:rPr>
          <w:rFonts w:eastAsia="DengXian" w:cs="Times New Roman"/>
          <w:noProof/>
          <w:sz w:val="22"/>
          <w:szCs w:val="22"/>
        </w:rPr>
        <w:t xml:space="preserve"> subsectors, the profit function is: </w:t>
      </w:r>
    </w:p>
    <w:p w14:paraId="29FA0534" w14:textId="77777777" w:rsidR="008F30F4" w:rsidRPr="00FB42CB" w:rsidRDefault="008F30F4" w:rsidP="008F30F4">
      <w:pPr>
        <w:pStyle w:val="a2"/>
        <w:rPr>
          <w:noProof/>
        </w:rPr>
      </w:pPr>
      <w:r w:rsidRPr="00FB42CB">
        <w:rPr>
          <w:noProof/>
        </w:rPr>
        <w:tab/>
      </w:r>
      <w:r w:rsidR="0038014B" w:rsidRPr="004D2C4D">
        <w:rPr>
          <w:noProof/>
          <w:position w:val="-10"/>
        </w:rPr>
        <w:object w:dxaOrig="3159" w:dyaOrig="320" w14:anchorId="3987F978">
          <v:shape id="_x0000_i1155" type="#_x0000_t75" alt="" style="width:157.4pt;height:15.55pt;mso-width-percent:0;mso-height-percent:0;mso-width-percent:0;mso-height-percent:0" o:ole="">
            <v:imagedata r:id="rId144" o:title=""/>
          </v:shape>
          <o:OLEObject Type="Embed" ProgID="Equation.DSMT4" ShapeID="_x0000_i1155" DrawAspect="Content" ObjectID="_1758969476" r:id="rId145"/>
        </w:object>
      </w:r>
      <w:r w:rsidRPr="00FB42CB">
        <w:rPr>
          <w:noProof/>
        </w:rPr>
        <w:tab/>
      </w:r>
      <w:r w:rsidRPr="00FB42CB">
        <w:rPr>
          <w:noProof/>
        </w:rPr>
        <w:fldChar w:fldCharType="begin"/>
      </w:r>
      <w:r w:rsidRPr="00FB42CB">
        <w:rPr>
          <w:noProof/>
        </w:rPr>
        <w:instrText xml:space="preserve"> MACROBUTTON MTPlaceRef \* MERGEFORMAT </w:instrText>
      </w:r>
      <w:r w:rsidRPr="00FB42CB">
        <w:rPr>
          <w:noProof/>
        </w:rPr>
        <w:fldChar w:fldCharType="begin"/>
      </w:r>
      <w:r w:rsidRPr="00FB42CB">
        <w:rPr>
          <w:noProof/>
        </w:rPr>
        <w:instrText xml:space="preserve"> SEQ MTEqn \h \* MERGEFORMAT </w:instrText>
      </w:r>
      <w:r w:rsidRPr="00FB42CB">
        <w:rPr>
          <w:noProof/>
        </w:rPr>
        <w:fldChar w:fldCharType="end"/>
      </w:r>
      <w:r w:rsidRPr="00FB42CB">
        <w:rPr>
          <w:noProof/>
        </w:rPr>
        <w:instrText>(</w:instrText>
      </w:r>
      <w:r w:rsidRPr="00FB42CB">
        <w:rPr>
          <w:noProof/>
        </w:rPr>
        <w:fldChar w:fldCharType="begin"/>
      </w:r>
      <w:r w:rsidRPr="00FB42CB">
        <w:rPr>
          <w:noProof/>
        </w:rPr>
        <w:instrText xml:space="preserve"> SEQ MTSec \c \* Alphabetic \* MERGEFORMAT </w:instrText>
      </w:r>
      <w:r w:rsidRPr="00FB42CB">
        <w:rPr>
          <w:noProof/>
        </w:rPr>
        <w:fldChar w:fldCharType="separate"/>
      </w:r>
      <w:r>
        <w:rPr>
          <w:noProof/>
        </w:rPr>
        <w:instrText>A</w:instrText>
      </w:r>
      <w:r w:rsidRPr="00FB42CB">
        <w:rPr>
          <w:noProof/>
        </w:rPr>
        <w:fldChar w:fldCharType="end"/>
      </w:r>
      <w:r w:rsidRPr="00FB42CB">
        <w:rPr>
          <w:noProof/>
        </w:rPr>
        <w:fldChar w:fldCharType="begin"/>
      </w:r>
      <w:r w:rsidRPr="00FB42CB">
        <w:rPr>
          <w:noProof/>
        </w:rPr>
        <w:instrText xml:space="preserve"> SEQ MTEqn \c \* Arabic \* MERGEFORMAT </w:instrText>
      </w:r>
      <w:r w:rsidRPr="00FB42CB">
        <w:rPr>
          <w:noProof/>
        </w:rPr>
        <w:fldChar w:fldCharType="separate"/>
      </w:r>
      <w:r>
        <w:rPr>
          <w:noProof/>
        </w:rPr>
        <w:instrText>10</w:instrText>
      </w:r>
      <w:r w:rsidRPr="00FB42CB">
        <w:rPr>
          <w:noProof/>
        </w:rPr>
        <w:fldChar w:fldCharType="end"/>
      </w:r>
      <w:r w:rsidRPr="00FB42CB">
        <w:rPr>
          <w:noProof/>
        </w:rPr>
        <w:instrText>)</w:instrText>
      </w:r>
      <w:r w:rsidRPr="00FB42CB">
        <w:rPr>
          <w:noProof/>
        </w:rPr>
        <w:fldChar w:fldCharType="end"/>
      </w:r>
    </w:p>
    <w:p w14:paraId="77A65D26" w14:textId="77777777" w:rsidR="008F30F4" w:rsidRPr="00FB42CB" w:rsidRDefault="008F30F4" w:rsidP="008F30F4">
      <w:pPr>
        <w:ind w:firstLine="0"/>
        <w:rPr>
          <w:sz w:val="22"/>
          <w:szCs w:val="22"/>
        </w:rPr>
      </w:pPr>
      <w:r w:rsidRPr="00FB42CB">
        <w:rPr>
          <w:rFonts w:ascii="Times" w:eastAsia="DengXian" w:hAnsi="Times" w:cs="Times New Roman"/>
          <w:sz w:val="22"/>
          <w:szCs w:val="22"/>
        </w:rPr>
        <w:t xml:space="preserve">where the </w:t>
      </w:r>
      <w:r w:rsidRPr="00FB42CB">
        <w:rPr>
          <w:rFonts w:ascii="Times" w:eastAsia="DengXian" w:hAnsi="Times" w:cs="Times New Roman"/>
          <w:i/>
          <w:iCs/>
          <w:sz w:val="22"/>
          <w:szCs w:val="22"/>
        </w:rPr>
        <w:t>C</w:t>
      </w:r>
      <w:r w:rsidRPr="00FB42CB">
        <w:rPr>
          <w:rFonts w:ascii="Times" w:eastAsia="DengXian" w:hAnsi="Times" w:cs="Times New Roman"/>
          <w:sz w:val="22"/>
          <w:szCs w:val="22"/>
        </w:rPr>
        <w:t xml:space="preserve"> is the cost of production inputs, which equals the payment to </w:t>
      </w:r>
      <w:r w:rsidRPr="00FB42CB">
        <w:rPr>
          <w:rFonts w:ascii="Times" w:eastAsia="DengXian" w:hAnsi="Times" w:cs="Times New Roman"/>
          <w:b/>
          <w:bCs/>
          <w:i/>
          <w:iCs/>
          <w:sz w:val="22"/>
          <w:szCs w:val="22"/>
        </w:rPr>
        <w:t>x</w:t>
      </w:r>
      <w:r w:rsidRPr="00FB42CB">
        <w:rPr>
          <w:rFonts w:ascii="Times" w:eastAsia="DengXian" w:hAnsi="Times" w:cs="Times New Roman"/>
          <w:sz w:val="22"/>
          <w:szCs w:val="22"/>
        </w:rPr>
        <w:t xml:space="preserve"> and </w:t>
      </w:r>
      <w:r w:rsidRPr="00FB42CB">
        <w:rPr>
          <w:rFonts w:ascii="Times" w:eastAsia="DengXian" w:hAnsi="Times" w:cs="Times New Roman"/>
          <w:b/>
          <w:bCs/>
          <w:i/>
          <w:iCs/>
          <w:sz w:val="22"/>
          <w:szCs w:val="22"/>
        </w:rPr>
        <w:t>emw</w:t>
      </w:r>
      <w:r w:rsidRPr="00FB42CB">
        <w:rPr>
          <w:rFonts w:ascii="Times" w:eastAsia="DengXian" w:hAnsi="Times" w:cs="Times New Roman"/>
          <w:sz w:val="22"/>
          <w:szCs w:val="22"/>
        </w:rPr>
        <w:t xml:space="preserve">, </w:t>
      </w:r>
      <w:r w:rsidR="0038014B" w:rsidRPr="004D2C4D">
        <w:rPr>
          <w:noProof/>
          <w:position w:val="-10"/>
        </w:rPr>
        <w:object w:dxaOrig="340" w:dyaOrig="320" w14:anchorId="5B27FCCB">
          <v:shape id="_x0000_i1154" type="#_x0000_t75" alt="" style="width:15.55pt;height:15.55pt;mso-width-percent:0;mso-height-percent:0;mso-width-percent:0;mso-height-percent:0" o:ole="">
            <v:imagedata r:id="rId146" o:title=""/>
          </v:shape>
          <o:OLEObject Type="Embed" ProgID="Equation.DSMT4" ShapeID="_x0000_i1154" DrawAspect="Content" ObjectID="_1758969477" r:id="rId147"/>
        </w:object>
      </w:r>
      <w:r w:rsidRPr="00FB42CB">
        <w:rPr>
          <w:rFonts w:ascii="Times" w:eastAsia="DengXian" w:hAnsi="Times" w:cs="Times New Roman"/>
          <w:sz w:val="22"/>
          <w:szCs w:val="22"/>
        </w:rPr>
        <w:t xml:space="preserve"> and </w:t>
      </w:r>
      <w:r w:rsidR="0038014B" w:rsidRPr="004D2C4D">
        <w:rPr>
          <w:noProof/>
          <w:position w:val="-10"/>
        </w:rPr>
        <w:object w:dxaOrig="420" w:dyaOrig="320" w14:anchorId="02C66AF1">
          <v:shape id="_x0000_i1153" type="#_x0000_t75" alt="" style="width:21.2pt;height:15.55pt;mso-width-percent:0;mso-height-percent:0;mso-width-percent:0;mso-height-percent:0" o:ole="">
            <v:imagedata r:id="rId148" o:title=""/>
          </v:shape>
          <o:OLEObject Type="Embed" ProgID="Equation.DSMT4" ShapeID="_x0000_i1153" DrawAspect="Content" ObjectID="_1758969478" r:id="rId149"/>
        </w:object>
      </w:r>
      <w:r w:rsidRPr="00FB42CB">
        <w:rPr>
          <w:rFonts w:ascii="Times" w:eastAsia="DengXian" w:hAnsi="Times" w:cs="Times New Roman"/>
          <w:sz w:val="22"/>
          <w:szCs w:val="22"/>
        </w:rPr>
        <w:t xml:space="preserve">denote the price and endowment for </w:t>
      </w:r>
      <w:r w:rsidRPr="00FB42CB">
        <w:rPr>
          <w:rFonts w:ascii="Times" w:eastAsia="DengXian" w:hAnsi="Times" w:cs="Times New Roman" w:hint="eastAsia"/>
          <w:sz w:val="22"/>
          <w:szCs w:val="22"/>
        </w:rPr>
        <w:t>natural</w:t>
      </w:r>
      <w:r w:rsidRPr="00FB42CB">
        <w:rPr>
          <w:rFonts w:ascii="Times" w:eastAsia="DengXian" w:hAnsi="Times" w:cs="Times New Roman"/>
          <w:sz w:val="22"/>
          <w:szCs w:val="22"/>
        </w:rPr>
        <w:t xml:space="preserve"> resources. The </w:t>
      </w:r>
      <w:r w:rsidR="0038014B" w:rsidRPr="004D2C4D">
        <w:rPr>
          <w:noProof/>
          <w:position w:val="-10"/>
        </w:rPr>
        <w:object w:dxaOrig="220" w:dyaOrig="240" w14:anchorId="7BD7F9D5">
          <v:shape id="_x0000_i1152" type="#_x0000_t75" alt="" style="width:12pt;height:12.7pt;mso-width-percent:0;mso-height-percent:0;mso-width-percent:0;mso-height-percent:0" o:ole="">
            <v:imagedata r:id="rId150" o:title=""/>
          </v:shape>
          <o:OLEObject Type="Embed" ProgID="Equation.DSMT4" ShapeID="_x0000_i1152" DrawAspect="Content" ObjectID="_1758969479" r:id="rId151"/>
        </w:object>
      </w:r>
      <w:r w:rsidRPr="00FB42CB">
        <w:rPr>
          <w:rFonts w:ascii="Times" w:eastAsia="DengXian" w:hAnsi="Times" w:cs="Times New Roman"/>
          <w:sz w:val="22"/>
          <w:szCs w:val="22"/>
        </w:rPr>
        <w:t xml:space="preserve"> denotes the composite price of the produced good: </w:t>
      </w:r>
    </w:p>
    <w:p w14:paraId="44508306" w14:textId="77777777" w:rsidR="008F30F4" w:rsidRPr="00A7578E" w:rsidRDefault="008F30F4" w:rsidP="008F30F4">
      <w:pPr>
        <w:pStyle w:val="a2"/>
      </w:pPr>
      <w:r w:rsidRPr="00A7578E">
        <w:tab/>
      </w:r>
      <w:r w:rsidR="0038014B" w:rsidRPr="004D2C4D">
        <w:rPr>
          <w:noProof/>
          <w:position w:val="-16"/>
        </w:rPr>
        <w:object w:dxaOrig="2860" w:dyaOrig="540" w14:anchorId="1C845CE1">
          <v:shape id="_x0000_i1151" type="#_x0000_t75" alt="" style="width:143.3pt;height:26.8pt;mso-width-percent:0;mso-height-percent:0;mso-width-percent:0;mso-height-percent:0" o:ole="">
            <v:imagedata r:id="rId152" o:title=""/>
          </v:shape>
          <o:OLEObject Type="Embed" ProgID="Equation.DSMT4" ShapeID="_x0000_i1151" DrawAspect="Content" ObjectID="_1758969480" r:id="rId153"/>
        </w:object>
      </w:r>
      <w:r w:rsidRPr="00A7578E">
        <w:tab/>
      </w:r>
      <w:r w:rsidRPr="00A7578E">
        <w:fldChar w:fldCharType="begin"/>
      </w:r>
      <w:r w:rsidRPr="00A7578E">
        <w:instrText xml:space="preserve"> MACROBUTTON MTPlaceRef \* MERGEFORMAT </w:instrText>
      </w:r>
      <w:r w:rsidRPr="00A7578E">
        <w:fldChar w:fldCharType="begin"/>
      </w:r>
      <w:r w:rsidRPr="00A7578E">
        <w:instrText xml:space="preserve"> SEQ MTEqn \h \* MERGEFORMAT </w:instrText>
      </w:r>
      <w:r w:rsidRPr="00A7578E">
        <w:fldChar w:fldCharType="end"/>
      </w:r>
      <w:r w:rsidRPr="00A7578E">
        <w:instrText>(</w:instrText>
      </w:r>
      <w:fldSimple w:instr=" SEQ MTSec \c \* Alphabetic \* MERGEFORMAT ">
        <w:r>
          <w:rPr>
            <w:noProof/>
          </w:rPr>
          <w:instrText>A</w:instrText>
        </w:r>
      </w:fldSimple>
      <w:fldSimple w:instr=" SEQ MTEqn \c \* Arabic \* MERGEFORMAT ">
        <w:r>
          <w:rPr>
            <w:noProof/>
          </w:rPr>
          <w:instrText>11</w:instrText>
        </w:r>
      </w:fldSimple>
      <w:r w:rsidRPr="00A7578E">
        <w:instrText>)</w:instrText>
      </w:r>
      <w:r w:rsidRPr="00A7578E">
        <w:fldChar w:fldCharType="end"/>
      </w:r>
    </w:p>
    <w:p w14:paraId="5FBF5FB5" w14:textId="77777777" w:rsidR="008F30F4" w:rsidRPr="00FB42CB" w:rsidRDefault="008F30F4" w:rsidP="008F30F4">
      <w:pPr>
        <w:ind w:firstLine="0"/>
        <w:rPr>
          <w:rFonts w:ascii="Times" w:eastAsia="DengXian" w:hAnsi="Times" w:cs="Times New Roman"/>
          <w:sz w:val="22"/>
          <w:szCs w:val="22"/>
        </w:rPr>
      </w:pPr>
      <w:r w:rsidRPr="00FB42CB">
        <w:rPr>
          <w:rFonts w:ascii="Times" w:eastAsia="DengXian" w:hAnsi="Times" w:cs="Times New Roman"/>
          <w:sz w:val="22"/>
          <w:szCs w:val="22"/>
        </w:rPr>
        <w:t xml:space="preserve">where </w:t>
      </w:r>
      <w:r w:rsidR="0038014B" w:rsidRPr="004D2C4D">
        <w:rPr>
          <w:noProof/>
          <w:position w:val="-10"/>
        </w:rPr>
        <w:object w:dxaOrig="380" w:dyaOrig="320" w14:anchorId="21FC2481">
          <v:shape id="_x0000_i1150" type="#_x0000_t75" alt="" style="width:19.75pt;height:15.55pt;mso-width-percent:0;mso-height-percent:0;mso-width-percent:0;mso-height-percent:0" o:ole="">
            <v:imagedata r:id="rId154" o:title=""/>
          </v:shape>
          <o:OLEObject Type="Embed" ProgID="Equation.DSMT4" ShapeID="_x0000_i1150" DrawAspect="Content" ObjectID="_1758969481" r:id="rId155"/>
        </w:object>
      </w:r>
      <w:r w:rsidRPr="00FB42CB">
        <w:rPr>
          <w:rFonts w:ascii="Times" w:eastAsia="DengXian" w:hAnsi="Times" w:cs="Times New Roman"/>
          <w:sz w:val="22"/>
          <w:szCs w:val="22"/>
        </w:rPr>
        <w:t xml:space="preserve"> is the domestic price, </w:t>
      </w:r>
      <w:r w:rsidR="0038014B" w:rsidRPr="004D2C4D">
        <w:rPr>
          <w:noProof/>
          <w:position w:val="-10"/>
        </w:rPr>
        <w:object w:dxaOrig="340" w:dyaOrig="320" w14:anchorId="6A30D37D">
          <v:shape id="_x0000_i1149" type="#_x0000_t75" alt="" style="width:15.55pt;height:15.55pt;mso-width-percent:0;mso-height-percent:0;mso-width-percent:0;mso-height-percent:0" o:ole="">
            <v:imagedata r:id="rId156" o:title=""/>
          </v:shape>
          <o:OLEObject Type="Embed" ProgID="Equation.DSMT4" ShapeID="_x0000_i1149" DrawAspect="Content" ObjectID="_1758969482" r:id="rId157"/>
        </w:object>
      </w:r>
      <w:r w:rsidRPr="00FB42CB">
        <w:rPr>
          <w:rFonts w:ascii="Times" w:eastAsia="DengXian" w:hAnsi="Times" w:cs="Times New Roman"/>
          <w:sz w:val="22"/>
          <w:szCs w:val="22"/>
        </w:rPr>
        <w:t xml:space="preserve"> the export price, </w:t>
      </w:r>
      <w:r w:rsidR="0038014B" w:rsidRPr="004D2C4D">
        <w:rPr>
          <w:noProof/>
          <w:position w:val="-10"/>
        </w:rPr>
        <w:object w:dxaOrig="340" w:dyaOrig="320" w14:anchorId="01F7B054">
          <v:shape id="_x0000_i1148" type="#_x0000_t75" alt="" style="width:15.55pt;height:15.55pt;mso-width-percent:0;mso-height-percent:0;mso-width-percent:0;mso-height-percent:0" o:ole="">
            <v:imagedata r:id="rId158" o:title=""/>
          </v:shape>
          <o:OLEObject Type="Embed" ProgID="Equation.DSMT4" ShapeID="_x0000_i1148" DrawAspect="Content" ObjectID="_1758969483" r:id="rId159"/>
        </w:object>
      </w:r>
      <w:r w:rsidRPr="00FB42CB">
        <w:rPr>
          <w:rFonts w:ascii="Times" w:eastAsia="DengXian" w:hAnsi="Times" w:cs="Times New Roman"/>
          <w:sz w:val="22"/>
          <w:szCs w:val="22"/>
        </w:rPr>
        <w:t xml:space="preserve"> the elasticity of transformation between domestic and export supply. Thus, the composite price is a function of the market prices for the sale of the output to the domestic and export markets.</w:t>
      </w:r>
    </w:p>
    <w:p w14:paraId="4BC79D7C" w14:textId="77777777" w:rsidR="008F30F4" w:rsidRPr="00FB42CB" w:rsidRDefault="008F30F4" w:rsidP="008F30F4">
      <w:pPr>
        <w:ind w:firstLine="720"/>
        <w:rPr>
          <w:sz w:val="22"/>
          <w:szCs w:val="22"/>
        </w:rPr>
      </w:pPr>
      <w:r w:rsidRPr="00FB42CB">
        <w:rPr>
          <w:rFonts w:ascii="Times" w:eastAsia="DengXian" w:hAnsi="Times" w:cs="Times New Roman"/>
          <w:sz w:val="22"/>
          <w:szCs w:val="22"/>
        </w:rPr>
        <w:t xml:space="preserve">Differentiating the profit function with respect to </w:t>
      </w:r>
      <w:r w:rsidRPr="00FB42CB">
        <w:rPr>
          <w:rFonts w:ascii="Times" w:eastAsia="DengXian" w:hAnsi="Times" w:cs="Times New Roman"/>
          <w:b/>
          <w:bCs/>
          <w:i/>
          <w:iCs/>
          <w:sz w:val="22"/>
          <w:szCs w:val="22"/>
        </w:rPr>
        <w:t>x</w:t>
      </w:r>
      <w:r w:rsidRPr="00FB42CB">
        <w:rPr>
          <w:rFonts w:ascii="Times" w:eastAsia="DengXian" w:hAnsi="Times" w:cs="Times New Roman"/>
          <w:bCs/>
          <w:sz w:val="22"/>
          <w:szCs w:val="22"/>
        </w:rPr>
        <w:t xml:space="preserve"> gives the first-order condition for </w:t>
      </w:r>
      <w:r w:rsidRPr="00FB42CB">
        <w:rPr>
          <w:rFonts w:ascii="Times" w:eastAsia="DengXian" w:hAnsi="Times" w:cs="Times New Roman"/>
          <w:b/>
          <w:bCs/>
          <w:i/>
          <w:iCs/>
          <w:sz w:val="22"/>
          <w:szCs w:val="22"/>
        </w:rPr>
        <w:t>x</w:t>
      </w:r>
      <w:r w:rsidRPr="00FB42CB">
        <w:rPr>
          <w:rFonts w:ascii="Times" w:eastAsia="DengXian" w:hAnsi="Times" w:cs="Times New Roman"/>
          <w:bCs/>
          <w:sz w:val="22"/>
          <w:szCs w:val="22"/>
        </w:rPr>
        <w:t xml:space="preserve">, where the left-hand side represents the marginal revenue of </w:t>
      </w:r>
      <w:r w:rsidRPr="00FB42CB">
        <w:rPr>
          <w:rFonts w:ascii="Times" w:eastAsia="DengXian" w:hAnsi="Times" w:cs="Times New Roman"/>
          <w:b/>
          <w:bCs/>
          <w:i/>
          <w:iCs/>
          <w:sz w:val="22"/>
          <w:szCs w:val="22"/>
        </w:rPr>
        <w:t>x</w:t>
      </w:r>
      <w:r w:rsidRPr="00FB42CB">
        <w:rPr>
          <w:rFonts w:ascii="Times" w:eastAsia="DengXian" w:hAnsi="Times" w:cs="Times New Roman"/>
          <w:bCs/>
          <w:sz w:val="22"/>
          <w:szCs w:val="22"/>
        </w:rPr>
        <w:t xml:space="preserve"> and the right-hand side represents the marginal cost of </w:t>
      </w:r>
      <w:r w:rsidRPr="00FB42CB">
        <w:rPr>
          <w:rFonts w:ascii="Times" w:eastAsia="DengXian" w:hAnsi="Times" w:cs="Times New Roman"/>
          <w:b/>
          <w:bCs/>
          <w:i/>
          <w:iCs/>
          <w:sz w:val="22"/>
          <w:szCs w:val="22"/>
        </w:rPr>
        <w:t>x</w:t>
      </w:r>
      <w:r w:rsidRPr="00FB42CB">
        <w:rPr>
          <w:rFonts w:ascii="Times" w:eastAsia="DengXian" w:hAnsi="Times" w:cs="Times New Roman"/>
          <w:bCs/>
          <w:sz w:val="22"/>
          <w:szCs w:val="22"/>
        </w:rPr>
        <w:t>:</w:t>
      </w:r>
      <w:r w:rsidRPr="00FB42CB">
        <w:rPr>
          <w:rFonts w:ascii="Times" w:eastAsia="DengXian" w:hAnsi="Times" w:cs="Times New Roman"/>
          <w:sz w:val="22"/>
          <w:szCs w:val="22"/>
        </w:rPr>
        <w:t xml:space="preserve"> </w:t>
      </w:r>
    </w:p>
    <w:p w14:paraId="43F18C1E" w14:textId="77777777" w:rsidR="008F30F4" w:rsidRPr="00A7578E" w:rsidRDefault="008F30F4" w:rsidP="008F30F4">
      <w:pPr>
        <w:pStyle w:val="a2"/>
      </w:pPr>
      <w:r w:rsidRPr="00A7578E">
        <w:tab/>
      </w:r>
      <w:r w:rsidR="0038014B" w:rsidRPr="004D2C4D">
        <w:rPr>
          <w:noProof/>
          <w:position w:val="-22"/>
        </w:rPr>
        <w:object w:dxaOrig="960" w:dyaOrig="580" w14:anchorId="6A45F21B">
          <v:shape id="_x0000_i1147" type="#_x0000_t75" alt="" style="width:48pt;height:29.65pt;mso-width-percent:0;mso-height-percent:0;mso-width-percent:0;mso-height-percent:0" o:ole="">
            <v:imagedata r:id="rId160" o:title=""/>
          </v:shape>
          <o:OLEObject Type="Embed" ProgID="Equation.DSMT4" ShapeID="_x0000_i1147" DrawAspect="Content" ObjectID="_1758969484" r:id="rId161"/>
        </w:object>
      </w:r>
      <w:r w:rsidRPr="00A7578E">
        <w:tab/>
      </w:r>
      <w:r w:rsidRPr="00A7578E">
        <w:fldChar w:fldCharType="begin"/>
      </w:r>
      <w:r w:rsidRPr="00A7578E">
        <w:instrText xml:space="preserve"> MACROBUTTON MTPlaceRef \* MERGEFORMAT </w:instrText>
      </w:r>
      <w:r w:rsidRPr="00A7578E">
        <w:fldChar w:fldCharType="begin"/>
      </w:r>
      <w:r w:rsidRPr="00A7578E">
        <w:instrText xml:space="preserve"> SEQ MTEqn \h \* MERGEFORMAT </w:instrText>
      </w:r>
      <w:r w:rsidRPr="00A7578E">
        <w:fldChar w:fldCharType="end"/>
      </w:r>
      <w:r w:rsidRPr="00A7578E">
        <w:instrText>(</w:instrText>
      </w:r>
      <w:fldSimple w:instr=" SEQ MTSec \c \* Alphabetic \* MERGEFORMAT ">
        <w:r>
          <w:rPr>
            <w:noProof/>
          </w:rPr>
          <w:instrText>A</w:instrText>
        </w:r>
      </w:fldSimple>
      <w:fldSimple w:instr=" SEQ MTEqn \c \* Arabic \* MERGEFORMAT ">
        <w:r>
          <w:rPr>
            <w:noProof/>
          </w:rPr>
          <w:instrText>12</w:instrText>
        </w:r>
      </w:fldSimple>
      <w:r w:rsidRPr="00A7578E">
        <w:instrText>)</w:instrText>
      </w:r>
      <w:r w:rsidRPr="00A7578E">
        <w:fldChar w:fldCharType="end"/>
      </w:r>
    </w:p>
    <w:p w14:paraId="24992E38" w14:textId="77777777" w:rsidR="008F30F4" w:rsidRPr="00FB42CB" w:rsidRDefault="008F30F4" w:rsidP="008F30F4">
      <w:pPr>
        <w:ind w:firstLine="0"/>
        <w:rPr>
          <w:rFonts w:ascii="Times" w:eastAsia="DengXian" w:hAnsi="Times" w:cs="Times New Roman"/>
          <w:bCs/>
          <w:sz w:val="22"/>
          <w:szCs w:val="22"/>
        </w:rPr>
      </w:pPr>
      <w:r w:rsidRPr="00FB42CB">
        <w:rPr>
          <w:rFonts w:ascii="Times" w:eastAsia="DengXian" w:hAnsi="Times" w:cs="Times New Roman"/>
          <w:sz w:val="22"/>
          <w:szCs w:val="22"/>
        </w:rPr>
        <w:t xml:space="preserve">From the first-order condition, we can solve the optimal quantity of </w:t>
      </w:r>
      <w:r w:rsidRPr="00FB42CB">
        <w:rPr>
          <w:rFonts w:ascii="Times" w:eastAsia="DengXian" w:hAnsi="Times" w:cs="Times New Roman"/>
          <w:b/>
          <w:bCs/>
          <w:i/>
          <w:iCs/>
          <w:sz w:val="22"/>
          <w:szCs w:val="22"/>
        </w:rPr>
        <w:t>x</w:t>
      </w:r>
      <w:r w:rsidRPr="00FB42CB">
        <w:rPr>
          <w:rFonts w:ascii="Times" w:eastAsia="DengXian" w:hAnsi="Times" w:cs="Times New Roman"/>
          <w:bCs/>
          <w:sz w:val="22"/>
          <w:szCs w:val="22"/>
        </w:rPr>
        <w:t xml:space="preserve"> as a function of output. </w:t>
      </w:r>
    </w:p>
    <w:p w14:paraId="238EF396" w14:textId="77777777" w:rsidR="008F30F4" w:rsidRPr="00A7578E" w:rsidRDefault="008F30F4" w:rsidP="008F30F4">
      <w:pPr>
        <w:pStyle w:val="a2"/>
      </w:pPr>
      <w:r w:rsidRPr="00A7578E">
        <w:tab/>
      </w:r>
      <w:r w:rsidR="0038014B" w:rsidRPr="004D2C4D">
        <w:rPr>
          <w:noProof/>
          <w:position w:val="-28"/>
        </w:rPr>
        <w:object w:dxaOrig="2040" w:dyaOrig="720" w14:anchorId="15B37B48">
          <v:shape id="_x0000_i1146" type="#_x0000_t75" alt="" style="width:102.35pt;height:37.4pt;mso-width-percent:0;mso-height-percent:0;mso-width-percent:0;mso-height-percent:0" o:ole="">
            <v:imagedata r:id="rId162" o:title=""/>
          </v:shape>
          <o:OLEObject Type="Embed" ProgID="Equation.DSMT4" ShapeID="_x0000_i1146" DrawAspect="Content" ObjectID="_1758969485" r:id="rId163"/>
        </w:object>
      </w:r>
      <w:r w:rsidRPr="00A7578E">
        <w:tab/>
      </w:r>
      <w:r w:rsidRPr="00A7578E">
        <w:fldChar w:fldCharType="begin"/>
      </w:r>
      <w:r w:rsidRPr="00A7578E">
        <w:instrText xml:space="preserve"> MACROBUTTON MTPlaceRef \* MERGEFORMAT </w:instrText>
      </w:r>
      <w:r w:rsidRPr="00A7578E">
        <w:fldChar w:fldCharType="begin"/>
      </w:r>
      <w:r w:rsidRPr="00A7578E">
        <w:instrText xml:space="preserve"> SEQ MTEqn \h \* MERGEFORMAT </w:instrText>
      </w:r>
      <w:r w:rsidRPr="00A7578E">
        <w:fldChar w:fldCharType="end"/>
      </w:r>
      <w:r w:rsidRPr="00A7578E">
        <w:instrText>(</w:instrText>
      </w:r>
      <w:fldSimple w:instr=" SEQ MTSec \c \* Alphabetic \* MERGEFORMAT ">
        <w:r>
          <w:rPr>
            <w:noProof/>
          </w:rPr>
          <w:instrText>A</w:instrText>
        </w:r>
      </w:fldSimple>
      <w:fldSimple w:instr=" SEQ MTEqn \c \* Arabic \* MERGEFORMAT ">
        <w:r>
          <w:rPr>
            <w:noProof/>
          </w:rPr>
          <w:instrText>13</w:instrText>
        </w:r>
      </w:fldSimple>
      <w:r w:rsidRPr="00A7578E">
        <w:instrText>)</w:instrText>
      </w:r>
      <w:r w:rsidRPr="00A7578E">
        <w:fldChar w:fldCharType="end"/>
      </w:r>
    </w:p>
    <w:p w14:paraId="3E2381C8" w14:textId="77777777" w:rsidR="008F30F4" w:rsidRPr="00482A00" w:rsidRDefault="008F30F4" w:rsidP="008F30F4">
      <w:pPr>
        <w:ind w:firstLine="720"/>
        <w:rPr>
          <w:rFonts w:ascii="Times" w:eastAsia="DengXian" w:hAnsi="Times" w:cs="Times New Roman"/>
          <w:bCs/>
          <w:sz w:val="22"/>
          <w:szCs w:val="22"/>
        </w:rPr>
      </w:pPr>
      <w:r w:rsidRPr="00482A00">
        <w:rPr>
          <w:rFonts w:ascii="Times" w:eastAsia="DengXian" w:hAnsi="Times" w:cs="Times New Roman"/>
          <w:sz w:val="22"/>
          <w:szCs w:val="22"/>
        </w:rPr>
        <w:t xml:space="preserve">Similarly, differentiating the profit function with respect to </w:t>
      </w:r>
      <w:r w:rsidRPr="00482A00">
        <w:rPr>
          <w:rFonts w:ascii="Times" w:eastAsia="DengXian" w:hAnsi="Times" w:cs="Times New Roman"/>
          <w:b/>
          <w:bCs/>
          <w:i/>
          <w:iCs/>
          <w:sz w:val="22"/>
          <w:szCs w:val="22"/>
        </w:rPr>
        <w:t>emw</w:t>
      </w:r>
      <w:r w:rsidRPr="00482A00">
        <w:rPr>
          <w:rFonts w:ascii="Times" w:eastAsia="DengXian" w:hAnsi="Times" w:cs="Times New Roman"/>
          <w:sz w:val="22"/>
          <w:szCs w:val="22"/>
        </w:rPr>
        <w:t xml:space="preserve"> </w:t>
      </w:r>
      <w:r w:rsidRPr="00482A00">
        <w:rPr>
          <w:rFonts w:ascii="Times" w:eastAsia="DengXian" w:hAnsi="Times" w:cs="Times New Roman"/>
          <w:bCs/>
          <w:sz w:val="22"/>
          <w:szCs w:val="22"/>
        </w:rPr>
        <w:t xml:space="preserve">gives the first-order condition for </w:t>
      </w:r>
      <w:r w:rsidRPr="00482A00">
        <w:rPr>
          <w:rFonts w:ascii="Times" w:eastAsia="DengXian" w:hAnsi="Times" w:cs="Times New Roman"/>
          <w:b/>
          <w:bCs/>
          <w:i/>
          <w:iCs/>
          <w:sz w:val="22"/>
          <w:szCs w:val="22"/>
        </w:rPr>
        <w:t>emw</w:t>
      </w:r>
      <w:r w:rsidRPr="00482A00">
        <w:rPr>
          <w:rFonts w:ascii="Times" w:eastAsia="DengXian" w:hAnsi="Times" w:cs="Times New Roman"/>
          <w:bCs/>
          <w:sz w:val="22"/>
          <w:szCs w:val="22"/>
        </w:rPr>
        <w:t xml:space="preserve">. And from the first-order condition, we have the optimal quantity of </w:t>
      </w:r>
      <w:r w:rsidRPr="00482A00">
        <w:rPr>
          <w:rFonts w:ascii="Times" w:eastAsia="DengXian" w:hAnsi="Times" w:cs="Times New Roman"/>
          <w:b/>
          <w:bCs/>
          <w:i/>
          <w:iCs/>
          <w:sz w:val="22"/>
          <w:szCs w:val="22"/>
        </w:rPr>
        <w:t>emw</w:t>
      </w:r>
      <w:r w:rsidRPr="00482A00">
        <w:rPr>
          <w:rFonts w:ascii="Times" w:eastAsia="DengXian" w:hAnsi="Times" w:cs="Times New Roman"/>
          <w:bCs/>
          <w:sz w:val="22"/>
          <w:szCs w:val="22"/>
        </w:rPr>
        <w:t xml:space="preserve"> as a function of output. </w:t>
      </w:r>
    </w:p>
    <w:p w14:paraId="7336A9A6" w14:textId="77777777" w:rsidR="008F30F4" w:rsidRPr="00482A00" w:rsidRDefault="008F30F4" w:rsidP="008F30F4">
      <w:pPr>
        <w:pStyle w:val="a2"/>
      </w:pPr>
      <w:r w:rsidRPr="00482A00">
        <w:tab/>
      </w:r>
      <w:r w:rsidR="0038014B" w:rsidRPr="004D2C4D">
        <w:rPr>
          <w:noProof/>
          <w:position w:val="-22"/>
        </w:rPr>
        <w:object w:dxaOrig="1420" w:dyaOrig="580" w14:anchorId="3F91790D">
          <v:shape id="_x0000_i1145" type="#_x0000_t75" alt="" style="width:71.3pt;height:29.65pt;mso-width-percent:0;mso-height-percent:0;mso-width-percent:0;mso-height-percent:0" o:ole="">
            <v:imagedata r:id="rId164" o:title=""/>
          </v:shape>
          <o:OLEObject Type="Embed" ProgID="Equation.DSMT4" ShapeID="_x0000_i1145" DrawAspect="Content" ObjectID="_1758969486" r:id="rId165"/>
        </w:object>
      </w:r>
      <w:r w:rsidRPr="00482A00">
        <w:tab/>
      </w:r>
      <w:r w:rsidRPr="00482A00">
        <w:fldChar w:fldCharType="begin"/>
      </w:r>
      <w:r w:rsidRPr="00482A00">
        <w:instrText xml:space="preserve"> MACROBUTTON MTPlaceRef \* MERGEFORMAT </w:instrText>
      </w:r>
      <w:r w:rsidRPr="00482A00">
        <w:fldChar w:fldCharType="begin"/>
      </w:r>
      <w:r w:rsidRPr="00482A00">
        <w:instrText xml:space="preserve"> SEQ MTEqn \h \* MERGEFORMAT </w:instrText>
      </w:r>
      <w:r w:rsidRPr="00482A00">
        <w:fldChar w:fldCharType="end"/>
      </w:r>
      <w:r w:rsidRPr="00482A00">
        <w:instrText>(</w:instrText>
      </w:r>
      <w:fldSimple w:instr=" SEQ MTSec \c \* Alphabetic \* MERGEFORMAT ">
        <w:r>
          <w:rPr>
            <w:noProof/>
          </w:rPr>
          <w:instrText>A</w:instrText>
        </w:r>
      </w:fldSimple>
      <w:fldSimple w:instr=" SEQ MTEqn \c \* Arabic \* MERGEFORMAT ">
        <w:r>
          <w:rPr>
            <w:noProof/>
          </w:rPr>
          <w:instrText>14</w:instrText>
        </w:r>
      </w:fldSimple>
      <w:r w:rsidRPr="00482A00">
        <w:instrText>)</w:instrText>
      </w:r>
      <w:r w:rsidRPr="00482A00">
        <w:fldChar w:fldCharType="end"/>
      </w:r>
    </w:p>
    <w:p w14:paraId="131736E6" w14:textId="77777777" w:rsidR="008F30F4" w:rsidRPr="00482A00" w:rsidRDefault="008F30F4" w:rsidP="008F30F4">
      <w:pPr>
        <w:pStyle w:val="a2"/>
      </w:pPr>
      <w:r w:rsidRPr="00482A00">
        <w:tab/>
      </w:r>
      <w:r w:rsidR="0038014B" w:rsidRPr="004D2C4D">
        <w:rPr>
          <w:noProof/>
          <w:position w:val="-28"/>
        </w:rPr>
        <w:object w:dxaOrig="2500" w:dyaOrig="720" w14:anchorId="36E4B3AB">
          <v:shape id="_x0000_i1144" type="#_x0000_t75" alt="" style="width:124.25pt;height:37.4pt;mso-width-percent:0;mso-height-percent:0;mso-width-percent:0;mso-height-percent:0" o:ole="">
            <v:imagedata r:id="rId166" o:title=""/>
          </v:shape>
          <o:OLEObject Type="Embed" ProgID="Equation.DSMT4" ShapeID="_x0000_i1144" DrawAspect="Content" ObjectID="_1758969487" r:id="rId167"/>
        </w:object>
      </w:r>
      <w:r w:rsidRPr="00482A00">
        <w:tab/>
      </w:r>
      <w:r w:rsidRPr="00482A00">
        <w:fldChar w:fldCharType="begin"/>
      </w:r>
      <w:r w:rsidRPr="00482A00">
        <w:instrText xml:space="preserve"> MACROBUTTON MTPlaceRef \* MERGEFORMAT </w:instrText>
      </w:r>
      <w:r w:rsidRPr="00482A00">
        <w:fldChar w:fldCharType="begin"/>
      </w:r>
      <w:r w:rsidRPr="00482A00">
        <w:instrText xml:space="preserve"> SEQ MTEqn \h \* MERGEFORMAT </w:instrText>
      </w:r>
      <w:r w:rsidRPr="00482A00">
        <w:fldChar w:fldCharType="end"/>
      </w:r>
      <w:r w:rsidRPr="00482A00">
        <w:instrText>(</w:instrText>
      </w:r>
      <w:fldSimple w:instr=" SEQ MTSec \c \* Alphabetic \* MERGEFORMAT ">
        <w:r>
          <w:rPr>
            <w:noProof/>
          </w:rPr>
          <w:instrText>A</w:instrText>
        </w:r>
      </w:fldSimple>
      <w:fldSimple w:instr=" SEQ MTEqn \c \* Arabic \* MERGEFORMAT ">
        <w:r>
          <w:rPr>
            <w:noProof/>
          </w:rPr>
          <w:instrText>15</w:instrText>
        </w:r>
      </w:fldSimple>
      <w:r w:rsidRPr="00482A00">
        <w:instrText>)</w:instrText>
      </w:r>
      <w:r w:rsidRPr="00482A00">
        <w:fldChar w:fldCharType="end"/>
      </w:r>
    </w:p>
    <w:p w14:paraId="7CA1D71D" w14:textId="77777777" w:rsidR="008F30F4" w:rsidRPr="00C61CFF" w:rsidRDefault="008F30F4" w:rsidP="008F30F4">
      <w:pPr>
        <w:ind w:firstLine="720"/>
        <w:rPr>
          <w:rFonts w:ascii="Times" w:eastAsia="DengXian" w:hAnsi="Times" w:cs="Times New Roman"/>
          <w:sz w:val="22"/>
          <w:szCs w:val="22"/>
        </w:rPr>
      </w:pPr>
      <w:r w:rsidRPr="00482A00">
        <w:rPr>
          <w:rFonts w:ascii="Times" w:eastAsia="DengXian" w:hAnsi="Times" w:cs="Times New Roman"/>
          <w:sz w:val="22"/>
          <w:szCs w:val="22"/>
        </w:rPr>
        <w:t xml:space="preserve">Under the model’s production structure, each firm’s production exhibits constant returns to scale. The firm chooses the level of output at which the marginal production cost equals the price. Applying the optimal </w:t>
      </w:r>
      <w:r w:rsidRPr="00482A00">
        <w:rPr>
          <w:rFonts w:ascii="Times" w:eastAsia="DengXian" w:hAnsi="Times" w:cs="Times New Roman"/>
          <w:b/>
          <w:bCs/>
          <w:i/>
          <w:iCs/>
          <w:sz w:val="22"/>
          <w:szCs w:val="22"/>
        </w:rPr>
        <w:t>x</w:t>
      </w:r>
      <w:r w:rsidRPr="00482A00">
        <w:rPr>
          <w:rFonts w:ascii="Times" w:eastAsia="DengXian" w:hAnsi="Times" w:cs="Times New Roman"/>
          <w:b/>
          <w:bCs/>
          <w:sz w:val="22"/>
          <w:szCs w:val="22"/>
        </w:rPr>
        <w:t xml:space="preserve"> </w:t>
      </w:r>
      <w:r w:rsidRPr="00482A00">
        <w:rPr>
          <w:rFonts w:ascii="Times" w:eastAsia="DengXian" w:hAnsi="Times" w:cs="Times New Roman"/>
          <w:sz w:val="22"/>
          <w:szCs w:val="22"/>
        </w:rPr>
        <w:t>and optimal</w:t>
      </w:r>
      <w:r w:rsidRPr="00482A00">
        <w:rPr>
          <w:rFonts w:ascii="Times" w:eastAsia="DengXian" w:hAnsi="Times" w:cs="Times New Roman"/>
          <w:b/>
          <w:bCs/>
          <w:sz w:val="22"/>
          <w:szCs w:val="22"/>
        </w:rPr>
        <w:t xml:space="preserve"> </w:t>
      </w:r>
      <w:r w:rsidRPr="00482A00">
        <w:rPr>
          <w:rFonts w:ascii="Times" w:eastAsia="DengXian" w:hAnsi="Times" w:cs="Times New Roman"/>
          <w:b/>
          <w:bCs/>
          <w:i/>
          <w:iCs/>
          <w:sz w:val="22"/>
          <w:szCs w:val="22"/>
        </w:rPr>
        <w:t>emw</w:t>
      </w:r>
      <w:r w:rsidRPr="00482A00">
        <w:rPr>
          <w:rFonts w:ascii="Times" w:eastAsia="DengXian" w:hAnsi="Times" w:cs="Times New Roman"/>
          <w:sz w:val="22"/>
          <w:szCs w:val="22"/>
        </w:rPr>
        <w:t xml:space="preserve"> in equations </w:t>
      </w:r>
      <w:r w:rsidRPr="00542EB9">
        <w:rPr>
          <w:rFonts w:ascii="Times" w:eastAsia="DengXian" w:hAnsi="Times" w:cs="Times New Roman"/>
          <w:sz w:val="22"/>
          <w:szCs w:val="22"/>
        </w:rPr>
        <w:t>(A</w:t>
      </w:r>
      <w:r w:rsidRPr="00EC5B7E">
        <w:rPr>
          <w:rFonts w:ascii="Times" w:eastAsia="DengXian" w:hAnsi="Times" w:cs="Times New Roman"/>
          <w:sz w:val="22"/>
          <w:szCs w:val="22"/>
        </w:rPr>
        <w:t>1</w:t>
      </w:r>
      <w:r w:rsidRPr="00482A00">
        <w:rPr>
          <w:rFonts w:ascii="Times" w:eastAsia="DengXian" w:hAnsi="Times" w:cs="Times New Roman"/>
          <w:sz w:val="22"/>
          <w:szCs w:val="22"/>
        </w:rPr>
        <w:t>3</w:t>
      </w:r>
      <w:r w:rsidRPr="00542EB9">
        <w:rPr>
          <w:rFonts w:ascii="Times" w:eastAsia="DengXian" w:hAnsi="Times" w:cs="Times New Roman"/>
          <w:sz w:val="22"/>
          <w:szCs w:val="22"/>
        </w:rPr>
        <w:t>) and (A</w:t>
      </w:r>
      <w:r w:rsidRPr="00482A00">
        <w:rPr>
          <w:rFonts w:ascii="Times" w:eastAsia="DengXian" w:hAnsi="Times" w:cs="Times New Roman"/>
          <w:sz w:val="22"/>
          <w:szCs w:val="22"/>
        </w:rPr>
        <w:t>15</w:t>
      </w:r>
      <w:r w:rsidRPr="00542EB9">
        <w:rPr>
          <w:rFonts w:ascii="Times" w:eastAsia="DengXian" w:hAnsi="Times" w:cs="Times New Roman"/>
          <w:sz w:val="22"/>
          <w:szCs w:val="22"/>
        </w:rPr>
        <w:t>)</w:t>
      </w:r>
      <w:r w:rsidRPr="00482A00">
        <w:rPr>
          <w:rFonts w:ascii="Times" w:eastAsia="DengXian" w:hAnsi="Times" w:cs="Times New Roman"/>
          <w:b/>
          <w:bCs/>
          <w:sz w:val="22"/>
          <w:szCs w:val="22"/>
        </w:rPr>
        <w:t xml:space="preserve"> </w:t>
      </w:r>
      <w:r w:rsidRPr="00482A00">
        <w:rPr>
          <w:rFonts w:ascii="Times" w:eastAsia="DengXian" w:hAnsi="Times" w:cs="Times New Roman"/>
          <w:sz w:val="22"/>
          <w:szCs w:val="22"/>
        </w:rPr>
        <w:t xml:space="preserve">to the optimal input intensities, we get the optimal levels of all inputs. </w:t>
      </w:r>
      <w:bookmarkStart w:id="4" w:name="_Toc63625940"/>
    </w:p>
    <w:bookmarkEnd w:id="4"/>
    <w:p w14:paraId="67C67143" w14:textId="77777777" w:rsidR="008F30F4" w:rsidRPr="00B018A7" w:rsidRDefault="008F30F4" w:rsidP="008F30F4">
      <w:pPr>
        <w:pStyle w:val="Heading2"/>
        <w:rPr>
          <w:szCs w:val="28"/>
        </w:rPr>
      </w:pPr>
      <w:r>
        <w:rPr>
          <w:szCs w:val="28"/>
        </w:rPr>
        <w:lastRenderedPageBreak/>
        <w:t>Household Behavior</w:t>
      </w:r>
    </w:p>
    <w:p w14:paraId="42F40FC0" w14:textId="77777777" w:rsidR="008F30F4" w:rsidRPr="002422C2" w:rsidRDefault="008F30F4" w:rsidP="008F30F4">
      <w:pPr>
        <w:ind w:firstLine="0"/>
        <w:rPr>
          <w:rFonts w:ascii="Times" w:eastAsia="DengXian" w:hAnsi="Times" w:cs="Times New Roman"/>
          <w:b/>
          <w:bCs/>
          <w:i/>
          <w:iCs/>
          <w:szCs w:val="28"/>
        </w:rPr>
      </w:pPr>
      <w:r w:rsidRPr="002422C2">
        <w:rPr>
          <w:rFonts w:ascii="Times" w:eastAsia="DengXian" w:hAnsi="Times" w:cs="Times New Roman"/>
          <w:b/>
          <w:bCs/>
          <w:i/>
          <w:iCs/>
          <w:szCs w:val="28"/>
        </w:rPr>
        <w:t xml:space="preserve">Consumption </w:t>
      </w:r>
    </w:p>
    <w:p w14:paraId="280D0E9F" w14:textId="77777777" w:rsidR="008F30F4" w:rsidRPr="00333C7B" w:rsidRDefault="008F30F4" w:rsidP="008F30F4">
      <w:pPr>
        <w:ind w:firstLine="660"/>
        <w:rPr>
          <w:rFonts w:ascii="Times" w:eastAsia="DengXian" w:hAnsi="Times" w:cs="Times New Roman"/>
          <w:sz w:val="22"/>
        </w:rPr>
      </w:pPr>
      <w:r>
        <w:rPr>
          <w:rFonts w:ascii="Times" w:eastAsia="SimSun" w:hAnsi="Times" w:cs="Arial"/>
          <w:noProof/>
          <w:color w:val="000000"/>
          <w:szCs w:val="21"/>
          <w:lang w:eastAsia="en-US"/>
        </w:rPr>
        <w:drawing>
          <wp:anchor distT="0" distB="0" distL="114300" distR="114300" simplePos="0" relativeHeight="251672576" behindDoc="0" locked="0" layoutInCell="1" allowOverlap="1" wp14:anchorId="2BF61942" wp14:editId="1B33BEBD">
            <wp:simplePos x="0" y="0"/>
            <wp:positionH relativeFrom="page">
              <wp:posOffset>1327150</wp:posOffset>
            </wp:positionH>
            <wp:positionV relativeFrom="paragraph">
              <wp:posOffset>1780631</wp:posOffset>
            </wp:positionV>
            <wp:extent cx="4822190" cy="2564130"/>
            <wp:effectExtent l="0" t="0" r="0" b="0"/>
            <wp:wrapTopAndBottom/>
            <wp:docPr id="1488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22190" cy="2564130"/>
                    </a:xfrm>
                    <a:prstGeom prst="rect">
                      <a:avLst/>
                    </a:prstGeom>
                    <a:noFill/>
                  </pic:spPr>
                </pic:pic>
              </a:graphicData>
            </a:graphic>
            <wp14:sizeRelH relativeFrom="page">
              <wp14:pctWidth>0</wp14:pctWidth>
            </wp14:sizeRelH>
            <wp14:sizeRelV relativeFrom="page">
              <wp14:pctHeight>0</wp14:pctHeight>
            </wp14:sizeRelV>
          </wp:anchor>
        </w:drawing>
      </w:r>
      <w:r w:rsidRPr="00333C7B">
        <w:rPr>
          <w:rFonts w:ascii="Times" w:eastAsia="DengXian" w:hAnsi="Times" w:cs="Times New Roman"/>
          <w:sz w:val="22"/>
        </w:rPr>
        <w:t xml:space="preserve">In the model, a representative household makes consumption choices to maximize utility. The nested structure of the utility function is below. The </w:t>
      </w:r>
      <w:r w:rsidRPr="00333C7B">
        <w:rPr>
          <w:rFonts w:ascii="Times" w:eastAsia="DengXian" w:hAnsi="Times" w:cs="Times New Roman" w:hint="eastAsia"/>
          <w:sz w:val="22"/>
        </w:rPr>
        <w:t>h</w:t>
      </w:r>
      <w:r w:rsidRPr="00333C7B">
        <w:rPr>
          <w:rFonts w:ascii="Times" w:eastAsia="DengXian" w:hAnsi="Times" w:cs="Times New Roman"/>
          <w:sz w:val="22"/>
        </w:rPr>
        <w:t>ousehold chooses between material goods (</w:t>
      </w:r>
      <w:r w:rsidRPr="00BF6CCE">
        <w:rPr>
          <w:rFonts w:ascii="Times" w:eastAsia="DengXian" w:hAnsi="Times" w:cs="Times New Roman"/>
          <w:b/>
          <w:bCs/>
          <w:i/>
          <w:iCs/>
          <w:sz w:val="22"/>
        </w:rPr>
        <w:t>x</w:t>
      </w:r>
      <w:r w:rsidRPr="00333C7B">
        <w:rPr>
          <w:rFonts w:ascii="Times" w:eastAsia="DengXian" w:hAnsi="Times" w:cs="Times New Roman"/>
          <w:sz w:val="22"/>
        </w:rPr>
        <w:t>) and energy goods (</w:t>
      </w:r>
      <w:r w:rsidRPr="00BF6CCE">
        <w:rPr>
          <w:rFonts w:ascii="Times" w:eastAsia="DengXian" w:hAnsi="Times" w:cs="Times New Roman"/>
          <w:b/>
          <w:bCs/>
          <w:i/>
          <w:iCs/>
          <w:sz w:val="22"/>
        </w:rPr>
        <w:t>e</w:t>
      </w:r>
      <w:r w:rsidRPr="00333C7B">
        <w:rPr>
          <w:rFonts w:ascii="Times" w:eastAsia="DengXian" w:hAnsi="Times" w:cs="Times New Roman"/>
          <w:sz w:val="22"/>
        </w:rPr>
        <w:t xml:space="preserve">). At the next level, the material composite is a CES combination of material goods, </w:t>
      </w:r>
      <w:r w:rsidRPr="00333C7B">
        <w:rPr>
          <w:rFonts w:ascii="Times" w:eastAsia="DengXian" w:hAnsi="Times" w:cs="Times New Roman"/>
          <w:i/>
          <w:iCs/>
          <w:sz w:val="22"/>
        </w:rPr>
        <w:t>x</w:t>
      </w:r>
      <w:r w:rsidRPr="00333C7B">
        <w:rPr>
          <w:rFonts w:ascii="Times" w:eastAsia="DengXian" w:hAnsi="Times" w:cs="Times New Roman"/>
          <w:i/>
          <w:iCs/>
          <w:sz w:val="22"/>
          <w:vertAlign w:val="subscript"/>
        </w:rPr>
        <w:t>1</w:t>
      </w:r>
      <w:r w:rsidRPr="00333C7B">
        <w:rPr>
          <w:rFonts w:ascii="Times" w:eastAsia="DengXian" w:hAnsi="Times" w:cs="Times New Roman"/>
          <w:sz w:val="22"/>
        </w:rPr>
        <w:t xml:space="preserve">, </w:t>
      </w:r>
      <w:r w:rsidRPr="00333C7B">
        <w:rPr>
          <w:rFonts w:ascii="Times" w:eastAsia="DengXian" w:hAnsi="Times" w:cs="Times New Roman"/>
          <w:i/>
          <w:iCs/>
          <w:sz w:val="22"/>
        </w:rPr>
        <w:t>x</w:t>
      </w:r>
      <w:r w:rsidRPr="00333C7B">
        <w:rPr>
          <w:rFonts w:ascii="Times" w:eastAsia="DengXian" w:hAnsi="Times" w:cs="Times New Roman"/>
          <w:i/>
          <w:iCs/>
          <w:sz w:val="22"/>
          <w:vertAlign w:val="subscript"/>
        </w:rPr>
        <w:t>2</w:t>
      </w:r>
      <w:r w:rsidRPr="00333C7B">
        <w:rPr>
          <w:rFonts w:ascii="Times" w:eastAsia="DengXian" w:hAnsi="Times" w:cs="Times New Roman"/>
          <w:sz w:val="22"/>
        </w:rPr>
        <w:t xml:space="preserve">, …, </w:t>
      </w:r>
      <w:r w:rsidRPr="00333C7B">
        <w:rPr>
          <w:rFonts w:ascii="Times" w:eastAsia="DengXian" w:hAnsi="Times" w:cs="Times New Roman"/>
          <w:i/>
          <w:iCs/>
          <w:sz w:val="22"/>
        </w:rPr>
        <w:t>x</w:t>
      </w:r>
      <w:r w:rsidRPr="00333C7B">
        <w:rPr>
          <w:rFonts w:ascii="Times" w:eastAsia="DengXian" w:hAnsi="Times" w:cs="Times New Roman"/>
          <w:i/>
          <w:iCs/>
          <w:sz w:val="22"/>
          <w:vertAlign w:val="subscript"/>
        </w:rPr>
        <w:t>2</w:t>
      </w:r>
      <w:r>
        <w:rPr>
          <w:rFonts w:ascii="Times" w:eastAsia="DengXian" w:hAnsi="Times" w:cs="Times New Roman"/>
          <w:i/>
          <w:iCs/>
          <w:sz w:val="22"/>
          <w:vertAlign w:val="subscript"/>
        </w:rPr>
        <w:t>4</w:t>
      </w:r>
      <w:r w:rsidRPr="00333C7B">
        <w:rPr>
          <w:rFonts w:ascii="Times" w:eastAsia="DengXian" w:hAnsi="Times" w:cs="Times New Roman"/>
          <w:sz w:val="22"/>
        </w:rPr>
        <w:t>.  The energy composite is a CES function of electricity (</w:t>
      </w:r>
      <w:r w:rsidRPr="00333C7B">
        <w:rPr>
          <w:rFonts w:ascii="Times" w:eastAsia="DengXian" w:hAnsi="Times" w:cs="Times New Roman"/>
          <w:i/>
          <w:iCs/>
          <w:sz w:val="22"/>
        </w:rPr>
        <w:t>s</w:t>
      </w:r>
      <w:r w:rsidRPr="00333C7B">
        <w:rPr>
          <w:rFonts w:ascii="Times" w:eastAsia="DengXian" w:hAnsi="Times" w:cs="Times New Roman"/>
          <w:sz w:val="22"/>
        </w:rPr>
        <w:t>)</w:t>
      </w:r>
      <w:r>
        <w:rPr>
          <w:rFonts w:ascii="Times" w:eastAsia="DengXian" w:hAnsi="Times" w:cs="Times New Roman" w:hint="eastAsia"/>
          <w:sz w:val="22"/>
        </w:rPr>
        <w:t>,</w:t>
      </w:r>
      <w:r>
        <w:rPr>
          <w:rFonts w:ascii="Times" w:eastAsia="DengXian" w:hAnsi="Times" w:cs="Times New Roman"/>
          <w:sz w:val="22"/>
        </w:rPr>
        <w:t xml:space="preserve"> heat (</w:t>
      </w:r>
      <w:r w:rsidRPr="00415D56">
        <w:rPr>
          <w:rFonts w:ascii="Times" w:eastAsia="DengXian" w:hAnsi="Times" w:cs="Times New Roman"/>
          <w:i/>
          <w:iCs/>
          <w:sz w:val="22"/>
        </w:rPr>
        <w:t>h</w:t>
      </w:r>
      <w:r>
        <w:rPr>
          <w:rFonts w:ascii="Times" w:eastAsia="DengXian" w:hAnsi="Times" w:cs="Times New Roman"/>
          <w:sz w:val="22"/>
        </w:rPr>
        <w:t>)</w:t>
      </w:r>
      <w:r w:rsidRPr="00333C7B">
        <w:rPr>
          <w:rFonts w:ascii="Times" w:eastAsia="DengXian" w:hAnsi="Times" w:cs="Times New Roman"/>
          <w:sz w:val="22"/>
        </w:rPr>
        <w:t xml:space="preserve"> and fuel composite (</w:t>
      </w:r>
      <w:r w:rsidRPr="00333C7B">
        <w:rPr>
          <w:rFonts w:ascii="Times" w:eastAsia="DengXian" w:hAnsi="Times" w:cs="Times New Roman"/>
          <w:i/>
          <w:iCs/>
          <w:sz w:val="22"/>
        </w:rPr>
        <w:t>f</w:t>
      </w:r>
      <w:r w:rsidRPr="00333C7B">
        <w:rPr>
          <w:rFonts w:ascii="Times" w:eastAsia="DengXian" w:hAnsi="Times" w:cs="Times New Roman"/>
          <w:sz w:val="22"/>
        </w:rPr>
        <w:t xml:space="preserve">). The fuel composite is a CES function of </w:t>
      </w:r>
      <w:r w:rsidRPr="00EE0018">
        <w:rPr>
          <w:rFonts w:ascii="Times" w:eastAsia="DengXian" w:hAnsi="Times" w:cs="Times New Roman" w:hint="eastAsia"/>
          <w:sz w:val="22"/>
        </w:rPr>
        <w:t>five</w:t>
      </w:r>
      <w:r>
        <w:rPr>
          <w:rFonts w:ascii="Times" w:eastAsia="DengXian" w:hAnsi="Times" w:cs="Times New Roman"/>
          <w:sz w:val="22"/>
        </w:rPr>
        <w:t xml:space="preserve"> </w:t>
      </w:r>
      <w:r w:rsidRPr="00333C7B">
        <w:rPr>
          <w:rFonts w:ascii="Times" w:eastAsia="DengXian" w:hAnsi="Times" w:cs="Times New Roman"/>
          <w:sz w:val="22"/>
        </w:rPr>
        <w:t xml:space="preserve">fuel goods, </w:t>
      </w:r>
      <w:r w:rsidRPr="00333C7B">
        <w:rPr>
          <w:rFonts w:ascii="Times" w:eastAsia="DengXian" w:hAnsi="Times" w:cs="Times New Roman"/>
          <w:i/>
          <w:iCs/>
          <w:sz w:val="22"/>
        </w:rPr>
        <w:t>f</w:t>
      </w:r>
      <w:r w:rsidRPr="00333C7B">
        <w:rPr>
          <w:rFonts w:ascii="Times" w:eastAsia="DengXian" w:hAnsi="Times" w:cs="Times New Roman"/>
          <w:i/>
          <w:iCs/>
          <w:sz w:val="22"/>
          <w:vertAlign w:val="subscript"/>
        </w:rPr>
        <w:t>1</w:t>
      </w:r>
      <w:r w:rsidRPr="00333C7B">
        <w:rPr>
          <w:rFonts w:ascii="Times" w:eastAsia="DengXian" w:hAnsi="Times" w:cs="Times New Roman"/>
          <w:sz w:val="22"/>
        </w:rPr>
        <w:t xml:space="preserve">, </w:t>
      </w:r>
      <w:r w:rsidRPr="00333C7B">
        <w:rPr>
          <w:rFonts w:ascii="Times" w:eastAsia="DengXian" w:hAnsi="Times" w:cs="Times New Roman"/>
          <w:i/>
          <w:iCs/>
          <w:sz w:val="22"/>
        </w:rPr>
        <w:t>f</w:t>
      </w:r>
      <w:r w:rsidRPr="00333C7B">
        <w:rPr>
          <w:rFonts w:ascii="Times" w:eastAsia="DengXian" w:hAnsi="Times" w:cs="Times New Roman"/>
          <w:i/>
          <w:iCs/>
          <w:sz w:val="22"/>
          <w:vertAlign w:val="subscript"/>
        </w:rPr>
        <w:t>2</w:t>
      </w:r>
      <w:r w:rsidRPr="00333C7B">
        <w:rPr>
          <w:rFonts w:ascii="Times" w:eastAsia="DengXian" w:hAnsi="Times" w:cs="Times New Roman"/>
          <w:sz w:val="22"/>
        </w:rPr>
        <w:t xml:space="preserve">, …, </w:t>
      </w:r>
      <w:r w:rsidRPr="00333C7B">
        <w:rPr>
          <w:rFonts w:ascii="Times" w:eastAsia="DengXian" w:hAnsi="Times" w:cs="Times New Roman"/>
          <w:i/>
          <w:iCs/>
          <w:sz w:val="22"/>
        </w:rPr>
        <w:t>f</w:t>
      </w:r>
      <w:r>
        <w:rPr>
          <w:rFonts w:ascii="Times" w:eastAsia="DengXian" w:hAnsi="Times" w:cs="Times New Roman"/>
          <w:i/>
          <w:iCs/>
          <w:sz w:val="22"/>
          <w:vertAlign w:val="subscript"/>
        </w:rPr>
        <w:t>5</w:t>
      </w:r>
      <w:r w:rsidRPr="00333C7B">
        <w:rPr>
          <w:rFonts w:ascii="Times" w:eastAsia="DengXian" w:hAnsi="Times" w:cs="Times New Roman"/>
          <w:sz w:val="22"/>
        </w:rPr>
        <w:t xml:space="preserve">. Each </w:t>
      </w:r>
      <w:r w:rsidRPr="00333C7B">
        <w:rPr>
          <w:rFonts w:ascii="Times" w:eastAsia="DengXian" w:hAnsi="Times" w:cs="Times New Roman"/>
          <w:i/>
          <w:iCs/>
          <w:sz w:val="22"/>
        </w:rPr>
        <w:t>x</w:t>
      </w:r>
      <w:r w:rsidRPr="00333C7B">
        <w:rPr>
          <w:rFonts w:ascii="Times" w:eastAsia="DengXian" w:hAnsi="Times" w:cs="Times New Roman"/>
          <w:i/>
          <w:iCs/>
          <w:sz w:val="22"/>
          <w:vertAlign w:val="subscript"/>
        </w:rPr>
        <w:t>l</w:t>
      </w:r>
      <w:r w:rsidRPr="00333C7B">
        <w:rPr>
          <w:rFonts w:ascii="Times" w:eastAsia="DengXian" w:hAnsi="Times" w:cs="Times New Roman"/>
          <w:sz w:val="22"/>
        </w:rPr>
        <w:t xml:space="preserve">, </w:t>
      </w:r>
      <w:r w:rsidRPr="00333C7B">
        <w:rPr>
          <w:rFonts w:ascii="Times" w:eastAsia="DengXian" w:hAnsi="Times" w:cs="Times New Roman"/>
          <w:i/>
          <w:iCs/>
          <w:sz w:val="22"/>
        </w:rPr>
        <w:t>f</w:t>
      </w:r>
      <w:r w:rsidRPr="00333C7B">
        <w:rPr>
          <w:rFonts w:ascii="Times" w:eastAsia="DengXian" w:hAnsi="Times" w:cs="Times New Roman"/>
          <w:i/>
          <w:iCs/>
          <w:sz w:val="22"/>
          <w:vertAlign w:val="subscript"/>
        </w:rPr>
        <w:t>l</w:t>
      </w:r>
      <w:r w:rsidRPr="00333C7B">
        <w:rPr>
          <w:rFonts w:ascii="Times" w:eastAsia="DengXian" w:hAnsi="Times" w:cs="Times New Roman" w:hint="eastAsia"/>
          <w:sz w:val="22"/>
        </w:rPr>
        <w:t>,</w:t>
      </w:r>
      <w:r w:rsidRPr="00333C7B">
        <w:rPr>
          <w:rFonts w:ascii="Times" w:eastAsia="DengXian" w:hAnsi="Times" w:cs="Times New Roman"/>
          <w:sz w:val="22"/>
        </w:rPr>
        <w:t xml:space="preserve"> and </w:t>
      </w:r>
      <w:r w:rsidRPr="00333C7B">
        <w:rPr>
          <w:rFonts w:ascii="Times" w:eastAsia="DengXian" w:hAnsi="Times" w:cs="Times New Roman"/>
          <w:i/>
          <w:iCs/>
          <w:sz w:val="22"/>
        </w:rPr>
        <w:t>s</w:t>
      </w:r>
      <w:r w:rsidRPr="00333C7B">
        <w:rPr>
          <w:rFonts w:ascii="Times" w:eastAsia="DengXian" w:hAnsi="Times" w:cs="Times New Roman"/>
          <w:sz w:val="22"/>
        </w:rPr>
        <w:t xml:space="preserve"> is a composite based on the domestically and foreign supplied component. </w:t>
      </w:r>
    </w:p>
    <w:p w14:paraId="17F6A362" w14:textId="77777777" w:rsidR="008F30F4" w:rsidRPr="00333C7B" w:rsidRDefault="008F30F4" w:rsidP="008F30F4">
      <w:pPr>
        <w:ind w:firstLine="0"/>
        <w:rPr>
          <w:rFonts w:eastAsia="SimSun" w:cs="Times New Roman"/>
          <w:color w:val="000000"/>
          <w:szCs w:val="20"/>
        </w:rPr>
      </w:pPr>
    </w:p>
    <w:p w14:paraId="6BE6B43A" w14:textId="77777777" w:rsidR="008F30F4" w:rsidRPr="002422C2" w:rsidRDefault="008F30F4" w:rsidP="008F30F4">
      <w:pPr>
        <w:jc w:val="center"/>
        <w:rPr>
          <w:rFonts w:eastAsia="SimSun" w:cs="Times New Roman"/>
          <w:b/>
          <w:bCs/>
          <w:color w:val="000000"/>
          <w:sz w:val="22"/>
          <w:szCs w:val="18"/>
        </w:rPr>
      </w:pPr>
      <w:r w:rsidRPr="002422C2">
        <w:rPr>
          <w:rFonts w:eastAsia="SimSun" w:cs="Times New Roman"/>
          <w:b/>
          <w:bCs/>
          <w:color w:val="000000"/>
          <w:sz w:val="22"/>
          <w:szCs w:val="18"/>
        </w:rPr>
        <w:t>Figure A2. Household Demand Structure</w:t>
      </w:r>
    </w:p>
    <w:p w14:paraId="0C9CF5CE" w14:textId="77777777" w:rsidR="008F30F4" w:rsidRPr="00333C7B" w:rsidRDefault="008F30F4" w:rsidP="008F30F4">
      <w:pPr>
        <w:rPr>
          <w:rFonts w:ascii="Times" w:eastAsia="DengXian" w:hAnsi="Times" w:cs="Times New Roman"/>
        </w:rPr>
      </w:pPr>
    </w:p>
    <w:p w14:paraId="7C8EA67D" w14:textId="77777777" w:rsidR="008F30F4" w:rsidRPr="00390C51" w:rsidRDefault="008F30F4" w:rsidP="008F30F4">
      <w:pPr>
        <w:ind w:firstLine="720"/>
        <w:rPr>
          <w:rFonts w:ascii="Times" w:eastAsia="DengXian" w:hAnsi="Times" w:cs="Times New Roman"/>
          <w:sz w:val="22"/>
          <w:szCs w:val="22"/>
        </w:rPr>
      </w:pPr>
      <w:r w:rsidRPr="00330D40">
        <w:rPr>
          <w:rFonts w:ascii="Times" w:eastAsia="DengXian" w:hAnsi="Times" w:cs="Times New Roman"/>
          <w:sz w:val="22"/>
        </w:rPr>
        <w:t>The CES functional form in Equation (A</w:t>
      </w:r>
      <w:r>
        <w:rPr>
          <w:rFonts w:ascii="Times" w:eastAsia="DengXian" w:hAnsi="Times" w:cs="Times New Roman"/>
          <w:sz w:val="22"/>
        </w:rPr>
        <w:t>1</w:t>
      </w:r>
      <w:r w:rsidRPr="00330D40">
        <w:rPr>
          <w:rFonts w:ascii="Times" w:eastAsia="DengXian" w:hAnsi="Times" w:cs="Times New Roman"/>
          <w:sz w:val="22"/>
        </w:rPr>
        <w:t>) applies to all nests in the household demand structure</w:t>
      </w:r>
      <w:r>
        <w:rPr>
          <w:rFonts w:ascii="Times" w:eastAsia="DengXian" w:hAnsi="Times" w:cs="Times New Roman"/>
          <w:sz w:val="22"/>
        </w:rPr>
        <w:t>.</w:t>
      </w:r>
      <w:r w:rsidRPr="00330D40" w:rsidDel="00330D40">
        <w:rPr>
          <w:rFonts w:ascii="Times" w:eastAsia="DengXian" w:hAnsi="Times" w:cs="Times New Roman"/>
          <w:sz w:val="22"/>
        </w:rPr>
        <w:t xml:space="preserve"> </w:t>
      </w:r>
      <w:r w:rsidRPr="00333C7B">
        <w:rPr>
          <w:rFonts w:ascii="Times" w:eastAsia="DengXian" w:hAnsi="Times" w:cs="Times New Roman"/>
          <w:sz w:val="22"/>
        </w:rPr>
        <w:t xml:space="preserve">The form of the price function in Equation </w:t>
      </w:r>
      <w:r w:rsidRPr="00BF6CCE">
        <w:rPr>
          <w:rFonts w:ascii="Times" w:eastAsia="DengXian" w:hAnsi="Times" w:cs="Times New Roman"/>
          <w:sz w:val="22"/>
        </w:rPr>
        <w:t>(</w:t>
      </w:r>
      <w:r w:rsidRPr="00542EB9">
        <w:rPr>
          <w:rFonts w:ascii="Times" w:eastAsia="DengXian" w:hAnsi="Times" w:cs="Times New Roman"/>
          <w:sz w:val="22"/>
        </w:rPr>
        <w:t>A</w:t>
      </w:r>
      <w:r w:rsidRPr="00BF6CCE">
        <w:rPr>
          <w:rFonts w:ascii="Times" w:eastAsia="DengXian" w:hAnsi="Times" w:cs="Times New Roman"/>
          <w:sz w:val="22"/>
        </w:rPr>
        <w:t>8)</w:t>
      </w:r>
      <w:r w:rsidRPr="00333C7B">
        <w:rPr>
          <w:rFonts w:ascii="Times" w:eastAsia="DengXian" w:hAnsi="Times" w:cs="Times New Roman"/>
          <w:sz w:val="22"/>
        </w:rPr>
        <w:t xml:space="preserve"> applies to the composite prices for all nests of the household demand structure. </w:t>
      </w:r>
      <w:r w:rsidRPr="00390C51">
        <w:rPr>
          <w:rFonts w:ascii="Times" w:eastAsia="DengXian" w:hAnsi="Times" w:cs="Times New Roman"/>
          <w:sz w:val="22"/>
          <w:szCs w:val="22"/>
        </w:rPr>
        <w:t>The household maximizes utility subject to its budget constraint. The maximization problem is:</w:t>
      </w:r>
    </w:p>
    <w:p w14:paraId="079614A1" w14:textId="77777777" w:rsidR="008F30F4" w:rsidRPr="00390C51" w:rsidRDefault="008F30F4" w:rsidP="008F30F4">
      <w:pPr>
        <w:pStyle w:val="a2"/>
      </w:pPr>
      <w:r w:rsidRPr="00390C51">
        <w:tab/>
      </w:r>
      <w:r w:rsidR="0038014B" w:rsidRPr="00232A1F">
        <w:rPr>
          <w:noProof/>
          <w:position w:val="-32"/>
        </w:rPr>
        <w:object w:dxaOrig="4540" w:dyaOrig="740" w14:anchorId="2B291042">
          <v:shape id="_x0000_i1143" type="#_x0000_t75" alt="" style="width:225.9pt;height:37.4pt;mso-width-percent:0;mso-height-percent:0;mso-width-percent:0;mso-height-percent:0" o:ole="">
            <v:imagedata r:id="rId169" o:title=""/>
          </v:shape>
          <o:OLEObject Type="Embed" ProgID="Equation.DSMT4" ShapeID="_x0000_i1143" DrawAspect="Content" ObjectID="_1758969488" r:id="rId170"/>
        </w:object>
      </w:r>
      <w:r w:rsidRPr="00390C51">
        <w:tab/>
      </w:r>
      <w:r w:rsidRPr="00390C51">
        <w:fldChar w:fldCharType="begin"/>
      </w:r>
      <w:r w:rsidRPr="00390C51">
        <w:instrText xml:space="preserve"> MACROBUTTON MTPlaceRef \* MERGEFORMAT </w:instrText>
      </w:r>
      <w:r w:rsidRPr="00390C51">
        <w:fldChar w:fldCharType="begin"/>
      </w:r>
      <w:r w:rsidRPr="00390C51">
        <w:instrText xml:space="preserve"> SEQ MTEqn \h \* MERGEFORMAT </w:instrText>
      </w:r>
      <w:r w:rsidRPr="00390C51">
        <w:fldChar w:fldCharType="end"/>
      </w:r>
      <w:r w:rsidRPr="00390C51">
        <w:instrText>(</w:instrText>
      </w:r>
      <w:fldSimple w:instr=" SEQ MTSec \c \* Alphabetic \* MERGEFORMAT ">
        <w:r>
          <w:rPr>
            <w:noProof/>
          </w:rPr>
          <w:instrText>A</w:instrText>
        </w:r>
      </w:fldSimple>
      <w:fldSimple w:instr=" SEQ MTEqn \c \* Arabic \* MERGEFORMAT ">
        <w:r>
          <w:rPr>
            <w:noProof/>
          </w:rPr>
          <w:instrText>16</w:instrText>
        </w:r>
      </w:fldSimple>
      <w:r w:rsidRPr="00390C51">
        <w:instrText>)</w:instrText>
      </w:r>
      <w:r w:rsidRPr="00390C51">
        <w:fldChar w:fldCharType="end"/>
      </w:r>
    </w:p>
    <w:p w14:paraId="23A22AD9" w14:textId="77777777" w:rsidR="008F30F4" w:rsidRPr="00390C51" w:rsidRDefault="008F30F4" w:rsidP="008F30F4">
      <w:pPr>
        <w:ind w:firstLine="0"/>
        <w:rPr>
          <w:rFonts w:ascii="Times" w:eastAsia="DengXian" w:hAnsi="Times" w:cs="Times New Roman"/>
          <w:sz w:val="22"/>
          <w:szCs w:val="22"/>
        </w:rPr>
      </w:pPr>
      <w:r w:rsidRPr="00390C51">
        <w:rPr>
          <w:rFonts w:ascii="Times" w:eastAsia="DengXian" w:hAnsi="Times" w:cs="Times New Roman"/>
          <w:sz w:val="22"/>
          <w:szCs w:val="22"/>
        </w:rPr>
        <w:t>where</w:t>
      </w:r>
    </w:p>
    <w:p w14:paraId="1F528FD1" w14:textId="77777777" w:rsidR="008F30F4" w:rsidRPr="00390C51" w:rsidRDefault="0038014B" w:rsidP="008F30F4">
      <w:pPr>
        <w:spacing w:line="240" w:lineRule="auto"/>
        <w:ind w:left="320" w:firstLine="720"/>
        <w:rPr>
          <w:rFonts w:ascii="Times" w:eastAsia="DengXian" w:hAnsi="Times" w:cs="Times New Roman"/>
          <w:sz w:val="22"/>
          <w:szCs w:val="22"/>
        </w:rPr>
      </w:pPr>
      <w:r w:rsidRPr="00232A1F">
        <w:rPr>
          <w:noProof/>
          <w:position w:val="-10"/>
        </w:rPr>
        <w:object w:dxaOrig="499" w:dyaOrig="320" w14:anchorId="7542AB56">
          <v:shape id="_x0000_i1142" type="#_x0000_t75" alt="" style="width:24pt;height:15.55pt;mso-width-percent:0;mso-height-percent:0;mso-width-percent:0;mso-height-percent:0" o:ole="">
            <v:imagedata r:id="rId171" o:title=""/>
          </v:shape>
          <o:OLEObject Type="Embed" ProgID="Equation.DSMT4" ShapeID="_x0000_i1142" DrawAspect="Content" ObjectID="_1758969489" r:id="rId172"/>
        </w:object>
      </w:r>
      <w:r w:rsidR="008F30F4" w:rsidRPr="00390C51">
        <w:rPr>
          <w:rFonts w:ascii="Times" w:eastAsia="DengXian" w:hAnsi="Times" w:cs="Times New Roman"/>
          <w:sz w:val="22"/>
          <w:szCs w:val="22"/>
        </w:rPr>
        <w:t xml:space="preserve"> is the household expenditure,</w:t>
      </w:r>
    </w:p>
    <w:p w14:paraId="3D63F541" w14:textId="77777777" w:rsidR="008F30F4" w:rsidRPr="00390C51" w:rsidRDefault="0038014B" w:rsidP="008F30F4">
      <w:pPr>
        <w:spacing w:line="240" w:lineRule="auto"/>
        <w:ind w:left="360"/>
        <w:rPr>
          <w:rFonts w:ascii="Times" w:eastAsia="DengXian" w:hAnsi="Times" w:cs="Times New Roman"/>
          <w:sz w:val="22"/>
          <w:szCs w:val="22"/>
        </w:rPr>
      </w:pPr>
      <w:r w:rsidRPr="00232A1F">
        <w:rPr>
          <w:noProof/>
          <w:position w:val="-10"/>
        </w:rPr>
        <w:object w:dxaOrig="499" w:dyaOrig="360" w14:anchorId="2B2791A5">
          <v:shape id="_x0000_i1141" type="#_x0000_t75" alt="" style="width:24pt;height:19.75pt;mso-width-percent:0;mso-height-percent:0;mso-width-percent:0;mso-height-percent:0" o:ole="">
            <v:imagedata r:id="rId173" o:title=""/>
          </v:shape>
          <o:OLEObject Type="Embed" ProgID="Equation.DSMT4" ShapeID="_x0000_i1141" DrawAspect="Content" ObjectID="_1758969490" r:id="rId174"/>
        </w:object>
      </w:r>
      <w:r w:rsidR="008F30F4" w:rsidRPr="00390C51">
        <w:rPr>
          <w:rFonts w:ascii="Times" w:eastAsia="DengXian" w:hAnsi="Times" w:cs="Times New Roman"/>
          <w:sz w:val="22"/>
          <w:szCs w:val="22"/>
        </w:rPr>
        <w:t xml:space="preserve"> is income from the endowments of labor,</w:t>
      </w:r>
    </w:p>
    <w:p w14:paraId="3EC49E86" w14:textId="77777777" w:rsidR="008F30F4" w:rsidRPr="00390C51" w:rsidRDefault="0038014B" w:rsidP="008F30F4">
      <w:pPr>
        <w:spacing w:line="240" w:lineRule="auto"/>
        <w:ind w:left="360"/>
        <w:rPr>
          <w:rFonts w:ascii="Times" w:eastAsia="DengXian" w:hAnsi="Times" w:cs="Times New Roman"/>
          <w:sz w:val="22"/>
          <w:szCs w:val="22"/>
        </w:rPr>
      </w:pPr>
      <w:r w:rsidRPr="00232A1F">
        <w:rPr>
          <w:noProof/>
          <w:position w:val="-10"/>
        </w:rPr>
        <w:object w:dxaOrig="480" w:dyaOrig="360" w14:anchorId="4E9C5A0C">
          <v:shape id="_x0000_i1140" type="#_x0000_t75" alt="" style="width:24pt;height:19.75pt;mso-width-percent:0;mso-height-percent:0;mso-width-percent:0;mso-height-percent:0" o:ole="">
            <v:imagedata r:id="rId175" o:title=""/>
          </v:shape>
          <o:OLEObject Type="Embed" ProgID="Equation.DSMT4" ShapeID="_x0000_i1140" DrawAspect="Content" ObjectID="_1758969491" r:id="rId176"/>
        </w:object>
      </w:r>
      <w:r w:rsidR="008F30F4" w:rsidRPr="00390C51">
        <w:rPr>
          <w:rFonts w:ascii="Times" w:eastAsia="DengXian" w:hAnsi="Times" w:cs="Times New Roman"/>
          <w:sz w:val="22"/>
          <w:szCs w:val="22"/>
        </w:rPr>
        <w:t xml:space="preserve"> is income from the endowments of capital,</w:t>
      </w:r>
    </w:p>
    <w:p w14:paraId="18024157" w14:textId="77777777" w:rsidR="008F30F4" w:rsidRPr="00390C51" w:rsidRDefault="0038014B" w:rsidP="008F30F4">
      <w:pPr>
        <w:spacing w:line="240" w:lineRule="auto"/>
        <w:ind w:left="360"/>
        <w:rPr>
          <w:rFonts w:ascii="Times" w:eastAsia="DengXian" w:hAnsi="Times" w:cs="Times New Roman"/>
          <w:sz w:val="22"/>
          <w:szCs w:val="22"/>
        </w:rPr>
      </w:pPr>
      <w:r w:rsidRPr="00232A1F">
        <w:rPr>
          <w:noProof/>
          <w:position w:val="-10"/>
        </w:rPr>
        <w:object w:dxaOrig="680" w:dyaOrig="360" w14:anchorId="6CDA24AF">
          <v:shape id="_x0000_i1139" type="#_x0000_t75" alt="" style="width:34.6pt;height:19.75pt;mso-width-percent:0;mso-height-percent:0;mso-width-percent:0;mso-height-percent:0" o:ole="">
            <v:imagedata r:id="rId177" o:title=""/>
          </v:shape>
          <o:OLEObject Type="Embed" ProgID="Equation.DSMT4" ShapeID="_x0000_i1139" DrawAspect="Content" ObjectID="_1758969492" r:id="rId178"/>
        </w:object>
      </w:r>
      <w:r w:rsidR="008F30F4" w:rsidRPr="00390C51">
        <w:rPr>
          <w:rFonts w:eastAsia="DengXian" w:cs="Times New Roman"/>
          <w:noProof/>
          <w:sz w:val="22"/>
          <w:szCs w:val="22"/>
        </w:rPr>
        <w:t xml:space="preserve"> </w:t>
      </w:r>
      <w:r w:rsidR="008F30F4" w:rsidRPr="00390C51">
        <w:rPr>
          <w:rFonts w:ascii="Times" w:eastAsia="DengXian" w:hAnsi="Times" w:cs="Times New Roman" w:hint="eastAsia"/>
          <w:sz w:val="22"/>
          <w:szCs w:val="22"/>
        </w:rPr>
        <w:t>is</w:t>
      </w:r>
      <w:r w:rsidR="008F30F4" w:rsidRPr="00390C51">
        <w:rPr>
          <w:rFonts w:ascii="Times" w:eastAsia="DengXian" w:hAnsi="Times" w:cs="Times New Roman"/>
          <w:sz w:val="22"/>
          <w:szCs w:val="22"/>
        </w:rPr>
        <w:t xml:space="preserve"> income from the endowments of natural resources,</w:t>
      </w:r>
    </w:p>
    <w:p w14:paraId="29916519" w14:textId="77777777" w:rsidR="008F30F4" w:rsidRPr="00390C51" w:rsidRDefault="0038014B" w:rsidP="008F30F4">
      <w:pPr>
        <w:spacing w:line="240" w:lineRule="auto"/>
        <w:ind w:left="360"/>
        <w:rPr>
          <w:rFonts w:ascii="Times" w:eastAsia="DengXian" w:hAnsi="Times" w:cs="Times New Roman"/>
          <w:sz w:val="22"/>
          <w:szCs w:val="22"/>
        </w:rPr>
      </w:pPr>
      <w:r w:rsidRPr="00232A1F">
        <w:rPr>
          <w:noProof/>
          <w:position w:val="-10"/>
        </w:rPr>
        <w:object w:dxaOrig="720" w:dyaOrig="360" w14:anchorId="27E35DD6">
          <v:shape id="_x0000_i1138" type="#_x0000_t75" alt="" style="width:37.4pt;height:19.75pt;mso-width-percent:0;mso-height-percent:0;mso-width-percent:0;mso-height-percent:0" o:ole="">
            <v:imagedata r:id="rId179" o:title=""/>
          </v:shape>
          <o:OLEObject Type="Embed" ProgID="Equation.DSMT4" ShapeID="_x0000_i1138" DrawAspect="Content" ObjectID="_1758969493" r:id="rId180"/>
        </w:object>
      </w:r>
      <w:r w:rsidR="008F30F4" w:rsidRPr="00390C51">
        <w:rPr>
          <w:rFonts w:eastAsia="DengXian" w:cs="Times New Roman"/>
          <w:noProof/>
          <w:sz w:val="22"/>
          <w:szCs w:val="22"/>
        </w:rPr>
        <w:t xml:space="preserve"> </w:t>
      </w:r>
      <w:r w:rsidR="008F30F4" w:rsidRPr="00390C51">
        <w:rPr>
          <w:rFonts w:ascii="Times" w:eastAsia="DengXian" w:hAnsi="Times" w:cs="Times New Roman" w:hint="eastAsia"/>
          <w:sz w:val="22"/>
          <w:szCs w:val="22"/>
        </w:rPr>
        <w:t>is</w:t>
      </w:r>
      <w:r w:rsidR="008F30F4" w:rsidRPr="00390C51">
        <w:rPr>
          <w:rFonts w:ascii="Times" w:eastAsia="DengXian" w:hAnsi="Times" w:cs="Times New Roman"/>
          <w:sz w:val="22"/>
          <w:szCs w:val="22"/>
        </w:rPr>
        <w:t xml:space="preserve"> income from the endowments of land,</w:t>
      </w:r>
    </w:p>
    <w:p w14:paraId="49E0364A" w14:textId="77777777" w:rsidR="008F30F4" w:rsidRPr="00390C51" w:rsidRDefault="0038014B" w:rsidP="008F30F4">
      <w:pPr>
        <w:spacing w:line="240" w:lineRule="auto"/>
        <w:ind w:left="360"/>
        <w:rPr>
          <w:rFonts w:ascii="Times" w:eastAsia="DengXian" w:hAnsi="Times" w:cs="Times New Roman"/>
          <w:sz w:val="22"/>
          <w:szCs w:val="22"/>
        </w:rPr>
      </w:pPr>
      <w:r w:rsidRPr="00025957">
        <w:rPr>
          <w:noProof/>
          <w:position w:val="-4"/>
        </w:rPr>
        <w:object w:dxaOrig="220" w:dyaOrig="240" w14:anchorId="32CEC8F8">
          <v:shape id="_x0000_i1137" type="#_x0000_t75" alt="" style="width:12.7pt;height:12.7pt;mso-width-percent:0;mso-height-percent:0;mso-width-percent:0;mso-height-percent:0" o:ole="">
            <v:imagedata r:id="rId181" o:title=""/>
          </v:shape>
          <o:OLEObject Type="Embed" ProgID="Equation.DSMT4" ShapeID="_x0000_i1137" DrawAspect="Content" ObjectID="_1758969494" r:id="rId182"/>
        </w:object>
      </w:r>
      <w:r w:rsidR="008F30F4" w:rsidRPr="00390C51">
        <w:rPr>
          <w:rFonts w:ascii="Times" w:eastAsia="DengXian" w:hAnsi="Times" w:cs="Times New Roman"/>
          <w:sz w:val="22"/>
          <w:szCs w:val="22"/>
        </w:rPr>
        <w:t>is the transfer from the government, and</w:t>
      </w:r>
    </w:p>
    <w:p w14:paraId="398F964A" w14:textId="77777777" w:rsidR="008F30F4" w:rsidRPr="00333C7B" w:rsidRDefault="0038014B" w:rsidP="008F30F4">
      <w:pPr>
        <w:spacing w:line="240" w:lineRule="auto"/>
        <w:ind w:left="360"/>
        <w:rPr>
          <w:rFonts w:ascii="Times" w:eastAsia="DengXian" w:hAnsi="Times" w:cs="Times New Roman"/>
          <w:b/>
          <w:bCs/>
          <w:sz w:val="22"/>
        </w:rPr>
      </w:pPr>
      <w:r w:rsidRPr="00232A1F">
        <w:rPr>
          <w:noProof/>
          <w:position w:val="-6"/>
        </w:rPr>
        <w:object w:dxaOrig="200" w:dyaOrig="260" w14:anchorId="2E1BA9A5">
          <v:shape id="_x0000_i1136" type="#_x0000_t75" alt="" style="width:8.45pt;height:13.4pt;mso-width-percent:0;mso-height-percent:0;mso-width-percent:0;mso-height-percent:0" o:ole="">
            <v:imagedata r:id="rId183" o:title=""/>
          </v:shape>
          <o:OLEObject Type="Embed" ProgID="Equation.DSMT4" ShapeID="_x0000_i1136" DrawAspect="Content" ObjectID="_1758969495" r:id="rId184"/>
        </w:object>
      </w:r>
      <w:r w:rsidR="008F30F4">
        <w:rPr>
          <w:sz w:val="22"/>
          <w:szCs w:val="22"/>
        </w:rPr>
        <w:t xml:space="preserve"> </w:t>
      </w:r>
      <w:r w:rsidR="008F30F4" w:rsidRPr="00390C51">
        <w:rPr>
          <w:rFonts w:ascii="Times" w:eastAsia="DengXian" w:hAnsi="Times" w:cs="Times New Roman"/>
          <w:sz w:val="22"/>
          <w:szCs w:val="22"/>
        </w:rPr>
        <w:t>is private saving (</w:t>
      </w:r>
      <w:r w:rsidR="008F30F4">
        <w:rPr>
          <w:rFonts w:ascii="Times" w:eastAsia="DengXian" w:hAnsi="Times" w:cs="Times New Roman"/>
          <w:sz w:val="22"/>
          <w:szCs w:val="22"/>
        </w:rPr>
        <w:t xml:space="preserve">discussed </w:t>
      </w:r>
      <w:r w:rsidR="008F30F4" w:rsidRPr="00390C51">
        <w:rPr>
          <w:rFonts w:ascii="Times" w:eastAsia="DengXian" w:hAnsi="Times" w:cs="Times New Roman"/>
          <w:sz w:val="22"/>
          <w:szCs w:val="22"/>
        </w:rPr>
        <w:t xml:space="preserve">below). </w:t>
      </w:r>
    </w:p>
    <w:p w14:paraId="548573D1" w14:textId="77777777" w:rsidR="008F30F4" w:rsidRDefault="008F30F4" w:rsidP="008F30F4">
      <w:pPr>
        <w:ind w:firstLine="0"/>
        <w:rPr>
          <w:rFonts w:ascii="Times" w:eastAsia="DengXian" w:hAnsi="Times" w:cs="Times New Roman"/>
          <w:b/>
          <w:bCs/>
          <w:i/>
          <w:iCs/>
          <w:szCs w:val="28"/>
        </w:rPr>
      </w:pPr>
    </w:p>
    <w:p w14:paraId="1EB8F816" w14:textId="77777777" w:rsidR="008F30F4" w:rsidRPr="00E72270" w:rsidRDefault="008F30F4" w:rsidP="008F30F4">
      <w:pPr>
        <w:ind w:firstLine="0"/>
        <w:rPr>
          <w:rFonts w:ascii="Times" w:eastAsia="DengXian" w:hAnsi="Times" w:cs="Times New Roman"/>
          <w:b/>
          <w:bCs/>
          <w:i/>
          <w:iCs/>
          <w:szCs w:val="28"/>
        </w:rPr>
      </w:pPr>
      <w:r w:rsidRPr="00E72270">
        <w:rPr>
          <w:rFonts w:ascii="Times" w:eastAsia="DengXian" w:hAnsi="Times" w:cs="Times New Roman"/>
          <w:b/>
          <w:bCs/>
          <w:i/>
          <w:iCs/>
          <w:szCs w:val="28"/>
        </w:rPr>
        <w:t>Investment</w:t>
      </w:r>
    </w:p>
    <w:p w14:paraId="391231B2" w14:textId="77777777" w:rsidR="008F30F4" w:rsidRPr="00542B40" w:rsidRDefault="008F30F4" w:rsidP="008F30F4">
      <w:pPr>
        <w:ind w:firstLine="660"/>
        <w:rPr>
          <w:rFonts w:ascii="Times" w:eastAsia="DengXian" w:hAnsi="Times" w:cs="Times New Roman"/>
          <w:sz w:val="22"/>
          <w:szCs w:val="22"/>
        </w:rPr>
      </w:pPr>
      <w:bookmarkStart w:id="5" w:name="_Hlk141984030"/>
      <w:bookmarkStart w:id="6" w:name="_Hlk142640000"/>
      <w:r>
        <w:rPr>
          <w:rFonts w:ascii="Times" w:eastAsia="DengXian" w:hAnsi="Times" w:cs="Times New Roman"/>
          <w:sz w:val="22"/>
          <w:szCs w:val="22"/>
        </w:rPr>
        <w:t xml:space="preserve">Production of the </w:t>
      </w:r>
      <w:r w:rsidRPr="00E72270">
        <w:rPr>
          <w:rFonts w:ascii="Times" w:eastAsia="DengXian" w:hAnsi="Times" w:cs="Times New Roman"/>
          <w:sz w:val="22"/>
          <w:szCs w:val="22"/>
        </w:rPr>
        <w:t>i</w:t>
      </w:r>
      <w:r w:rsidRPr="00542B40">
        <w:rPr>
          <w:rFonts w:ascii="Times" w:eastAsia="DengXian" w:hAnsi="Times" w:cs="Times New Roman"/>
          <w:sz w:val="22"/>
          <w:szCs w:val="22"/>
        </w:rPr>
        <w:t xml:space="preserve">nvestment </w:t>
      </w:r>
      <w:r>
        <w:rPr>
          <w:rFonts w:ascii="Times" w:eastAsia="DengXian" w:hAnsi="Times" w:cs="Times New Roman"/>
          <w:sz w:val="22"/>
          <w:szCs w:val="22"/>
        </w:rPr>
        <w:t xml:space="preserve">involves the </w:t>
      </w:r>
      <w:r w:rsidRPr="00E72270">
        <w:rPr>
          <w:rFonts w:ascii="Times" w:eastAsia="DengXian" w:hAnsi="Times" w:cs="Times New Roman"/>
          <w:sz w:val="22"/>
          <w:szCs w:val="22"/>
        </w:rPr>
        <w:t xml:space="preserve">CES nested structure shown in Figure A3. </w:t>
      </w:r>
    </w:p>
    <w:p w14:paraId="0A093B01" w14:textId="77777777" w:rsidR="008F30F4" w:rsidRPr="00130A4F" w:rsidRDefault="008F30F4" w:rsidP="008F30F4">
      <w:pPr>
        <w:ind w:firstLine="0"/>
        <w:jc w:val="center"/>
        <w:rPr>
          <w:rFonts w:ascii="Times" w:eastAsia="DengXian" w:hAnsi="Times" w:cs="Times New Roman"/>
          <w:sz w:val="22"/>
        </w:rPr>
      </w:pPr>
      <w:r>
        <w:rPr>
          <w:rFonts w:ascii="Times" w:eastAsia="DengXian" w:hAnsi="Times" w:cs="Arial"/>
          <w:noProof/>
          <w:sz w:val="22"/>
          <w:lang w:eastAsia="en-US"/>
        </w:rPr>
        <w:drawing>
          <wp:anchor distT="0" distB="0" distL="114300" distR="114300" simplePos="0" relativeHeight="251678720" behindDoc="0" locked="0" layoutInCell="1" allowOverlap="1" wp14:anchorId="40B8927E" wp14:editId="03D8D5A7">
            <wp:simplePos x="0" y="0"/>
            <wp:positionH relativeFrom="margin">
              <wp:posOffset>534035</wp:posOffset>
            </wp:positionH>
            <wp:positionV relativeFrom="paragraph">
              <wp:posOffset>104775</wp:posOffset>
            </wp:positionV>
            <wp:extent cx="4564380" cy="2426970"/>
            <wp:effectExtent l="0" t="0" r="0" b="0"/>
            <wp:wrapTopAndBottom/>
            <wp:docPr id="1486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564380" cy="2426970"/>
                    </a:xfrm>
                    <a:prstGeom prst="rect">
                      <a:avLst/>
                    </a:prstGeom>
                    <a:noFill/>
                  </pic:spPr>
                </pic:pic>
              </a:graphicData>
            </a:graphic>
            <wp14:sizeRelH relativeFrom="page">
              <wp14:pctWidth>0</wp14:pctWidth>
            </wp14:sizeRelH>
            <wp14:sizeRelV relativeFrom="page">
              <wp14:pctHeight>0</wp14:pctHeight>
            </wp14:sizeRelV>
          </wp:anchor>
        </w:drawing>
      </w:r>
      <w:r w:rsidRPr="00333C7B">
        <w:rPr>
          <w:rFonts w:eastAsia="DengXian" w:cs="Times New Roman"/>
          <w:b/>
          <w:bCs/>
          <w:color w:val="000000"/>
          <w:sz w:val="22"/>
          <w:szCs w:val="20"/>
        </w:rPr>
        <w:t>Figure A</w:t>
      </w:r>
      <w:r>
        <w:rPr>
          <w:rFonts w:eastAsia="DengXian" w:cs="Times New Roman"/>
          <w:b/>
          <w:bCs/>
          <w:color w:val="000000"/>
          <w:sz w:val="22"/>
          <w:szCs w:val="20"/>
        </w:rPr>
        <w:t>3</w:t>
      </w:r>
      <w:r w:rsidRPr="00333C7B">
        <w:rPr>
          <w:rFonts w:eastAsia="DengXian" w:cs="Times New Roman"/>
          <w:b/>
          <w:bCs/>
          <w:color w:val="000000"/>
          <w:sz w:val="22"/>
          <w:szCs w:val="20"/>
        </w:rPr>
        <w:t>. Nested Structure for Investment</w:t>
      </w:r>
    </w:p>
    <w:p w14:paraId="1F2957D4" w14:textId="77777777" w:rsidR="008F30F4" w:rsidRDefault="008F30F4" w:rsidP="008F30F4">
      <w:pPr>
        <w:ind w:firstLine="660"/>
        <w:rPr>
          <w:rFonts w:ascii="Times" w:eastAsia="DengXian" w:hAnsi="Times" w:cs="Times New Roman"/>
          <w:sz w:val="22"/>
          <w:szCs w:val="22"/>
        </w:rPr>
      </w:pPr>
    </w:p>
    <w:p w14:paraId="101B17EA" w14:textId="77777777" w:rsidR="008F30F4" w:rsidRDefault="008F30F4" w:rsidP="008F30F4">
      <w:pPr>
        <w:ind w:firstLine="660"/>
        <w:rPr>
          <w:rFonts w:ascii="Times" w:eastAsia="DengXian" w:hAnsi="Times" w:cs="Times New Roman"/>
          <w:sz w:val="22"/>
          <w:szCs w:val="22"/>
          <w:highlight w:val="yellow"/>
        </w:rPr>
      </w:pPr>
      <w:r w:rsidRPr="006A160E">
        <w:rPr>
          <w:rFonts w:ascii="Times" w:eastAsia="DengXian" w:hAnsi="Times" w:cs="Times New Roman"/>
          <w:sz w:val="22"/>
          <w:szCs w:val="22"/>
        </w:rPr>
        <w:t xml:space="preserve">The generalizable CES function form in Equation (A1) applies to all nests in the </w:t>
      </w:r>
      <w:r>
        <w:rPr>
          <w:rFonts w:ascii="Times" w:eastAsia="DengXian" w:hAnsi="Times" w:cs="Times New Roman"/>
          <w:sz w:val="22"/>
          <w:szCs w:val="22"/>
        </w:rPr>
        <w:t>investment</w:t>
      </w:r>
      <w:r w:rsidRPr="006A160E">
        <w:rPr>
          <w:rFonts w:ascii="Times" w:eastAsia="DengXian" w:hAnsi="Times" w:cs="Times New Roman"/>
          <w:sz w:val="22"/>
          <w:szCs w:val="22"/>
        </w:rPr>
        <w:t xml:space="preserve"> good production structure. The </w:t>
      </w:r>
      <w:r>
        <w:rPr>
          <w:rFonts w:ascii="Times" w:eastAsia="DengXian" w:hAnsi="Times" w:cs="Times New Roman"/>
          <w:sz w:val="22"/>
          <w:szCs w:val="22"/>
        </w:rPr>
        <w:t>investment</w:t>
      </w:r>
      <w:r w:rsidRPr="006A160E">
        <w:rPr>
          <w:rFonts w:ascii="Times" w:eastAsia="DengXian" w:hAnsi="Times" w:cs="Times New Roman"/>
          <w:sz w:val="22"/>
          <w:szCs w:val="22"/>
        </w:rPr>
        <w:t xml:space="preserve"> good is produced at the minimum cost. The minimum cost problem has the same form as that of the cost minimization problem of commodity goods. Hence the generalizable form in Equation (</w:t>
      </w:r>
      <w:r w:rsidRPr="00542EB9">
        <w:rPr>
          <w:rFonts w:ascii="Times" w:eastAsia="DengXian" w:hAnsi="Times" w:cs="Times New Roman"/>
          <w:sz w:val="22"/>
          <w:szCs w:val="22"/>
        </w:rPr>
        <w:t>A</w:t>
      </w:r>
      <w:r w:rsidRPr="006A160E">
        <w:rPr>
          <w:rFonts w:ascii="Times" w:eastAsia="DengXian" w:hAnsi="Times" w:cs="Times New Roman"/>
          <w:sz w:val="22"/>
          <w:szCs w:val="22"/>
        </w:rPr>
        <w:t>8) applies to the investment good.</w:t>
      </w:r>
    </w:p>
    <w:p w14:paraId="7A7132D0" w14:textId="77777777" w:rsidR="008F30F4" w:rsidRPr="00E72270" w:rsidRDefault="008F30F4" w:rsidP="008F30F4">
      <w:pPr>
        <w:ind w:firstLine="660"/>
        <w:rPr>
          <w:rFonts w:ascii="Times" w:eastAsia="DengXian" w:hAnsi="Times" w:cs="Times New Roman"/>
          <w:sz w:val="22"/>
          <w:szCs w:val="22"/>
        </w:rPr>
      </w:pPr>
      <w:r w:rsidRPr="00E72270">
        <w:rPr>
          <w:rFonts w:ascii="Times" w:eastAsia="DengXian" w:hAnsi="Times" w:cs="Times New Roman"/>
          <w:sz w:val="22"/>
          <w:szCs w:val="22"/>
        </w:rPr>
        <w:t>Household spends money on consumption and investment. Household’s expenditure on the investment good is determined by the price of the investment good and the substitution elasticity between consumption and investment, as Figure A4 shows.</w:t>
      </w:r>
    </w:p>
    <w:p w14:paraId="63B7485A" w14:textId="77777777" w:rsidR="008F30F4" w:rsidRPr="00E72270" w:rsidRDefault="008F30F4" w:rsidP="008F30F4">
      <w:pPr>
        <w:tabs>
          <w:tab w:val="left" w:pos="820"/>
        </w:tabs>
        <w:ind w:firstLine="0"/>
        <w:rPr>
          <w:rFonts w:ascii="Times" w:eastAsia="DengXian" w:hAnsi="Times" w:cs="Times New Roman"/>
          <w:sz w:val="22"/>
          <w:szCs w:val="22"/>
        </w:rPr>
      </w:pPr>
    </w:p>
    <w:p w14:paraId="095F8907" w14:textId="77777777" w:rsidR="008F30F4" w:rsidRPr="00E72270" w:rsidRDefault="008F30F4" w:rsidP="008F30F4">
      <w:pPr>
        <w:ind w:firstLine="0"/>
        <w:jc w:val="center"/>
        <w:rPr>
          <w:rFonts w:ascii="Times" w:eastAsia="DengXian" w:hAnsi="Times" w:cs="Times New Roman"/>
          <w:sz w:val="22"/>
          <w:szCs w:val="22"/>
        </w:rPr>
      </w:pPr>
      <w:r w:rsidRPr="00E72270">
        <w:rPr>
          <w:rFonts w:ascii="Times" w:eastAsia="DengXian" w:hAnsi="Times" w:cs="Times New Roman"/>
          <w:noProof/>
          <w:sz w:val="22"/>
          <w:szCs w:val="22"/>
        </w:rPr>
        <w:drawing>
          <wp:inline distT="0" distB="0" distL="0" distR="0" wp14:anchorId="30890E08" wp14:editId="14EC22C0">
            <wp:extent cx="1639075" cy="941263"/>
            <wp:effectExtent l="0" t="0" r="0" b="0"/>
            <wp:docPr id="14464712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42915" cy="943468"/>
                    </a:xfrm>
                    <a:prstGeom prst="rect">
                      <a:avLst/>
                    </a:prstGeom>
                    <a:noFill/>
                  </pic:spPr>
                </pic:pic>
              </a:graphicData>
            </a:graphic>
          </wp:inline>
        </w:drawing>
      </w:r>
    </w:p>
    <w:p w14:paraId="31188D56" w14:textId="77777777" w:rsidR="008F30F4" w:rsidRPr="00E72270" w:rsidRDefault="008F30F4" w:rsidP="008F30F4">
      <w:pPr>
        <w:ind w:firstLine="0"/>
        <w:jc w:val="center"/>
        <w:rPr>
          <w:rFonts w:ascii="Times" w:eastAsia="DengXian" w:hAnsi="Times" w:cs="Times New Roman"/>
          <w:b/>
          <w:bCs/>
          <w:sz w:val="22"/>
        </w:rPr>
      </w:pPr>
      <w:r w:rsidRPr="0018629E">
        <w:rPr>
          <w:rFonts w:eastAsia="DengXian" w:cs="Times New Roman"/>
          <w:b/>
          <w:bCs/>
          <w:color w:val="000000"/>
          <w:sz w:val="22"/>
          <w:szCs w:val="20"/>
        </w:rPr>
        <w:t xml:space="preserve">Figure A4. Structure for </w:t>
      </w:r>
      <w:r w:rsidRPr="00E72270">
        <w:rPr>
          <w:rFonts w:eastAsia="DengXian" w:cs="Times New Roman"/>
          <w:b/>
          <w:bCs/>
          <w:color w:val="000000"/>
          <w:sz w:val="22"/>
          <w:szCs w:val="20"/>
        </w:rPr>
        <w:t>Households’ Investment and Consumption Decision</w:t>
      </w:r>
    </w:p>
    <w:p w14:paraId="15F2F423" w14:textId="77777777" w:rsidR="008F30F4" w:rsidRPr="00E72270" w:rsidRDefault="008F30F4" w:rsidP="008F30F4">
      <w:pPr>
        <w:ind w:firstLine="0"/>
        <w:rPr>
          <w:rFonts w:ascii="Times" w:eastAsia="DengXian" w:hAnsi="Times" w:cs="Times New Roman"/>
          <w:sz w:val="22"/>
          <w:szCs w:val="22"/>
        </w:rPr>
      </w:pPr>
    </w:p>
    <w:p w14:paraId="248C98AA" w14:textId="77777777" w:rsidR="008F30F4" w:rsidRPr="0018629E" w:rsidRDefault="008F30F4" w:rsidP="008F30F4">
      <w:pPr>
        <w:ind w:firstLine="660"/>
        <w:rPr>
          <w:rFonts w:ascii="Times" w:eastAsia="DengXian" w:hAnsi="Times" w:cs="Times New Roman"/>
          <w:sz w:val="22"/>
          <w:szCs w:val="22"/>
        </w:rPr>
      </w:pPr>
      <w:r w:rsidRPr="00E72270">
        <w:rPr>
          <w:rFonts w:ascii="Times" w:eastAsia="DengXian" w:hAnsi="Times" w:cs="Times New Roman"/>
          <w:sz w:val="22"/>
          <w:szCs w:val="22"/>
        </w:rPr>
        <w:t xml:space="preserve">Household’s expenditure on the investment good represents private saving. </w:t>
      </w:r>
      <w:bookmarkEnd w:id="5"/>
      <w:r w:rsidRPr="00E72270">
        <w:rPr>
          <w:rFonts w:ascii="Times" w:eastAsia="DengXian" w:hAnsi="Times" w:cs="Times New Roman"/>
          <w:sz w:val="22"/>
          <w:szCs w:val="22"/>
        </w:rPr>
        <w:t>Therefore, household investment (i.e., p</w:t>
      </w:r>
      <w:r w:rsidRPr="0018629E">
        <w:rPr>
          <w:rFonts w:ascii="Times" w:eastAsia="DengXian" w:hAnsi="Times" w:cs="Times New Roman"/>
          <w:sz w:val="22"/>
          <w:szCs w:val="22"/>
        </w:rPr>
        <w:t>rivate saving</w:t>
      </w:r>
      <w:r w:rsidRPr="00E72270">
        <w:rPr>
          <w:rFonts w:ascii="Times" w:eastAsia="DengXian" w:hAnsi="Times" w:cs="Times New Roman"/>
          <w:sz w:val="22"/>
          <w:szCs w:val="22"/>
        </w:rPr>
        <w:t>)</w:t>
      </w:r>
      <w:r w:rsidRPr="0018629E">
        <w:rPr>
          <w:rFonts w:ascii="Times" w:eastAsia="DengXian" w:hAnsi="Times" w:cs="Times New Roman"/>
          <w:sz w:val="22"/>
          <w:szCs w:val="22"/>
        </w:rPr>
        <w:t xml:space="preserve"> is determined by the following equation</w:t>
      </w:r>
      <w:r w:rsidRPr="00E72270">
        <w:rPr>
          <w:rFonts w:ascii="Times" w:eastAsia="DengXian" w:hAnsi="Times" w:cs="Times New Roman"/>
          <w:sz w:val="22"/>
          <w:szCs w:val="22"/>
        </w:rPr>
        <w:t>, following Paltsev (2005)</w:t>
      </w:r>
      <w:r w:rsidRPr="0018629E">
        <w:rPr>
          <w:rFonts w:ascii="Times" w:eastAsia="DengXian" w:hAnsi="Times" w:cs="Times New Roman"/>
          <w:sz w:val="22"/>
          <w:szCs w:val="22"/>
        </w:rPr>
        <w:t>:</w:t>
      </w:r>
    </w:p>
    <w:p w14:paraId="40C98335" w14:textId="77777777" w:rsidR="008F30F4" w:rsidRPr="0018629E" w:rsidRDefault="008F30F4" w:rsidP="008F30F4">
      <w:pPr>
        <w:pStyle w:val="a2"/>
      </w:pPr>
      <w:r w:rsidRPr="0018629E">
        <w:tab/>
      </w:r>
      <w:r w:rsidR="0038014B" w:rsidRPr="00232A1F">
        <w:rPr>
          <w:noProof/>
          <w:position w:val="-60"/>
        </w:rPr>
        <w:object w:dxaOrig="4000" w:dyaOrig="1300" w14:anchorId="41FDCB0F">
          <v:shape id="_x0000_i1135" type="#_x0000_t75" alt="" style="width:201.2pt;height:64.25pt;mso-width-percent:0;mso-height-percent:0;mso-width-percent:0;mso-height-percent:0" o:ole="">
            <v:imagedata r:id="rId187" o:title=""/>
          </v:shape>
          <o:OLEObject Type="Embed" ProgID="Equation.DSMT4" ShapeID="_x0000_i1135" DrawAspect="Content" ObjectID="_1758969496" r:id="rId188"/>
        </w:object>
      </w:r>
      <w:r w:rsidRPr="0018629E">
        <w:tab/>
      </w:r>
      <w:r w:rsidRPr="00AF2737">
        <w:fldChar w:fldCharType="begin"/>
      </w:r>
      <w:r w:rsidRPr="0018629E">
        <w:instrText xml:space="preserve"> MACROBUTTON MTPlaceRef \* MERGEFORMAT </w:instrText>
      </w:r>
      <w:r w:rsidRPr="00AF2737">
        <w:fldChar w:fldCharType="begin"/>
      </w:r>
      <w:r w:rsidRPr="0018629E">
        <w:instrText xml:space="preserve"> SEQ MTEqn \h \* MERGEFORMAT </w:instrText>
      </w:r>
      <w:r w:rsidRPr="00AF2737">
        <w:fldChar w:fldCharType="end"/>
      </w:r>
      <w:r w:rsidRPr="0018629E">
        <w:instrText>(</w:instrText>
      </w:r>
      <w:fldSimple w:instr=" SEQ MTSec \c \* Alphabetic \* MERGEFORMAT ">
        <w:r>
          <w:rPr>
            <w:noProof/>
          </w:rPr>
          <w:instrText>A</w:instrText>
        </w:r>
      </w:fldSimple>
      <w:r w:rsidRPr="00AF2737">
        <w:fldChar w:fldCharType="begin"/>
      </w:r>
      <w:r w:rsidRPr="0018629E">
        <w:instrText xml:space="preserve"> SEQ MTEqn \c \* Arabic \* MERGEFORMAT </w:instrText>
      </w:r>
      <w:r w:rsidRPr="00AF2737">
        <w:fldChar w:fldCharType="separate"/>
      </w:r>
      <w:r>
        <w:rPr>
          <w:noProof/>
        </w:rPr>
        <w:instrText>17</w:instrText>
      </w:r>
      <w:r w:rsidRPr="00AF2737">
        <w:rPr>
          <w:noProof/>
        </w:rPr>
        <w:fldChar w:fldCharType="end"/>
      </w:r>
      <w:r w:rsidRPr="0018629E">
        <w:instrText>)</w:instrText>
      </w:r>
      <w:r w:rsidRPr="00AF2737">
        <w:fldChar w:fldCharType="end"/>
      </w:r>
    </w:p>
    <w:p w14:paraId="0DBB4CBE" w14:textId="77777777" w:rsidR="008F30F4" w:rsidRPr="00333C7B" w:rsidRDefault="008F30F4" w:rsidP="008F30F4">
      <w:pPr>
        <w:ind w:firstLine="0"/>
        <w:rPr>
          <w:rFonts w:ascii="Times" w:eastAsia="DengXian" w:hAnsi="Times" w:cs="Times New Roman"/>
          <w:sz w:val="22"/>
        </w:rPr>
      </w:pPr>
      <w:r w:rsidRPr="0018629E">
        <w:rPr>
          <w:rFonts w:ascii="Times" w:eastAsia="DengXian" w:hAnsi="Times" w:cs="Times New Roman"/>
          <w:sz w:val="22"/>
          <w:szCs w:val="22"/>
        </w:rPr>
        <w:t xml:space="preserve">where </w:t>
      </w:r>
      <w:r w:rsidR="0038014B" w:rsidRPr="00232A1F">
        <w:rPr>
          <w:noProof/>
          <w:position w:val="-10"/>
        </w:rPr>
        <w:object w:dxaOrig="240" w:dyaOrig="320" w14:anchorId="515C2154">
          <v:shape id="_x0000_i1134" type="#_x0000_t75" alt="" style="width:12.7pt;height:15.55pt;mso-width-percent:0;mso-height-percent:0;mso-width-percent:0;mso-height-percent:0" o:ole="">
            <v:imagedata r:id="rId189" o:title=""/>
          </v:shape>
          <o:OLEObject Type="Embed" ProgID="Equation.DSMT4" ShapeID="_x0000_i1134" DrawAspect="Content" ObjectID="_1758969497" r:id="rId190"/>
        </w:object>
      </w:r>
      <w:r w:rsidRPr="0018629E">
        <w:rPr>
          <w:rFonts w:ascii="Times" w:eastAsia="DengXian" w:hAnsi="Times" w:cs="Times New Roman"/>
          <w:sz w:val="22"/>
          <w:szCs w:val="22"/>
        </w:rPr>
        <w:t xml:space="preserve"> represents private saving, </w:t>
      </w:r>
      <w:r w:rsidR="0038014B" w:rsidRPr="00232A1F">
        <w:rPr>
          <w:noProof/>
          <w:position w:val="-10"/>
        </w:rPr>
        <w:object w:dxaOrig="499" w:dyaOrig="320" w14:anchorId="424E63D4">
          <v:shape id="_x0000_i1133" type="#_x0000_t75" alt="" style="width:24pt;height:15.55pt;mso-width-percent:0;mso-height-percent:0;mso-width-percent:0;mso-height-percent:0" o:ole="">
            <v:imagedata r:id="rId191" o:title=""/>
          </v:shape>
          <o:OLEObject Type="Embed" ProgID="Equation.DSMT4" ShapeID="_x0000_i1133" DrawAspect="Content" ObjectID="_1758969498" r:id="rId192"/>
        </w:object>
      </w:r>
      <w:r w:rsidRPr="0018629E">
        <w:rPr>
          <w:rFonts w:ascii="Times" w:eastAsia="DengXian" w:hAnsi="Times" w:cs="Times New Roman"/>
          <w:sz w:val="22"/>
          <w:szCs w:val="22"/>
        </w:rPr>
        <w:t xml:space="preserve"> households’ total income</w:t>
      </w:r>
      <w:r w:rsidRPr="00E72270">
        <w:rPr>
          <w:rFonts w:ascii="Times" w:eastAsia="DengXian" w:hAnsi="Times" w:cs="Times New Roman"/>
          <w:sz w:val="22"/>
          <w:szCs w:val="22"/>
        </w:rPr>
        <w:t>. The left-hand side represents the change in private saving rate relative to the benchmark data.</w:t>
      </w:r>
      <w:r w:rsidRPr="0018629E">
        <w:rPr>
          <w:rFonts w:ascii="Times" w:eastAsia="DengXian" w:hAnsi="Times" w:cs="Times New Roman"/>
          <w:sz w:val="22"/>
          <w:szCs w:val="22"/>
        </w:rPr>
        <w:t xml:space="preserve"> </w:t>
      </w:r>
      <w:r w:rsidR="0038014B" w:rsidRPr="00232A1F">
        <w:rPr>
          <w:noProof/>
          <w:position w:val="-12"/>
        </w:rPr>
        <w:object w:dxaOrig="360" w:dyaOrig="340" w14:anchorId="6687F812">
          <v:shape id="_x0000_i1132" type="#_x0000_t75" alt="" style="width:19.75pt;height:15.55pt;mso-width-percent:0;mso-height-percent:0;mso-width-percent:0;mso-height-percent:0" o:ole="">
            <v:imagedata r:id="rId193" o:title=""/>
          </v:shape>
          <o:OLEObject Type="Embed" ProgID="Equation.DSMT4" ShapeID="_x0000_i1132" DrawAspect="Content" ObjectID="_1758969499" r:id="rId194"/>
        </w:object>
      </w:r>
      <w:r w:rsidRPr="0018629E">
        <w:rPr>
          <w:sz w:val="22"/>
          <w:szCs w:val="22"/>
        </w:rPr>
        <w:t xml:space="preserve"> </w:t>
      </w:r>
      <w:r w:rsidRPr="00E72270">
        <w:rPr>
          <w:sz w:val="22"/>
          <w:szCs w:val="22"/>
        </w:rPr>
        <w:t xml:space="preserve">the cost of investment good </w:t>
      </w:r>
      <w:r w:rsidRPr="0018629E">
        <w:rPr>
          <w:rFonts w:ascii="Times" w:eastAsia="DengXian" w:hAnsi="Times" w:cs="Times New Roman"/>
          <w:sz w:val="22"/>
          <w:szCs w:val="22"/>
        </w:rPr>
        <w:t xml:space="preserve">in period </w:t>
      </w:r>
      <w:r w:rsidRPr="0018629E">
        <w:rPr>
          <w:rFonts w:ascii="Times" w:eastAsia="DengXian" w:hAnsi="Times" w:cs="Times New Roman"/>
          <w:i/>
          <w:iCs/>
          <w:sz w:val="22"/>
          <w:szCs w:val="22"/>
        </w:rPr>
        <w:t xml:space="preserve">t, </w:t>
      </w:r>
      <w:r w:rsidRPr="00E72270">
        <w:rPr>
          <w:rFonts w:ascii="Times" w:eastAsia="DengXian" w:hAnsi="Times" w:cs="Times New Roman"/>
          <w:sz w:val="22"/>
          <w:szCs w:val="22"/>
        </w:rPr>
        <w:t>determined by Figure A</w:t>
      </w:r>
      <w:r>
        <w:rPr>
          <w:rFonts w:ascii="Times" w:eastAsia="DengXian" w:hAnsi="Times" w:cs="Times New Roman"/>
          <w:sz w:val="22"/>
          <w:szCs w:val="22"/>
        </w:rPr>
        <w:t>4</w:t>
      </w:r>
      <w:r w:rsidRPr="00E72270">
        <w:rPr>
          <w:rFonts w:ascii="Times" w:eastAsia="DengXian" w:hAnsi="Times" w:cs="Times New Roman"/>
          <w:sz w:val="22"/>
          <w:szCs w:val="22"/>
        </w:rPr>
        <w:t>.</w:t>
      </w:r>
      <w:r w:rsidRPr="00E72270">
        <w:rPr>
          <w:rFonts w:ascii="Times" w:eastAsia="DengXian" w:hAnsi="Times" w:cs="Times New Roman"/>
          <w:i/>
          <w:iCs/>
          <w:sz w:val="22"/>
          <w:szCs w:val="22"/>
        </w:rPr>
        <w:t xml:space="preserve"> </w:t>
      </w:r>
      <w:r w:rsidR="0038014B" w:rsidRPr="00232A1F">
        <w:rPr>
          <w:noProof/>
          <w:position w:val="-12"/>
        </w:rPr>
        <w:object w:dxaOrig="540" w:dyaOrig="340" w14:anchorId="2E81B3F0">
          <v:shape id="_x0000_i1131" type="#_x0000_t75" alt="" style="width:26.8pt;height:15.55pt;mso-width-percent:0;mso-height-percent:0;mso-width-percent:0;mso-height-percent:0" o:ole="">
            <v:imagedata r:id="rId195" o:title=""/>
          </v:shape>
          <o:OLEObject Type="Embed" ProgID="Equation.DSMT4" ShapeID="_x0000_i1131" DrawAspect="Content" ObjectID="_1758969500" r:id="rId196"/>
        </w:object>
      </w:r>
      <w:r w:rsidRPr="0018629E">
        <w:rPr>
          <w:rFonts w:ascii="Times" w:eastAsia="DengXian" w:hAnsi="Times" w:cs="Times New Roman"/>
          <w:sz w:val="22"/>
          <w:szCs w:val="22"/>
        </w:rPr>
        <w:t xml:space="preserve"> the price of consumption-investment composite. </w:t>
      </w:r>
      <w:r w:rsidR="0038014B" w:rsidRPr="00232A1F">
        <w:rPr>
          <w:noProof/>
          <w:position w:val="-10"/>
        </w:rPr>
        <w:object w:dxaOrig="260" w:dyaOrig="320" w14:anchorId="0CD215F6">
          <v:shape id="_x0000_i1130" type="#_x0000_t75" alt="" style="width:13.4pt;height:15.55pt;mso-width-percent:0;mso-height-percent:0;mso-width-percent:0;mso-height-percent:0" o:ole="">
            <v:imagedata r:id="rId197" o:title=""/>
          </v:shape>
          <o:OLEObject Type="Embed" ProgID="Equation.DSMT4" ShapeID="_x0000_i1130" DrawAspect="Content" ObjectID="_1758969501" r:id="rId198"/>
        </w:object>
      </w:r>
      <w:r w:rsidRPr="0018629E">
        <w:rPr>
          <w:sz w:val="22"/>
          <w:szCs w:val="22"/>
        </w:rPr>
        <w:t>,</w:t>
      </w:r>
      <w:r w:rsidR="0038014B" w:rsidRPr="00232A1F">
        <w:rPr>
          <w:noProof/>
          <w:position w:val="-10"/>
        </w:rPr>
        <w:object w:dxaOrig="520" w:dyaOrig="320" w14:anchorId="2BB48C25">
          <v:shape id="_x0000_i1129" type="#_x0000_t75" alt="" style="width:24.7pt;height:15.55pt;mso-width-percent:0;mso-height-percent:0;mso-width-percent:0;mso-height-percent:0" o:ole="">
            <v:imagedata r:id="rId199" o:title=""/>
          </v:shape>
          <o:OLEObject Type="Embed" ProgID="Equation.DSMT4" ShapeID="_x0000_i1129" DrawAspect="Content" ObjectID="_1758969502" r:id="rId200"/>
        </w:object>
      </w:r>
      <w:r w:rsidRPr="0018629E">
        <w:rPr>
          <w:sz w:val="22"/>
          <w:szCs w:val="22"/>
        </w:rPr>
        <w:t>,</w:t>
      </w:r>
      <w:r w:rsidR="0038014B" w:rsidRPr="00232A1F">
        <w:rPr>
          <w:noProof/>
          <w:position w:val="-12"/>
        </w:rPr>
        <w:object w:dxaOrig="380" w:dyaOrig="340" w14:anchorId="38BD5D0A">
          <v:shape id="_x0000_i1128" type="#_x0000_t75" alt="" style="width:19.75pt;height:15.55pt;mso-width-percent:0;mso-height-percent:0;mso-width-percent:0;mso-height-percent:0" o:ole="">
            <v:imagedata r:id="rId201" o:title=""/>
          </v:shape>
          <o:OLEObject Type="Embed" ProgID="Equation.DSMT4" ShapeID="_x0000_i1128" DrawAspect="Content" ObjectID="_1758969503" r:id="rId202"/>
        </w:object>
      </w:r>
      <w:r w:rsidRPr="0018629E">
        <w:rPr>
          <w:rFonts w:ascii="Times" w:eastAsia="DengXian" w:hAnsi="Times" w:cs="Times New Roman"/>
          <w:noProof/>
          <w:sz w:val="22"/>
          <w:szCs w:val="22"/>
        </w:rPr>
        <w:t xml:space="preserve">, and </w:t>
      </w:r>
      <w:r w:rsidR="0038014B" w:rsidRPr="00232A1F">
        <w:rPr>
          <w:noProof/>
          <w:position w:val="-12"/>
        </w:rPr>
        <w:object w:dxaOrig="560" w:dyaOrig="340" w14:anchorId="4E44093B">
          <v:shape id="_x0000_i1127" type="#_x0000_t75" alt="" style="width:27.55pt;height:15.55pt;mso-width-percent:0;mso-height-percent:0;mso-width-percent:0;mso-height-percent:0" o:ole="">
            <v:imagedata r:id="rId203" o:title=""/>
          </v:shape>
          <o:OLEObject Type="Embed" ProgID="Equation.DSMT4" ShapeID="_x0000_i1127" DrawAspect="Content" ObjectID="_1758969504" r:id="rId204"/>
        </w:object>
      </w:r>
      <w:r w:rsidRPr="00E72270">
        <w:t xml:space="preserve"> </w:t>
      </w:r>
      <w:r w:rsidRPr="0018629E">
        <w:rPr>
          <w:rFonts w:ascii="Times" w:eastAsia="DengXian" w:hAnsi="Times" w:cs="Times New Roman"/>
          <w:sz w:val="22"/>
          <w:szCs w:val="22"/>
        </w:rPr>
        <w:t xml:space="preserve">represent them in the benchmark data. </w:t>
      </w:r>
      <w:r w:rsidRPr="00E72270">
        <w:rPr>
          <w:rFonts w:ascii="Times" w:eastAsia="DengXian" w:hAnsi="Times" w:cs="Times New Roman"/>
          <w:sz w:val="22"/>
          <w:szCs w:val="22"/>
        </w:rPr>
        <w:t xml:space="preserve">The </w:t>
      </w:r>
      <w:r w:rsidR="0038014B" w:rsidRPr="00232A1F">
        <w:rPr>
          <w:noProof/>
          <w:position w:val="-10"/>
        </w:rPr>
        <w:object w:dxaOrig="240" w:dyaOrig="320" w14:anchorId="113D16DC">
          <v:shape id="_x0000_i1126" type="#_x0000_t75" alt="" style="width:12.7pt;height:15.55pt;mso-width-percent:0;mso-height-percent:0;mso-width-percent:0;mso-height-percent:0" o:ole="">
            <v:imagedata r:id="rId205" o:title=""/>
          </v:shape>
          <o:OLEObject Type="Embed" ProgID="Equation.DSMT4" ShapeID="_x0000_i1126" DrawAspect="Content" ObjectID="_1758969505" r:id="rId206"/>
        </w:object>
      </w:r>
      <w:r w:rsidRPr="0018629E">
        <w:rPr>
          <w:rFonts w:ascii="Times" w:eastAsia="DengXian" w:hAnsi="Times" w:cs="Times New Roman"/>
          <w:i/>
          <w:iCs/>
          <w:sz w:val="22"/>
          <w:szCs w:val="22"/>
        </w:rPr>
        <w:t xml:space="preserve"> </w:t>
      </w:r>
      <w:r w:rsidRPr="0018629E">
        <w:rPr>
          <w:rFonts w:ascii="Times" w:eastAsia="DengXian" w:hAnsi="Times" w:cs="Times New Roman"/>
          <w:sz w:val="22"/>
          <w:szCs w:val="22"/>
        </w:rPr>
        <w:t>is the</w:t>
      </w:r>
      <w:r w:rsidRPr="00E72270">
        <w:rPr>
          <w:rFonts w:ascii="Times" w:eastAsia="DengXian" w:hAnsi="Times" w:cs="Times New Roman"/>
          <w:sz w:val="22"/>
          <w:szCs w:val="22"/>
        </w:rPr>
        <w:t xml:space="preserve"> elasticity between </w:t>
      </w:r>
      <w:r w:rsidRPr="0018629E">
        <w:rPr>
          <w:rFonts w:ascii="Times" w:eastAsia="DengXian" w:hAnsi="Times" w:cs="Times New Roman"/>
          <w:sz w:val="22"/>
          <w:szCs w:val="22"/>
        </w:rPr>
        <w:t xml:space="preserve">private saving rate and </w:t>
      </w:r>
      <w:r w:rsidRPr="00E72270">
        <w:rPr>
          <w:rFonts w:ascii="Times" w:eastAsia="DengXian" w:hAnsi="Times" w:cs="Times New Roman"/>
          <w:sz w:val="22"/>
          <w:szCs w:val="22"/>
        </w:rPr>
        <w:t xml:space="preserve">the </w:t>
      </w:r>
      <w:r w:rsidRPr="0018629E">
        <w:rPr>
          <w:rFonts w:ascii="Times" w:eastAsia="DengXian" w:hAnsi="Times" w:cs="Times New Roman"/>
          <w:sz w:val="22"/>
          <w:szCs w:val="22"/>
        </w:rPr>
        <w:t xml:space="preserve">price of </w:t>
      </w:r>
      <w:r w:rsidRPr="00E72270">
        <w:rPr>
          <w:rFonts w:ascii="Times" w:eastAsia="DengXian" w:hAnsi="Times" w:cs="Times New Roman"/>
          <w:sz w:val="22"/>
          <w:szCs w:val="22"/>
        </w:rPr>
        <w:t>investment</w:t>
      </w:r>
      <w:r w:rsidRPr="0018629E">
        <w:rPr>
          <w:rFonts w:ascii="Times" w:eastAsia="DengXian" w:hAnsi="Times" w:cs="Times New Roman"/>
          <w:sz w:val="22"/>
          <w:szCs w:val="22"/>
        </w:rPr>
        <w:t xml:space="preserve"> good</w:t>
      </w:r>
      <w:r w:rsidRPr="00E72270">
        <w:rPr>
          <w:rFonts w:ascii="Times" w:eastAsia="DengXian" w:hAnsi="Times" w:cs="Times New Roman"/>
          <w:sz w:val="22"/>
          <w:szCs w:val="22"/>
        </w:rPr>
        <w:t xml:space="preserve"> relative to the consumption-investment composite, and </w:t>
      </w:r>
      <w:r w:rsidR="0038014B" w:rsidRPr="00232A1F">
        <w:rPr>
          <w:noProof/>
          <w:position w:val="-28"/>
        </w:rPr>
        <w:object w:dxaOrig="1840" w:dyaOrig="639" w14:anchorId="513A9DD8">
          <v:shape id="_x0000_i1125" type="#_x0000_t75" alt="" style="width:92.45pt;height:31.75pt;mso-width-percent:0;mso-height-percent:0;mso-width-percent:0;mso-height-percent:0" o:ole="">
            <v:imagedata r:id="rId207" o:title=""/>
          </v:shape>
          <o:OLEObject Type="Embed" ProgID="Equation.DSMT4" ShapeID="_x0000_i1125" DrawAspect="Content" ObjectID="_1758969506" r:id="rId208"/>
        </w:object>
      </w:r>
      <w:r w:rsidRPr="00E72270">
        <w:rPr>
          <w:rFonts w:ascii="Times" w:eastAsia="DengXian" w:hAnsi="Times" w:cs="Times New Roman"/>
          <w:sz w:val="22"/>
          <w:szCs w:val="22"/>
        </w:rPr>
        <w:t>.</w:t>
      </w:r>
      <w:r w:rsidR="0038014B" w:rsidRPr="00232A1F">
        <w:rPr>
          <w:noProof/>
          <w:position w:val="-6"/>
        </w:rPr>
        <w:object w:dxaOrig="360" w:dyaOrig="200" w14:anchorId="5FDE4FB7">
          <v:shape id="_x0000_i1124" type="#_x0000_t75" alt="" style="width:19.75pt;height:8.45pt;mso-width-percent:0;mso-height-percent:0;mso-width-percent:0;mso-height-percent:0" o:ole="">
            <v:imagedata r:id="rId209" o:title=""/>
          </v:shape>
          <o:OLEObject Type="Embed" ProgID="Equation.DSMT4" ShapeID="_x0000_i1124" DrawAspect="Content" ObjectID="_1758969507" r:id="rId210"/>
        </w:object>
      </w:r>
      <w:r w:rsidRPr="00E72270">
        <w:rPr>
          <w:rFonts w:ascii="Times" w:eastAsia="DengXian" w:hAnsi="Times" w:cs="Times New Roman"/>
          <w:noProof/>
          <w:sz w:val="22"/>
          <w:szCs w:val="22"/>
        </w:rPr>
        <w:t xml:space="preserve"> </w:t>
      </w:r>
      <w:r w:rsidRPr="00E72270">
        <w:rPr>
          <w:rFonts w:ascii="Times" w:eastAsia="DengXian" w:hAnsi="Times" w:cs="Times New Roman"/>
          <w:sz w:val="22"/>
          <w:szCs w:val="22"/>
        </w:rPr>
        <w:t>is the annual reduction rate that represents an exogenously decreasing trend of private saving rate in China.</w:t>
      </w:r>
      <w:bookmarkEnd w:id="6"/>
    </w:p>
    <w:p w14:paraId="657BC93F" w14:textId="77777777" w:rsidR="008F30F4" w:rsidRPr="00B018A7" w:rsidRDefault="008F30F4" w:rsidP="008F30F4">
      <w:pPr>
        <w:pStyle w:val="Heading2"/>
        <w:rPr>
          <w:szCs w:val="28"/>
        </w:rPr>
      </w:pPr>
      <w:r w:rsidRPr="00B018A7">
        <w:rPr>
          <w:szCs w:val="28"/>
        </w:rPr>
        <w:t xml:space="preserve">Government </w:t>
      </w:r>
      <w:r>
        <w:rPr>
          <w:szCs w:val="28"/>
        </w:rPr>
        <w:t>Behavior</w:t>
      </w:r>
    </w:p>
    <w:p w14:paraId="58E466E1" w14:textId="77777777" w:rsidR="008F30F4" w:rsidRDefault="008F30F4" w:rsidP="008F30F4">
      <w:pPr>
        <w:ind w:firstLine="720"/>
        <w:rPr>
          <w:rFonts w:eastAsia="DengXian" w:cs="Times New Roman"/>
          <w:sz w:val="22"/>
        </w:rPr>
      </w:pPr>
      <w:r>
        <w:rPr>
          <w:rFonts w:ascii="Times" w:eastAsia="DengXian" w:hAnsi="Times" w:cs="Arial"/>
          <w:noProof/>
          <w:sz w:val="22"/>
          <w:lang w:eastAsia="en-US"/>
        </w:rPr>
        <w:drawing>
          <wp:anchor distT="0" distB="0" distL="114300" distR="114300" simplePos="0" relativeHeight="251673600" behindDoc="0" locked="0" layoutInCell="1" allowOverlap="1" wp14:anchorId="4D5629EC" wp14:editId="7D931BAC">
            <wp:simplePos x="0" y="0"/>
            <wp:positionH relativeFrom="margin">
              <wp:posOffset>469900</wp:posOffset>
            </wp:positionH>
            <wp:positionV relativeFrom="paragraph">
              <wp:posOffset>1190625</wp:posOffset>
            </wp:positionV>
            <wp:extent cx="4445000" cy="2363470"/>
            <wp:effectExtent l="0" t="0" r="0" b="0"/>
            <wp:wrapTopAndBottom/>
            <wp:docPr id="1488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445000" cy="2363470"/>
                    </a:xfrm>
                    <a:prstGeom prst="rect">
                      <a:avLst/>
                    </a:prstGeom>
                    <a:noFill/>
                  </pic:spPr>
                </pic:pic>
              </a:graphicData>
            </a:graphic>
            <wp14:sizeRelH relativeFrom="page">
              <wp14:pctWidth>0</wp14:pctWidth>
            </wp14:sizeRelH>
            <wp14:sizeRelV relativeFrom="page">
              <wp14:pctHeight>0</wp14:pctHeight>
            </wp14:sizeRelV>
          </wp:anchor>
        </w:drawing>
      </w:r>
      <w:r w:rsidRPr="00333C7B">
        <w:rPr>
          <w:rFonts w:eastAsia="DengXian" w:cs="Times New Roman"/>
          <w:sz w:val="22"/>
        </w:rPr>
        <w:t xml:space="preserve">Government spending in the model is characterized by a CES preference function defined over </w:t>
      </w:r>
      <w:r>
        <w:rPr>
          <w:rFonts w:eastAsia="DengXian" w:cs="Times New Roman"/>
          <w:sz w:val="22"/>
        </w:rPr>
        <w:t>a</w:t>
      </w:r>
      <w:r w:rsidRPr="00333C7B">
        <w:rPr>
          <w:rFonts w:eastAsia="DengXian" w:cs="Times New Roman"/>
          <w:sz w:val="22"/>
        </w:rPr>
        <w:t xml:space="preserve"> material-energy composite. The structure is the same as the structure for household consumption, with the only difference being the values of the elasticities</w:t>
      </w:r>
      <w:r>
        <w:rPr>
          <w:rFonts w:eastAsia="DengXian" w:cs="Times New Roman"/>
          <w:sz w:val="22"/>
        </w:rPr>
        <w:t xml:space="preserve"> </w:t>
      </w:r>
      <w:r>
        <w:rPr>
          <w:rFonts w:eastAsia="DengXian" w:cs="Times New Roman" w:hint="eastAsia"/>
          <w:sz w:val="22"/>
        </w:rPr>
        <w:t>a</w:t>
      </w:r>
      <w:r>
        <w:rPr>
          <w:rFonts w:eastAsia="DengXian" w:cs="Times New Roman"/>
          <w:sz w:val="22"/>
        </w:rPr>
        <w:t>nd the shares of the inputs</w:t>
      </w:r>
      <w:r w:rsidRPr="00333C7B">
        <w:rPr>
          <w:rFonts w:eastAsia="DengXian" w:cs="Times New Roman"/>
          <w:sz w:val="22"/>
        </w:rPr>
        <w:t xml:space="preserve">. </w:t>
      </w:r>
    </w:p>
    <w:p w14:paraId="4D4B9C48" w14:textId="77777777" w:rsidR="008F30F4" w:rsidRPr="00333C7B" w:rsidRDefault="008F30F4" w:rsidP="008F30F4">
      <w:pPr>
        <w:ind w:firstLine="0"/>
        <w:jc w:val="center"/>
        <w:rPr>
          <w:rFonts w:ascii="Times" w:eastAsia="DengXian" w:hAnsi="Times" w:cs="Times New Roman"/>
          <w:b/>
          <w:bCs/>
          <w:sz w:val="22"/>
        </w:rPr>
      </w:pPr>
      <w:r w:rsidRPr="00333C7B">
        <w:rPr>
          <w:rFonts w:eastAsia="DengXian" w:cs="Times New Roman"/>
          <w:b/>
          <w:bCs/>
          <w:color w:val="000000"/>
          <w:sz w:val="22"/>
          <w:szCs w:val="20"/>
        </w:rPr>
        <w:t>Figure A</w:t>
      </w:r>
      <w:r>
        <w:rPr>
          <w:rFonts w:eastAsia="DengXian" w:cs="Times New Roman"/>
          <w:b/>
          <w:bCs/>
          <w:color w:val="000000"/>
          <w:sz w:val="22"/>
          <w:szCs w:val="20"/>
        </w:rPr>
        <w:t>5</w:t>
      </w:r>
      <w:r w:rsidRPr="00333C7B">
        <w:rPr>
          <w:rFonts w:eastAsia="DengXian" w:cs="Times New Roman"/>
          <w:b/>
          <w:bCs/>
          <w:color w:val="000000"/>
          <w:sz w:val="22"/>
          <w:szCs w:val="20"/>
        </w:rPr>
        <w:t>. Nested Structure for Government Spending</w:t>
      </w:r>
    </w:p>
    <w:p w14:paraId="68B74820" w14:textId="77777777" w:rsidR="008F30F4" w:rsidRPr="00333C7B" w:rsidRDefault="008F30F4" w:rsidP="008F30F4">
      <w:pPr>
        <w:ind w:firstLine="0"/>
        <w:rPr>
          <w:rFonts w:ascii="Times" w:eastAsia="DengXian" w:hAnsi="Times" w:cs="Times New Roman"/>
          <w:sz w:val="22"/>
        </w:rPr>
      </w:pPr>
    </w:p>
    <w:p w14:paraId="5A56E8E3" w14:textId="77777777" w:rsidR="008F30F4" w:rsidRPr="00835157" w:rsidRDefault="008F30F4" w:rsidP="008F30F4">
      <w:pPr>
        <w:ind w:firstLine="720"/>
        <w:rPr>
          <w:rFonts w:ascii="Times" w:eastAsia="DengXian" w:hAnsi="Times" w:cs="Times New Roman"/>
          <w:sz w:val="22"/>
          <w:szCs w:val="22"/>
        </w:rPr>
      </w:pPr>
      <w:r w:rsidRPr="00835157">
        <w:rPr>
          <w:rFonts w:ascii="Times" w:eastAsia="DengXian" w:hAnsi="Times" w:cs="Times New Roman"/>
          <w:sz w:val="22"/>
          <w:szCs w:val="22"/>
        </w:rPr>
        <w:t xml:space="preserve">The government is assumed to balance its budget each year: </w:t>
      </w:r>
    </w:p>
    <w:p w14:paraId="53313091" w14:textId="77777777" w:rsidR="008F30F4" w:rsidRPr="00835157" w:rsidRDefault="008F30F4" w:rsidP="008F30F4">
      <w:pPr>
        <w:pStyle w:val="a2"/>
      </w:pPr>
      <w:r w:rsidRPr="00835157">
        <w:tab/>
      </w:r>
      <w:r w:rsidR="0038014B" w:rsidRPr="00A7578E">
        <w:rPr>
          <w:noProof/>
          <w:position w:val="-10"/>
        </w:rPr>
        <w:object w:dxaOrig="1640" w:dyaOrig="320" w14:anchorId="0F9986A1">
          <v:shape id="_x0000_i1123" type="#_x0000_t75" alt="" style="width:79.75pt;height:15.55pt;mso-width-percent:0;mso-height-percent:0;mso-width-percent:0;mso-height-percent:0" o:ole="">
            <v:imagedata r:id="rId212" o:title=""/>
          </v:shape>
          <o:OLEObject Type="Embed" ProgID="Equation.DSMT4" ShapeID="_x0000_i1123" DrawAspect="Content" ObjectID="_1758969508" r:id="rId213"/>
        </w:object>
      </w:r>
      <w:r w:rsidRPr="00835157">
        <w:tab/>
      </w:r>
      <w:r w:rsidRPr="00835157">
        <w:fldChar w:fldCharType="begin"/>
      </w:r>
      <w:r w:rsidRPr="00835157">
        <w:instrText xml:space="preserve"> MACROBUTTON MTPlaceRef \* MERGEFORMAT </w:instrText>
      </w:r>
      <w:r w:rsidRPr="00835157">
        <w:fldChar w:fldCharType="begin"/>
      </w:r>
      <w:r w:rsidRPr="00835157">
        <w:instrText xml:space="preserve"> SEQ MTEqn \h \* MERGEFORMAT </w:instrText>
      </w:r>
      <w:r w:rsidRPr="00835157">
        <w:fldChar w:fldCharType="end"/>
      </w:r>
      <w:r w:rsidRPr="00835157">
        <w:instrText>(</w:instrText>
      </w:r>
      <w:fldSimple w:instr=" SEQ MTSec \c \* Alphabetic \* MERGEFORMAT ">
        <w:r>
          <w:rPr>
            <w:noProof/>
          </w:rPr>
          <w:instrText>A</w:instrText>
        </w:r>
      </w:fldSimple>
      <w:fldSimple w:instr=" SEQ MTEqn \c \* Arabic \* MERGEFORMAT ">
        <w:r>
          <w:rPr>
            <w:noProof/>
          </w:rPr>
          <w:instrText>18</w:instrText>
        </w:r>
      </w:fldSimple>
      <w:r w:rsidRPr="00835157">
        <w:instrText>)</w:instrText>
      </w:r>
      <w:r w:rsidRPr="00835157">
        <w:fldChar w:fldCharType="end"/>
      </w:r>
    </w:p>
    <w:p w14:paraId="21211E4B" w14:textId="77777777" w:rsidR="008F30F4" w:rsidRPr="00835157" w:rsidRDefault="008F30F4" w:rsidP="008F30F4">
      <w:pPr>
        <w:ind w:firstLine="0"/>
        <w:rPr>
          <w:rFonts w:ascii="Times" w:eastAsia="DengXian" w:hAnsi="Times" w:cs="Times New Roman"/>
          <w:sz w:val="22"/>
          <w:szCs w:val="22"/>
        </w:rPr>
      </w:pPr>
      <w:r w:rsidRPr="00835157">
        <w:rPr>
          <w:rFonts w:ascii="Times" w:eastAsia="DengXian" w:hAnsi="Times" w:cs="Times New Roman"/>
          <w:sz w:val="22"/>
          <w:szCs w:val="22"/>
        </w:rPr>
        <w:t xml:space="preserve">where </w:t>
      </w:r>
      <w:r w:rsidR="0038014B" w:rsidRPr="00A7578E">
        <w:rPr>
          <w:noProof/>
          <w:position w:val="-10"/>
        </w:rPr>
        <w:object w:dxaOrig="520" w:dyaOrig="320" w14:anchorId="01FA9FC9">
          <v:shape id="_x0000_i1122" type="#_x0000_t75" alt="" style="width:26.8pt;height:15.55pt;mso-width-percent:0;mso-height-percent:0;mso-width-percent:0;mso-height-percent:0" o:ole="">
            <v:imagedata r:id="rId214" o:title=""/>
          </v:shape>
          <o:OLEObject Type="Embed" ProgID="Equation.DSMT4" ShapeID="_x0000_i1122" DrawAspect="Content" ObjectID="_1758969509" r:id="rId215"/>
        </w:object>
      </w:r>
      <w:r w:rsidRPr="00835157">
        <w:rPr>
          <w:sz w:val="22"/>
          <w:szCs w:val="22"/>
        </w:rPr>
        <w:t xml:space="preserve"> is </w:t>
      </w:r>
      <w:r w:rsidRPr="00835157">
        <w:rPr>
          <w:rFonts w:ascii="Times" w:eastAsia="DengXian" w:hAnsi="Times" w:cs="Times New Roman"/>
          <w:sz w:val="22"/>
          <w:szCs w:val="22"/>
        </w:rPr>
        <w:t xml:space="preserve">the expenditure on public consumption, </w:t>
      </w:r>
      <w:r w:rsidRPr="00835157">
        <w:rPr>
          <w:rFonts w:ascii="Times" w:eastAsia="DengXian" w:hAnsi="Times" w:cs="Times New Roman"/>
          <w:i/>
          <w:iCs/>
          <w:sz w:val="22"/>
          <w:szCs w:val="22"/>
        </w:rPr>
        <w:t>R</w:t>
      </w:r>
      <w:r w:rsidRPr="00835157">
        <w:rPr>
          <w:rFonts w:ascii="Times" w:eastAsia="DengXian" w:hAnsi="Times" w:cs="Times New Roman"/>
          <w:sz w:val="22"/>
          <w:szCs w:val="22"/>
        </w:rPr>
        <w:t xml:space="preserve"> the total tax revenue (consists of output taxes, intermediate demand taxes, factor taxes, and final demand taxes), </w:t>
      </w:r>
      <w:r w:rsidRPr="00835157">
        <w:rPr>
          <w:rFonts w:ascii="Times" w:eastAsia="DengXian" w:hAnsi="Times" w:cs="Times New Roman"/>
          <w:i/>
          <w:iCs/>
          <w:sz w:val="22"/>
          <w:szCs w:val="22"/>
        </w:rPr>
        <w:t>T</w:t>
      </w:r>
      <w:r w:rsidRPr="00835157">
        <w:rPr>
          <w:rFonts w:ascii="Times" w:eastAsia="DengXian" w:hAnsi="Times" w:cs="Times New Roman"/>
          <w:sz w:val="22"/>
          <w:szCs w:val="22"/>
        </w:rPr>
        <w:t xml:space="preserve"> the transfers to households, and </w:t>
      </w:r>
      <w:r w:rsidR="0038014B" w:rsidRPr="00A7578E">
        <w:rPr>
          <w:noProof/>
          <w:position w:val="-10"/>
        </w:rPr>
        <w:object w:dxaOrig="260" w:dyaOrig="320" w14:anchorId="0840DAA1">
          <v:shape id="_x0000_i1121" type="#_x0000_t75" alt="" style="width:13.4pt;height:15.55pt;mso-width-percent:0;mso-height-percent:0;mso-width-percent:0;mso-height-percent:0" o:ole="">
            <v:imagedata r:id="rId216" o:title=""/>
          </v:shape>
          <o:OLEObject Type="Embed" ProgID="Equation.DSMT4" ShapeID="_x0000_i1121" DrawAspect="Content" ObjectID="_1758969510" r:id="rId217"/>
        </w:object>
      </w:r>
      <w:r w:rsidRPr="00835157">
        <w:rPr>
          <w:sz w:val="22"/>
          <w:szCs w:val="22"/>
        </w:rPr>
        <w:t xml:space="preserve"> </w:t>
      </w:r>
      <w:r w:rsidRPr="00E72270">
        <w:rPr>
          <w:rFonts w:ascii="Times" w:eastAsia="DengXian" w:hAnsi="Times" w:cs="Times New Roman"/>
          <w:sz w:val="22"/>
          <w:szCs w:val="22"/>
        </w:rPr>
        <w:t xml:space="preserve">the </w:t>
      </w:r>
      <w:r w:rsidRPr="00835157">
        <w:rPr>
          <w:rFonts w:ascii="Times" w:eastAsia="DengXian" w:hAnsi="Times" w:cs="Times New Roman"/>
          <w:sz w:val="22"/>
          <w:szCs w:val="22"/>
        </w:rPr>
        <w:t>public saving. Government consumption is set as a fixed share of GDP and characterized by a CES preference function defined over the material-energy composite. The transfer</w:t>
      </w:r>
      <w:r w:rsidRPr="00835157">
        <w:rPr>
          <w:rFonts w:eastAsia="DengXian" w:cs="Times New Roman"/>
          <w:sz w:val="22"/>
          <w:szCs w:val="22"/>
        </w:rPr>
        <w:t xml:space="preserve"> to households is endogenously</w:t>
      </w:r>
      <w:r w:rsidRPr="00835157">
        <w:rPr>
          <w:rFonts w:ascii="Times" w:eastAsia="DengXian" w:hAnsi="Times" w:cs="Times New Roman"/>
          <w:sz w:val="22"/>
          <w:szCs w:val="22"/>
        </w:rPr>
        <w:t xml:space="preserve"> determined by the government’s budget balance requirement.</w:t>
      </w:r>
      <w:r>
        <w:rPr>
          <w:rFonts w:ascii="Times" w:eastAsia="DengXian" w:hAnsi="Times" w:cs="Times New Roman"/>
          <w:sz w:val="22"/>
          <w:szCs w:val="22"/>
        </w:rPr>
        <w:t xml:space="preserve"> </w:t>
      </w:r>
      <w:r w:rsidRPr="00FE24D6">
        <w:rPr>
          <w:rFonts w:ascii="Times" w:eastAsia="DengXian" w:hAnsi="Times" w:cs="Times New Roman"/>
          <w:sz w:val="22"/>
          <w:szCs w:val="22"/>
        </w:rPr>
        <w:t>Public saving is also specified as a fixed share of GDP.</w:t>
      </w:r>
    </w:p>
    <w:p w14:paraId="0E93E124" w14:textId="77777777" w:rsidR="008F30F4" w:rsidRDefault="008F30F4" w:rsidP="008F30F4">
      <w:pPr>
        <w:ind w:firstLine="720"/>
        <w:rPr>
          <w:rFonts w:ascii="Times" w:eastAsia="DengXian" w:hAnsi="Times" w:cs="Times New Roman"/>
          <w:sz w:val="22"/>
        </w:rPr>
      </w:pPr>
      <w:r w:rsidRPr="00835157">
        <w:rPr>
          <w:rFonts w:ascii="Times" w:eastAsia="DengXian" w:hAnsi="Times" w:cs="Times New Roman"/>
          <w:sz w:val="22"/>
          <w:szCs w:val="22"/>
        </w:rPr>
        <w:t xml:space="preserve">The generalizable CES function form in Equation (A1) applies to all nests in the government demand structure. The composite final good is produced at minimum cost. The minimum cost problem has the same form as that of the cost-minimization problem for the outputs of the model’s various sectors. Hence the generalizable form </w:t>
      </w:r>
      <w:r w:rsidRPr="00CC0E4B">
        <w:rPr>
          <w:rFonts w:ascii="Times" w:eastAsia="DengXian" w:hAnsi="Times" w:cs="Times New Roman"/>
          <w:sz w:val="22"/>
          <w:szCs w:val="22"/>
        </w:rPr>
        <w:t xml:space="preserve">in </w:t>
      </w:r>
      <w:r w:rsidRPr="00542EB9">
        <w:rPr>
          <w:rFonts w:ascii="Times" w:eastAsia="DengXian" w:hAnsi="Times" w:cs="Times New Roman"/>
          <w:sz w:val="22"/>
          <w:szCs w:val="22"/>
        </w:rPr>
        <w:t>Equation (A</w:t>
      </w:r>
      <w:r w:rsidRPr="00CC0E4B">
        <w:rPr>
          <w:rFonts w:ascii="Times" w:eastAsia="DengXian" w:hAnsi="Times" w:cs="Times New Roman"/>
          <w:sz w:val="22"/>
          <w:szCs w:val="22"/>
        </w:rPr>
        <w:t>8</w:t>
      </w:r>
      <w:r w:rsidRPr="00542EB9">
        <w:rPr>
          <w:rFonts w:ascii="Times" w:eastAsia="DengXian" w:hAnsi="Times" w:cs="Times New Roman"/>
          <w:sz w:val="22"/>
          <w:szCs w:val="22"/>
        </w:rPr>
        <w:t>)</w:t>
      </w:r>
      <w:r w:rsidRPr="00835157">
        <w:rPr>
          <w:rFonts w:ascii="Times" w:eastAsia="DengXian" w:hAnsi="Times" w:cs="Times New Roman"/>
          <w:sz w:val="22"/>
          <w:szCs w:val="22"/>
        </w:rPr>
        <w:t xml:space="preserve"> applies to the government’s composite good</w:t>
      </w:r>
      <w:r>
        <w:rPr>
          <w:rFonts w:ascii="Times" w:eastAsia="DengXian" w:hAnsi="Times" w:cs="Times New Roman"/>
          <w:sz w:val="22"/>
          <w:szCs w:val="22"/>
        </w:rPr>
        <w:t>.</w:t>
      </w:r>
    </w:p>
    <w:p w14:paraId="5A30D6E7" w14:textId="77777777" w:rsidR="008F30F4" w:rsidRDefault="008F30F4" w:rsidP="008F30F4">
      <w:pPr>
        <w:ind w:firstLine="720"/>
        <w:rPr>
          <w:rFonts w:ascii="Times" w:eastAsia="DengXian" w:hAnsi="Times" w:cs="Times New Roman"/>
          <w:sz w:val="22"/>
        </w:rPr>
      </w:pPr>
    </w:p>
    <w:p w14:paraId="1EB137EF" w14:textId="77777777" w:rsidR="008F30F4" w:rsidRDefault="008F30F4" w:rsidP="008F30F4">
      <w:pPr>
        <w:spacing w:before="0" w:line="240" w:lineRule="auto"/>
        <w:ind w:firstLine="0"/>
        <w:rPr>
          <w:rFonts w:eastAsia="Calibri" w:cs="Times New Roman"/>
          <w:b/>
          <w:sz w:val="32"/>
          <w:szCs w:val="32"/>
          <w:lang w:eastAsia="en-US"/>
        </w:rPr>
      </w:pPr>
      <w:r>
        <w:rPr>
          <w:rFonts w:eastAsia="Calibri" w:cs="Times New Roman"/>
          <w:b/>
          <w:sz w:val="32"/>
          <w:szCs w:val="32"/>
          <w:lang w:eastAsia="en-US"/>
        </w:rPr>
        <w:br w:type="page"/>
      </w:r>
    </w:p>
    <w:p w14:paraId="0FBB8167" w14:textId="77777777" w:rsidR="008F30F4" w:rsidRDefault="008F30F4" w:rsidP="008F30F4">
      <w:pPr>
        <w:pStyle w:val="Heading1"/>
      </w:pPr>
      <w:r w:rsidRPr="00C61CFF">
        <w:lastRenderedPageBreak/>
        <w:t>Appendix B. Data and Method for Subsector Classification and Data Processing</w:t>
      </w:r>
    </w:p>
    <w:p w14:paraId="275FFB06" w14:textId="77777777" w:rsidR="008F30F4" w:rsidRPr="00293AC7" w:rsidRDefault="008F30F4" w:rsidP="008F30F4">
      <w:pPr>
        <w:pStyle w:val="Heading2"/>
        <w:rPr>
          <w:szCs w:val="28"/>
        </w:rPr>
      </w:pPr>
      <w:r w:rsidRPr="00293AC7">
        <w:rPr>
          <w:szCs w:val="28"/>
        </w:rPr>
        <w:t>Subsector Classification</w:t>
      </w:r>
    </w:p>
    <w:p w14:paraId="282DEE45" w14:textId="77777777" w:rsidR="008F30F4" w:rsidRPr="00333C7B" w:rsidRDefault="008F30F4" w:rsidP="008F30F4">
      <w:pPr>
        <w:ind w:firstLineChars="327" w:firstLine="719"/>
        <w:rPr>
          <w:rFonts w:eastAsia="SimSun" w:cs="Times New Roman"/>
          <w:color w:val="000000"/>
          <w:sz w:val="22"/>
          <w:szCs w:val="22"/>
        </w:rPr>
      </w:pPr>
      <w:r w:rsidRPr="00333C7B">
        <w:rPr>
          <w:rFonts w:eastAsia="SimSun" w:cs="Times New Roman" w:hint="eastAsia"/>
          <w:color w:val="000000"/>
          <w:sz w:val="22"/>
          <w:szCs w:val="22"/>
        </w:rPr>
        <w:t>In</w:t>
      </w:r>
      <w:r w:rsidRPr="00333C7B">
        <w:rPr>
          <w:rFonts w:eastAsia="SimSun" w:cs="Times New Roman"/>
          <w:color w:val="000000"/>
          <w:sz w:val="22"/>
          <w:szCs w:val="22"/>
        </w:rPr>
        <w:t xml:space="preserve"> the model, the electricity, cement, aluminum, and iron &amp; steel sectors include subsectors distinguished by technology or emissions</w:t>
      </w:r>
      <w:r>
        <w:rPr>
          <w:rFonts w:eastAsia="SimSun" w:cs="Times New Roman"/>
          <w:color w:val="000000"/>
          <w:sz w:val="22"/>
          <w:szCs w:val="22"/>
        </w:rPr>
        <w:t xml:space="preserve"> </w:t>
      </w:r>
      <w:r w:rsidRPr="00333C7B">
        <w:rPr>
          <w:rFonts w:eastAsia="SimSun" w:cs="Times New Roman"/>
          <w:color w:val="000000"/>
          <w:sz w:val="22"/>
          <w:szCs w:val="22"/>
        </w:rPr>
        <w:t xml:space="preserve">intensity. </w:t>
      </w:r>
    </w:p>
    <w:p w14:paraId="051AA5C9" w14:textId="77777777" w:rsidR="008F30F4" w:rsidRDefault="008F30F4" w:rsidP="008F30F4">
      <w:pPr>
        <w:ind w:firstLine="0"/>
        <w:rPr>
          <w:rFonts w:eastAsia="SimSun" w:cs="Times New Roman"/>
          <w:b/>
          <w:bCs/>
          <w:i/>
          <w:iCs/>
          <w:color w:val="000000"/>
        </w:rPr>
      </w:pPr>
    </w:p>
    <w:p w14:paraId="6A56C5E4" w14:textId="77777777" w:rsidR="008F30F4" w:rsidRPr="00293AC7" w:rsidRDefault="008F30F4" w:rsidP="008F30F4">
      <w:pPr>
        <w:ind w:firstLine="0"/>
        <w:rPr>
          <w:rFonts w:eastAsia="SimSun" w:cs="Times New Roman"/>
          <w:b/>
          <w:bCs/>
          <w:i/>
          <w:iCs/>
          <w:color w:val="000000"/>
        </w:rPr>
      </w:pPr>
      <w:r w:rsidRPr="00293AC7">
        <w:rPr>
          <w:rFonts w:eastAsia="SimSun" w:cs="Times New Roman"/>
          <w:b/>
          <w:bCs/>
          <w:i/>
          <w:iCs/>
          <w:color w:val="000000"/>
        </w:rPr>
        <w:t>Electricity Sector</w:t>
      </w:r>
    </w:p>
    <w:p w14:paraId="1DF2ACAC" w14:textId="77777777" w:rsidR="008F30F4" w:rsidRPr="00333C7B" w:rsidRDefault="008F30F4" w:rsidP="008F30F4">
      <w:pPr>
        <w:ind w:firstLineChars="327" w:firstLine="719"/>
        <w:rPr>
          <w:rFonts w:eastAsia="DengXian" w:cs="Times New Roman"/>
          <w:color w:val="000000"/>
          <w:sz w:val="22"/>
          <w:szCs w:val="20"/>
        </w:rPr>
      </w:pPr>
      <w:r>
        <w:rPr>
          <w:rFonts w:eastAsia="DengXian" w:cs="Times New Roman"/>
          <w:color w:val="000000"/>
          <w:sz w:val="22"/>
          <w:szCs w:val="22"/>
        </w:rPr>
        <w:t>The</w:t>
      </w:r>
      <w:r w:rsidRPr="00333C7B">
        <w:rPr>
          <w:rFonts w:eastAsia="DengXian" w:cs="Times New Roman"/>
          <w:color w:val="000000"/>
          <w:sz w:val="22"/>
          <w:szCs w:val="22"/>
        </w:rPr>
        <w:t xml:space="preserve"> electricity sector</w:t>
      </w:r>
      <w:r>
        <w:rPr>
          <w:rFonts w:eastAsia="DengXian" w:cs="Times New Roman"/>
          <w:color w:val="000000"/>
          <w:sz w:val="22"/>
          <w:szCs w:val="22"/>
        </w:rPr>
        <w:t xml:space="preserve"> embraces </w:t>
      </w:r>
      <w:r w:rsidRPr="00333C7B">
        <w:rPr>
          <w:rFonts w:eastAsia="DengXian" w:cs="Times New Roman"/>
          <w:color w:val="000000"/>
          <w:sz w:val="22"/>
          <w:szCs w:val="22"/>
        </w:rPr>
        <w:t xml:space="preserve">15 subsectors, with each subsector representing a </w:t>
      </w:r>
      <w:r>
        <w:rPr>
          <w:rFonts w:eastAsia="DengXian" w:cs="Times New Roman"/>
          <w:color w:val="000000"/>
          <w:sz w:val="22"/>
          <w:szCs w:val="22"/>
        </w:rPr>
        <w:t xml:space="preserve">different </w:t>
      </w:r>
      <w:r w:rsidRPr="00333C7B">
        <w:rPr>
          <w:rFonts w:eastAsia="DengXian" w:cs="Times New Roman"/>
          <w:color w:val="000000"/>
          <w:sz w:val="22"/>
          <w:szCs w:val="20"/>
        </w:rPr>
        <w:t>electricity generation</w:t>
      </w:r>
      <w:r>
        <w:rPr>
          <w:rFonts w:eastAsia="DengXian" w:cs="Times New Roman"/>
          <w:color w:val="000000"/>
          <w:sz w:val="22"/>
          <w:szCs w:val="20"/>
        </w:rPr>
        <w:t xml:space="preserve"> technology</w:t>
      </w:r>
      <w:r w:rsidRPr="00333C7B">
        <w:rPr>
          <w:rFonts w:eastAsia="DengXian" w:cs="Times New Roman"/>
          <w:color w:val="000000"/>
          <w:sz w:val="22"/>
          <w:szCs w:val="20"/>
        </w:rPr>
        <w:t>. The first 11 technologies differ in terms of fuel input (coal or gas), capacity (300MW, 600MW, etc.), and temperature &amp; pressure (subcritical, supercritical, etc.). The 12th - 15th technologies are low-carbon (wind, solar, hydro, and nuclear)</w:t>
      </w:r>
      <w:r>
        <w:rPr>
          <w:rFonts w:eastAsia="DengXian" w:cs="Times New Roman"/>
          <w:color w:val="000000"/>
          <w:sz w:val="22"/>
          <w:szCs w:val="20"/>
        </w:rPr>
        <w:t xml:space="preserve"> </w:t>
      </w:r>
      <w:r>
        <w:rPr>
          <w:rFonts w:eastAsia="DengXian" w:cs="Times New Roman" w:hint="eastAsia"/>
          <w:color w:val="000000"/>
          <w:sz w:val="22"/>
          <w:szCs w:val="20"/>
        </w:rPr>
        <w:t>electricity</w:t>
      </w:r>
      <w:r w:rsidRPr="00333C7B">
        <w:rPr>
          <w:rFonts w:eastAsia="DengXian" w:cs="Times New Roman"/>
          <w:color w:val="000000"/>
          <w:sz w:val="22"/>
          <w:szCs w:val="20"/>
        </w:rPr>
        <w:t xml:space="preserve"> generation. The differing fuel input intensities imply different emissions intensities. </w:t>
      </w:r>
    </w:p>
    <w:p w14:paraId="01D70B18" w14:textId="77777777" w:rsidR="008F30F4" w:rsidRPr="00333C7B" w:rsidRDefault="008F30F4" w:rsidP="008F30F4">
      <w:pPr>
        <w:ind w:firstLineChars="327" w:firstLine="719"/>
        <w:rPr>
          <w:rFonts w:eastAsia="DengXian" w:cs="Times New Roman"/>
          <w:sz w:val="22"/>
          <w:szCs w:val="20"/>
        </w:rPr>
      </w:pPr>
      <w:r w:rsidRPr="00333C7B">
        <w:rPr>
          <w:rFonts w:eastAsia="DengXian" w:cs="Times New Roman"/>
          <w:sz w:val="22"/>
          <w:szCs w:val="20"/>
        </w:rPr>
        <w:t>In our data, there are 1,929 coal-fired and gas-fired units, generating 23 billion kWh in 2017, covering 49.7% of China’s coal- and gas-fired electricity generation.</w:t>
      </w:r>
      <w:r>
        <w:rPr>
          <w:rStyle w:val="FootnoteReference"/>
          <w:rFonts w:eastAsia="DengXian" w:cs="Times New Roman"/>
          <w:sz w:val="22"/>
          <w:szCs w:val="20"/>
        </w:rPr>
        <w:footnoteReference w:id="1"/>
      </w:r>
      <w:r>
        <w:rPr>
          <w:rFonts w:eastAsia="DengXian" w:cs="Times New Roman"/>
          <w:sz w:val="22"/>
          <w:szCs w:val="20"/>
        </w:rPr>
        <w:t xml:space="preserve"> </w:t>
      </w:r>
    </w:p>
    <w:p w14:paraId="31D14B92" w14:textId="77777777" w:rsidR="008F30F4" w:rsidRDefault="008F30F4" w:rsidP="008F30F4">
      <w:pPr>
        <w:spacing w:before="0" w:line="240" w:lineRule="auto"/>
        <w:ind w:firstLine="0"/>
        <w:rPr>
          <w:rFonts w:eastAsia="DengXian" w:cs="Times New Roman"/>
          <w:color w:val="000000"/>
          <w:sz w:val="22"/>
          <w:szCs w:val="20"/>
        </w:rPr>
      </w:pPr>
      <w:r>
        <w:rPr>
          <w:rFonts w:eastAsia="DengXian" w:cs="Times New Roman"/>
          <w:color w:val="000000"/>
          <w:sz w:val="22"/>
          <w:szCs w:val="20"/>
        </w:rPr>
        <w:br w:type="page"/>
      </w:r>
    </w:p>
    <w:p w14:paraId="454CEE31" w14:textId="77777777" w:rsidR="008F30F4" w:rsidRPr="00333C7B" w:rsidRDefault="008F30F4" w:rsidP="008F30F4">
      <w:pPr>
        <w:ind w:firstLineChars="200" w:firstLine="440"/>
        <w:jc w:val="center"/>
        <w:rPr>
          <w:rFonts w:eastAsia="DengXian" w:cs="Times New Roman"/>
          <w:b/>
          <w:bCs/>
          <w:sz w:val="22"/>
          <w:szCs w:val="20"/>
        </w:rPr>
      </w:pPr>
      <w:r w:rsidRPr="00333C7B">
        <w:rPr>
          <w:rFonts w:eastAsia="DengXian" w:cs="Times New Roman"/>
          <w:b/>
          <w:bCs/>
          <w:sz w:val="22"/>
          <w:szCs w:val="20"/>
        </w:rPr>
        <w:lastRenderedPageBreak/>
        <w:t xml:space="preserve">Table </w:t>
      </w:r>
      <w:r>
        <w:rPr>
          <w:rFonts w:eastAsia="DengXian" w:cs="Times New Roman"/>
          <w:b/>
          <w:bCs/>
          <w:sz w:val="22"/>
          <w:szCs w:val="20"/>
        </w:rPr>
        <w:t>B1</w:t>
      </w:r>
      <w:r w:rsidRPr="00333C7B">
        <w:rPr>
          <w:rFonts w:eastAsia="DengXian" w:cs="Times New Roman"/>
          <w:b/>
          <w:bCs/>
          <w:sz w:val="22"/>
          <w:szCs w:val="20"/>
        </w:rPr>
        <w:t>. Subsectors of the Electricity Sector</w:t>
      </w:r>
    </w:p>
    <w:tbl>
      <w:tblPr>
        <w:tblW w:w="8469" w:type="dxa"/>
        <w:tblBorders>
          <w:top w:val="single" w:sz="8" w:space="0" w:color="auto"/>
          <w:bottom w:val="single" w:sz="8" w:space="0" w:color="auto"/>
        </w:tblBorders>
        <w:tblLook w:val="04A0" w:firstRow="1" w:lastRow="0" w:firstColumn="1" w:lastColumn="0" w:noHBand="0" w:noVBand="1"/>
      </w:tblPr>
      <w:tblGrid>
        <w:gridCol w:w="3095"/>
        <w:gridCol w:w="5374"/>
      </w:tblGrid>
      <w:tr w:rsidR="008F30F4" w:rsidRPr="00F964C9" w14:paraId="104901CD" w14:textId="77777777" w:rsidTr="001F21E7">
        <w:trPr>
          <w:trHeight w:val="301"/>
        </w:trPr>
        <w:tc>
          <w:tcPr>
            <w:tcW w:w="3095" w:type="dxa"/>
            <w:tcBorders>
              <w:top w:val="single" w:sz="4" w:space="0" w:color="auto"/>
              <w:bottom w:val="single" w:sz="4" w:space="0" w:color="auto"/>
            </w:tcBorders>
            <w:shd w:val="clear" w:color="auto" w:fill="auto"/>
            <w:noWrap/>
            <w:vAlign w:val="center"/>
            <w:hideMark/>
          </w:tcPr>
          <w:p w14:paraId="335AA997" w14:textId="77777777" w:rsidR="008F30F4" w:rsidRPr="00F964C9" w:rsidRDefault="008F30F4" w:rsidP="001F21E7">
            <w:pPr>
              <w:spacing w:before="0" w:after="120" w:line="240" w:lineRule="auto"/>
              <w:ind w:firstLine="0"/>
              <w:contextualSpacing/>
              <w:jc w:val="center"/>
              <w:rPr>
                <w:rFonts w:eastAsia="Times New Roman" w:cs="Times New Roman"/>
                <w:color w:val="000000"/>
                <w:sz w:val="22"/>
              </w:rPr>
            </w:pPr>
            <w:r w:rsidRPr="00F964C9">
              <w:rPr>
                <w:rFonts w:eastAsia="Times New Roman" w:cs="Times New Roman"/>
                <w:color w:val="000000"/>
                <w:sz w:val="22"/>
              </w:rPr>
              <w:t>Technology Category</w:t>
            </w:r>
          </w:p>
        </w:tc>
        <w:tc>
          <w:tcPr>
            <w:tcW w:w="5374" w:type="dxa"/>
            <w:tcBorders>
              <w:top w:val="single" w:sz="4" w:space="0" w:color="auto"/>
              <w:bottom w:val="single" w:sz="4" w:space="0" w:color="auto"/>
            </w:tcBorders>
            <w:shd w:val="clear" w:color="auto" w:fill="auto"/>
            <w:noWrap/>
            <w:vAlign w:val="center"/>
            <w:hideMark/>
          </w:tcPr>
          <w:p w14:paraId="3828CCE3" w14:textId="77777777" w:rsidR="008F30F4" w:rsidRPr="00F964C9" w:rsidRDefault="008F30F4" w:rsidP="001F21E7">
            <w:pPr>
              <w:spacing w:before="0" w:after="120" w:line="240" w:lineRule="auto"/>
              <w:ind w:firstLine="0"/>
              <w:contextualSpacing/>
              <w:jc w:val="center"/>
              <w:rPr>
                <w:rFonts w:eastAsia="Times New Roman" w:cs="Times New Roman"/>
                <w:color w:val="000000"/>
                <w:sz w:val="22"/>
              </w:rPr>
            </w:pPr>
            <w:r w:rsidRPr="00F964C9">
              <w:rPr>
                <w:rFonts w:eastAsia="Times New Roman" w:cs="Times New Roman"/>
                <w:color w:val="000000"/>
                <w:sz w:val="22"/>
              </w:rPr>
              <w:t>Subsector</w:t>
            </w:r>
          </w:p>
        </w:tc>
      </w:tr>
      <w:tr w:rsidR="008F30F4" w:rsidRPr="00F964C9" w14:paraId="6B406366" w14:textId="77777777" w:rsidTr="001F21E7">
        <w:trPr>
          <w:trHeight w:val="374"/>
        </w:trPr>
        <w:tc>
          <w:tcPr>
            <w:tcW w:w="3095" w:type="dxa"/>
            <w:vMerge w:val="restart"/>
            <w:tcBorders>
              <w:top w:val="single" w:sz="4" w:space="0" w:color="auto"/>
              <w:bottom w:val="nil"/>
            </w:tcBorders>
            <w:vAlign w:val="center"/>
            <w:hideMark/>
          </w:tcPr>
          <w:p w14:paraId="5BD6C713" w14:textId="77777777" w:rsidR="008F30F4" w:rsidRPr="00F964C9" w:rsidRDefault="008F30F4" w:rsidP="001F21E7">
            <w:pPr>
              <w:spacing w:before="0" w:after="120" w:line="240" w:lineRule="auto"/>
              <w:ind w:left="220" w:hangingChars="100" w:hanging="220"/>
              <w:contextualSpacing/>
              <w:rPr>
                <w:rFonts w:eastAsia="Times New Roman" w:cs="Times New Roman"/>
                <w:color w:val="000000"/>
                <w:sz w:val="22"/>
              </w:rPr>
            </w:pPr>
            <w:r w:rsidRPr="00F964C9">
              <w:rPr>
                <w:rFonts w:eastAsia="Times New Roman" w:cs="Times New Roman"/>
                <w:color w:val="000000"/>
                <w:sz w:val="22"/>
              </w:rPr>
              <w:t>Coal-fired (other than circulating fluidized bed)</w:t>
            </w:r>
          </w:p>
        </w:tc>
        <w:tc>
          <w:tcPr>
            <w:tcW w:w="5374" w:type="dxa"/>
            <w:tcBorders>
              <w:top w:val="single" w:sz="4" w:space="0" w:color="auto"/>
              <w:bottom w:val="nil"/>
            </w:tcBorders>
            <w:shd w:val="clear" w:color="auto" w:fill="auto"/>
            <w:noWrap/>
            <w:vAlign w:val="center"/>
            <w:hideMark/>
          </w:tcPr>
          <w:p w14:paraId="59A0072E" w14:textId="77777777" w:rsidR="008F30F4" w:rsidRPr="00F964C9" w:rsidRDefault="008F30F4" w:rsidP="001F21E7">
            <w:pPr>
              <w:spacing w:before="0" w:after="120" w:line="240" w:lineRule="auto"/>
              <w:ind w:firstLine="0"/>
              <w:contextualSpacing/>
              <w:rPr>
                <w:rFonts w:cs="Times New Roman"/>
                <w:color w:val="000000"/>
                <w:sz w:val="20"/>
                <w:szCs w:val="20"/>
              </w:rPr>
            </w:pPr>
            <w:r w:rsidRPr="00F964C9">
              <w:rPr>
                <w:rFonts w:cs="Times New Roman" w:hint="eastAsia"/>
                <w:color w:val="000000"/>
                <w:sz w:val="20"/>
                <w:szCs w:val="20"/>
              </w:rPr>
              <w:t>L</w:t>
            </w:r>
            <w:r w:rsidRPr="00F964C9">
              <w:rPr>
                <w:rFonts w:cs="Times New Roman"/>
                <w:color w:val="000000"/>
                <w:sz w:val="20"/>
                <w:szCs w:val="20"/>
              </w:rPr>
              <w:t>USC</w:t>
            </w:r>
            <w:r w:rsidRPr="00F964C9">
              <w:rPr>
                <w:rFonts w:eastAsia="Times New Roman" w:cs="Times New Roman"/>
                <w:color w:val="000000"/>
                <w:sz w:val="20"/>
                <w:szCs w:val="20"/>
              </w:rPr>
              <w:t xml:space="preserve"> - </w:t>
            </w:r>
            <w:r w:rsidRPr="00F964C9">
              <w:rPr>
                <w:rFonts w:cs="Times New Roman"/>
                <w:color w:val="000000"/>
                <w:sz w:val="20"/>
                <w:szCs w:val="20"/>
              </w:rPr>
              <w:t>1000MW Ultra-supercritical</w:t>
            </w:r>
          </w:p>
        </w:tc>
      </w:tr>
      <w:tr w:rsidR="008F30F4" w:rsidRPr="00F964C9" w14:paraId="54F6C92E" w14:textId="77777777" w:rsidTr="001F21E7">
        <w:trPr>
          <w:trHeight w:val="374"/>
        </w:trPr>
        <w:tc>
          <w:tcPr>
            <w:tcW w:w="3095" w:type="dxa"/>
            <w:vMerge/>
            <w:tcBorders>
              <w:top w:val="nil"/>
              <w:bottom w:val="nil"/>
            </w:tcBorders>
            <w:vAlign w:val="center"/>
          </w:tcPr>
          <w:p w14:paraId="20322B48"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tcPr>
          <w:p w14:paraId="3FB319EF"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SUSC - 600MW Ultra-supercritical</w:t>
            </w:r>
          </w:p>
        </w:tc>
      </w:tr>
      <w:tr w:rsidR="008F30F4" w:rsidRPr="00F964C9" w14:paraId="58B593AC" w14:textId="77777777" w:rsidTr="001F21E7">
        <w:trPr>
          <w:trHeight w:val="374"/>
        </w:trPr>
        <w:tc>
          <w:tcPr>
            <w:tcW w:w="3095" w:type="dxa"/>
            <w:vMerge/>
            <w:tcBorders>
              <w:top w:val="nil"/>
              <w:bottom w:val="nil"/>
            </w:tcBorders>
            <w:vAlign w:val="center"/>
            <w:hideMark/>
          </w:tcPr>
          <w:p w14:paraId="1A90BE02"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hideMark/>
          </w:tcPr>
          <w:p w14:paraId="3DD61377"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LSC - 600MW Supercritical</w:t>
            </w:r>
          </w:p>
        </w:tc>
      </w:tr>
      <w:tr w:rsidR="008F30F4" w:rsidRPr="00F964C9" w14:paraId="0E433377" w14:textId="77777777" w:rsidTr="001F21E7">
        <w:trPr>
          <w:trHeight w:val="374"/>
        </w:trPr>
        <w:tc>
          <w:tcPr>
            <w:tcW w:w="3095" w:type="dxa"/>
            <w:vMerge/>
            <w:tcBorders>
              <w:top w:val="nil"/>
              <w:bottom w:val="nil"/>
            </w:tcBorders>
            <w:vAlign w:val="center"/>
            <w:hideMark/>
          </w:tcPr>
          <w:p w14:paraId="48EF0659"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hideMark/>
          </w:tcPr>
          <w:p w14:paraId="14D36E82"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SSC - 300MW Supercritical</w:t>
            </w:r>
          </w:p>
        </w:tc>
      </w:tr>
      <w:tr w:rsidR="008F30F4" w:rsidRPr="00F964C9" w14:paraId="4C3F4B0F" w14:textId="77777777" w:rsidTr="001F21E7">
        <w:trPr>
          <w:trHeight w:val="374"/>
        </w:trPr>
        <w:tc>
          <w:tcPr>
            <w:tcW w:w="3095" w:type="dxa"/>
            <w:vMerge/>
            <w:tcBorders>
              <w:top w:val="nil"/>
              <w:bottom w:val="nil"/>
            </w:tcBorders>
            <w:vAlign w:val="center"/>
            <w:hideMark/>
          </w:tcPr>
          <w:p w14:paraId="431A2596"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hideMark/>
          </w:tcPr>
          <w:p w14:paraId="5D20BEA9"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LSUB - 600MW Subcritical</w:t>
            </w:r>
          </w:p>
        </w:tc>
      </w:tr>
      <w:tr w:rsidR="008F30F4" w:rsidRPr="00F964C9" w14:paraId="56AFBC40" w14:textId="77777777" w:rsidTr="001F21E7">
        <w:trPr>
          <w:trHeight w:val="374"/>
        </w:trPr>
        <w:tc>
          <w:tcPr>
            <w:tcW w:w="3095" w:type="dxa"/>
            <w:vMerge/>
            <w:tcBorders>
              <w:top w:val="nil"/>
              <w:bottom w:val="nil"/>
            </w:tcBorders>
            <w:vAlign w:val="center"/>
          </w:tcPr>
          <w:p w14:paraId="332F6D58"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tcPr>
          <w:p w14:paraId="3D829C37" w14:textId="77777777" w:rsidR="008F30F4" w:rsidRPr="00F964C9" w:rsidRDefault="008F30F4" w:rsidP="001F21E7">
            <w:pPr>
              <w:spacing w:before="0" w:after="120" w:line="240" w:lineRule="auto"/>
              <w:ind w:firstLine="0"/>
              <w:contextualSpacing/>
              <w:rPr>
                <w:rFonts w:cs="Times New Roman"/>
                <w:color w:val="000000"/>
                <w:sz w:val="20"/>
                <w:szCs w:val="20"/>
              </w:rPr>
            </w:pPr>
            <w:r w:rsidRPr="00F964C9">
              <w:rPr>
                <w:rFonts w:eastAsia="Times New Roman" w:cs="Times New Roman"/>
                <w:color w:val="000000"/>
                <w:sz w:val="20"/>
                <w:szCs w:val="20"/>
              </w:rPr>
              <w:t>SSUB - 300MW Subcritical</w:t>
            </w:r>
          </w:p>
        </w:tc>
      </w:tr>
      <w:tr w:rsidR="008F30F4" w:rsidRPr="00F964C9" w14:paraId="49927A39" w14:textId="77777777" w:rsidTr="001F21E7">
        <w:trPr>
          <w:trHeight w:val="374"/>
        </w:trPr>
        <w:tc>
          <w:tcPr>
            <w:tcW w:w="3095" w:type="dxa"/>
            <w:vMerge/>
            <w:tcBorders>
              <w:top w:val="nil"/>
              <w:bottom w:val="nil"/>
            </w:tcBorders>
            <w:vAlign w:val="center"/>
            <w:hideMark/>
          </w:tcPr>
          <w:p w14:paraId="2ED5CE06"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hideMark/>
          </w:tcPr>
          <w:p w14:paraId="5B4D8FCC" w14:textId="77777777" w:rsidR="008F30F4" w:rsidRPr="00F964C9" w:rsidRDefault="008F30F4" w:rsidP="001F21E7">
            <w:pPr>
              <w:spacing w:before="0" w:after="120" w:line="240" w:lineRule="auto"/>
              <w:ind w:firstLine="0"/>
              <w:contextualSpacing/>
              <w:rPr>
                <w:rFonts w:cs="Times New Roman"/>
                <w:color w:val="000000"/>
                <w:sz w:val="20"/>
                <w:szCs w:val="20"/>
              </w:rPr>
            </w:pPr>
            <w:r w:rsidRPr="00F964C9">
              <w:rPr>
                <w:rFonts w:cs="Times New Roman" w:hint="eastAsia"/>
                <w:color w:val="000000"/>
                <w:sz w:val="20"/>
                <w:szCs w:val="20"/>
              </w:rPr>
              <w:t>O</w:t>
            </w:r>
            <w:r w:rsidRPr="00F964C9">
              <w:rPr>
                <w:rFonts w:cs="Times New Roman"/>
                <w:color w:val="000000"/>
                <w:sz w:val="20"/>
                <w:szCs w:val="20"/>
              </w:rPr>
              <w:t xml:space="preserve">THC </w:t>
            </w:r>
            <w:r w:rsidRPr="00F964C9">
              <w:rPr>
                <w:rFonts w:eastAsia="Times New Roman" w:cs="Times New Roman"/>
                <w:color w:val="000000"/>
                <w:sz w:val="20"/>
                <w:szCs w:val="20"/>
              </w:rPr>
              <w:t>-</w:t>
            </w:r>
            <w:r w:rsidRPr="00F964C9">
              <w:rPr>
                <w:rFonts w:cs="Times New Roman"/>
                <w:color w:val="000000"/>
                <w:sz w:val="20"/>
                <w:szCs w:val="20"/>
              </w:rPr>
              <w:t xml:space="preserve"> Install capacity less than 300MW</w:t>
            </w:r>
          </w:p>
        </w:tc>
      </w:tr>
      <w:tr w:rsidR="008F30F4" w:rsidRPr="00F964C9" w14:paraId="7701F826" w14:textId="77777777" w:rsidTr="001F21E7">
        <w:trPr>
          <w:trHeight w:val="673"/>
        </w:trPr>
        <w:tc>
          <w:tcPr>
            <w:tcW w:w="3095" w:type="dxa"/>
            <w:tcBorders>
              <w:top w:val="nil"/>
              <w:bottom w:val="nil"/>
            </w:tcBorders>
            <w:shd w:val="clear" w:color="auto" w:fill="auto"/>
            <w:vAlign w:val="center"/>
          </w:tcPr>
          <w:p w14:paraId="1367B2E1" w14:textId="77777777" w:rsidR="008F30F4" w:rsidRPr="00F964C9" w:rsidRDefault="008F30F4" w:rsidP="001F21E7">
            <w:pPr>
              <w:spacing w:before="0" w:after="120" w:line="240" w:lineRule="auto"/>
              <w:ind w:firstLine="0"/>
              <w:contextualSpacing/>
              <w:rPr>
                <w:rFonts w:eastAsia="Times New Roman" w:cs="Times New Roman"/>
                <w:color w:val="000000"/>
                <w:sz w:val="22"/>
              </w:rPr>
            </w:pPr>
          </w:p>
        </w:tc>
        <w:tc>
          <w:tcPr>
            <w:tcW w:w="5374" w:type="dxa"/>
            <w:tcBorders>
              <w:top w:val="nil"/>
              <w:bottom w:val="nil"/>
            </w:tcBorders>
            <w:shd w:val="clear" w:color="auto" w:fill="auto"/>
            <w:noWrap/>
            <w:vAlign w:val="center"/>
          </w:tcPr>
          <w:p w14:paraId="0C4610DF"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p>
        </w:tc>
      </w:tr>
      <w:tr w:rsidR="008F30F4" w:rsidRPr="00F964C9" w14:paraId="4206D612" w14:textId="77777777" w:rsidTr="001F21E7">
        <w:trPr>
          <w:trHeight w:val="673"/>
        </w:trPr>
        <w:tc>
          <w:tcPr>
            <w:tcW w:w="3095" w:type="dxa"/>
            <w:vMerge w:val="restart"/>
            <w:tcBorders>
              <w:top w:val="nil"/>
              <w:bottom w:val="nil"/>
            </w:tcBorders>
            <w:shd w:val="clear" w:color="auto" w:fill="auto"/>
            <w:vAlign w:val="center"/>
            <w:hideMark/>
          </w:tcPr>
          <w:p w14:paraId="2199D267" w14:textId="77777777" w:rsidR="008F30F4" w:rsidRPr="00F964C9" w:rsidRDefault="008F30F4" w:rsidP="001F21E7">
            <w:pPr>
              <w:spacing w:before="0" w:after="120" w:line="240" w:lineRule="auto"/>
              <w:ind w:firstLine="0"/>
              <w:contextualSpacing/>
              <w:rPr>
                <w:rFonts w:eastAsia="Times New Roman" w:cs="Times New Roman"/>
                <w:color w:val="000000"/>
                <w:sz w:val="22"/>
              </w:rPr>
            </w:pPr>
            <w:r w:rsidRPr="00F964C9">
              <w:rPr>
                <w:rFonts w:eastAsia="Times New Roman" w:cs="Times New Roman"/>
                <w:color w:val="000000"/>
                <w:sz w:val="22"/>
              </w:rPr>
              <w:t>Circulating Fluidized Bed</w:t>
            </w:r>
          </w:p>
        </w:tc>
        <w:tc>
          <w:tcPr>
            <w:tcW w:w="5374" w:type="dxa"/>
            <w:tcBorders>
              <w:top w:val="nil"/>
              <w:bottom w:val="nil"/>
            </w:tcBorders>
            <w:shd w:val="clear" w:color="auto" w:fill="auto"/>
            <w:noWrap/>
            <w:vAlign w:val="center"/>
            <w:hideMark/>
          </w:tcPr>
          <w:p w14:paraId="252971FE"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LCFB - Circulating Fluidized Bed Units (with installed capacity greater than or equal to 300MW)</w:t>
            </w:r>
          </w:p>
        </w:tc>
      </w:tr>
      <w:tr w:rsidR="008F30F4" w:rsidRPr="00F964C9" w14:paraId="147DB6A6" w14:textId="77777777" w:rsidTr="001F21E7">
        <w:trPr>
          <w:trHeight w:val="549"/>
        </w:trPr>
        <w:tc>
          <w:tcPr>
            <w:tcW w:w="3095" w:type="dxa"/>
            <w:vMerge/>
            <w:tcBorders>
              <w:top w:val="nil"/>
              <w:bottom w:val="nil"/>
            </w:tcBorders>
            <w:vAlign w:val="center"/>
            <w:hideMark/>
          </w:tcPr>
          <w:p w14:paraId="1B4F3E3E"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hideMark/>
          </w:tcPr>
          <w:p w14:paraId="4A1391DC" w14:textId="77777777" w:rsidR="008F30F4" w:rsidRPr="00F964C9" w:rsidRDefault="008F30F4" w:rsidP="001F21E7">
            <w:pPr>
              <w:spacing w:before="0" w:after="120" w:line="240" w:lineRule="auto"/>
              <w:contextualSpacing/>
              <w:rPr>
                <w:rFonts w:eastAsia="Times New Roman" w:cs="Times New Roman"/>
                <w:color w:val="000000"/>
                <w:sz w:val="2"/>
                <w:szCs w:val="2"/>
              </w:rPr>
            </w:pPr>
          </w:p>
          <w:p w14:paraId="6BCF8DBF" w14:textId="77777777" w:rsidR="008F30F4" w:rsidRPr="00F964C9" w:rsidRDefault="008F30F4" w:rsidP="001F21E7">
            <w:pPr>
              <w:spacing w:before="0" w:after="120" w:line="240" w:lineRule="auto"/>
              <w:ind w:firstLine="0"/>
              <w:contextualSpacing/>
              <w:rPr>
                <w:rFonts w:cs="Times New Roman"/>
                <w:color w:val="000000"/>
                <w:sz w:val="20"/>
                <w:szCs w:val="20"/>
              </w:rPr>
            </w:pPr>
            <w:r w:rsidRPr="00F964C9">
              <w:rPr>
                <w:rFonts w:eastAsia="Times New Roman" w:cs="Times New Roman"/>
                <w:color w:val="000000"/>
                <w:sz w:val="20"/>
                <w:szCs w:val="20"/>
              </w:rPr>
              <w:t>SCFB - Circulating Fluidized Bed Units (with installed capacity less than 300MW)</w:t>
            </w:r>
          </w:p>
        </w:tc>
      </w:tr>
      <w:tr w:rsidR="008F30F4" w:rsidRPr="00F964C9" w14:paraId="2CD0567B" w14:textId="77777777" w:rsidTr="001F21E7">
        <w:trPr>
          <w:trHeight w:val="374"/>
        </w:trPr>
        <w:tc>
          <w:tcPr>
            <w:tcW w:w="3095" w:type="dxa"/>
            <w:tcBorders>
              <w:top w:val="nil"/>
              <w:bottom w:val="nil"/>
            </w:tcBorders>
            <w:shd w:val="clear" w:color="auto" w:fill="auto"/>
            <w:noWrap/>
            <w:vAlign w:val="center"/>
          </w:tcPr>
          <w:p w14:paraId="35D4C543" w14:textId="77777777" w:rsidR="008F30F4" w:rsidRPr="00F964C9" w:rsidRDefault="008F30F4" w:rsidP="001F21E7">
            <w:pPr>
              <w:spacing w:before="0" w:after="120" w:line="240" w:lineRule="auto"/>
              <w:ind w:firstLine="0"/>
              <w:contextualSpacing/>
              <w:rPr>
                <w:rFonts w:eastAsia="Times New Roman" w:cs="Times New Roman"/>
                <w:color w:val="000000"/>
                <w:sz w:val="22"/>
              </w:rPr>
            </w:pPr>
          </w:p>
        </w:tc>
        <w:tc>
          <w:tcPr>
            <w:tcW w:w="5374" w:type="dxa"/>
            <w:tcBorders>
              <w:top w:val="nil"/>
              <w:bottom w:val="nil"/>
            </w:tcBorders>
            <w:shd w:val="clear" w:color="auto" w:fill="auto"/>
            <w:noWrap/>
            <w:vAlign w:val="center"/>
          </w:tcPr>
          <w:p w14:paraId="3EA075B4"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p>
        </w:tc>
      </w:tr>
      <w:tr w:rsidR="008F30F4" w:rsidRPr="00F964C9" w14:paraId="0B9F5ED7" w14:textId="77777777" w:rsidTr="001F21E7">
        <w:trPr>
          <w:trHeight w:val="374"/>
        </w:trPr>
        <w:tc>
          <w:tcPr>
            <w:tcW w:w="3095" w:type="dxa"/>
            <w:vMerge w:val="restart"/>
            <w:tcBorders>
              <w:top w:val="nil"/>
              <w:bottom w:val="nil"/>
            </w:tcBorders>
            <w:shd w:val="clear" w:color="auto" w:fill="auto"/>
            <w:noWrap/>
            <w:vAlign w:val="center"/>
            <w:hideMark/>
          </w:tcPr>
          <w:p w14:paraId="4F92693A" w14:textId="77777777" w:rsidR="008F30F4" w:rsidRPr="00F964C9" w:rsidRDefault="008F30F4" w:rsidP="001F21E7">
            <w:pPr>
              <w:spacing w:before="0" w:after="120" w:line="240" w:lineRule="auto"/>
              <w:ind w:firstLine="0"/>
              <w:contextualSpacing/>
              <w:rPr>
                <w:rFonts w:eastAsia="Times New Roman" w:cs="Times New Roman"/>
                <w:color w:val="000000"/>
                <w:sz w:val="22"/>
              </w:rPr>
            </w:pPr>
            <w:r w:rsidRPr="00F964C9">
              <w:rPr>
                <w:rFonts w:eastAsia="Times New Roman" w:cs="Times New Roman"/>
                <w:color w:val="000000"/>
                <w:sz w:val="22"/>
              </w:rPr>
              <w:t>Gas-fired</w:t>
            </w:r>
          </w:p>
        </w:tc>
        <w:tc>
          <w:tcPr>
            <w:tcW w:w="5374" w:type="dxa"/>
            <w:tcBorders>
              <w:top w:val="nil"/>
              <w:bottom w:val="nil"/>
            </w:tcBorders>
            <w:shd w:val="clear" w:color="auto" w:fill="auto"/>
            <w:noWrap/>
            <w:vAlign w:val="center"/>
            <w:hideMark/>
          </w:tcPr>
          <w:p w14:paraId="3EDBA6EB"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HPG - F-class</w:t>
            </w:r>
          </w:p>
        </w:tc>
      </w:tr>
      <w:tr w:rsidR="008F30F4" w:rsidRPr="00F964C9" w14:paraId="03B0B6A5" w14:textId="77777777" w:rsidTr="001F21E7">
        <w:trPr>
          <w:trHeight w:val="374"/>
        </w:trPr>
        <w:tc>
          <w:tcPr>
            <w:tcW w:w="3095" w:type="dxa"/>
            <w:vMerge/>
            <w:tcBorders>
              <w:top w:val="nil"/>
              <w:bottom w:val="nil"/>
            </w:tcBorders>
            <w:vAlign w:val="center"/>
            <w:hideMark/>
          </w:tcPr>
          <w:p w14:paraId="7C060CEF"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hideMark/>
          </w:tcPr>
          <w:p w14:paraId="0F2B1AD2" w14:textId="77777777" w:rsidR="008F30F4" w:rsidRPr="00F964C9" w:rsidRDefault="008F30F4" w:rsidP="001F21E7">
            <w:pPr>
              <w:spacing w:before="0" w:after="120" w:line="240" w:lineRule="auto"/>
              <w:ind w:firstLine="0"/>
              <w:contextualSpacing/>
              <w:rPr>
                <w:rFonts w:cs="Times New Roman"/>
                <w:color w:val="000000"/>
                <w:sz w:val="20"/>
                <w:szCs w:val="20"/>
              </w:rPr>
            </w:pPr>
            <w:r w:rsidRPr="00F964C9">
              <w:rPr>
                <w:rFonts w:eastAsia="Times New Roman" w:cs="Times New Roman"/>
                <w:color w:val="000000"/>
                <w:sz w:val="20"/>
                <w:szCs w:val="20"/>
              </w:rPr>
              <w:t>LPG - Pressure lower than F-class</w:t>
            </w:r>
          </w:p>
        </w:tc>
      </w:tr>
      <w:tr w:rsidR="008F30F4" w:rsidRPr="00F964C9" w14:paraId="636573BF" w14:textId="77777777" w:rsidTr="001F21E7">
        <w:trPr>
          <w:trHeight w:val="374"/>
        </w:trPr>
        <w:tc>
          <w:tcPr>
            <w:tcW w:w="3095" w:type="dxa"/>
            <w:tcBorders>
              <w:top w:val="nil"/>
              <w:bottom w:val="nil"/>
            </w:tcBorders>
            <w:shd w:val="clear" w:color="auto" w:fill="auto"/>
            <w:noWrap/>
            <w:vAlign w:val="center"/>
          </w:tcPr>
          <w:p w14:paraId="2D5B8EF1" w14:textId="77777777" w:rsidR="008F30F4" w:rsidRPr="00F964C9" w:rsidRDefault="008F30F4" w:rsidP="001F21E7">
            <w:pPr>
              <w:spacing w:before="0" w:after="120" w:line="240" w:lineRule="auto"/>
              <w:ind w:firstLine="0"/>
              <w:contextualSpacing/>
              <w:rPr>
                <w:rFonts w:eastAsia="Times New Roman" w:cs="Times New Roman"/>
                <w:color w:val="000000"/>
                <w:sz w:val="22"/>
              </w:rPr>
            </w:pPr>
          </w:p>
        </w:tc>
        <w:tc>
          <w:tcPr>
            <w:tcW w:w="5374" w:type="dxa"/>
            <w:tcBorders>
              <w:top w:val="nil"/>
              <w:bottom w:val="nil"/>
            </w:tcBorders>
            <w:shd w:val="clear" w:color="auto" w:fill="auto"/>
            <w:noWrap/>
            <w:vAlign w:val="center"/>
          </w:tcPr>
          <w:p w14:paraId="2C877377"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p>
        </w:tc>
      </w:tr>
      <w:tr w:rsidR="008F30F4" w:rsidRPr="00F964C9" w14:paraId="4DFEE3AA" w14:textId="77777777" w:rsidTr="001F21E7">
        <w:trPr>
          <w:trHeight w:val="374"/>
        </w:trPr>
        <w:tc>
          <w:tcPr>
            <w:tcW w:w="3095" w:type="dxa"/>
            <w:vMerge w:val="restart"/>
            <w:tcBorders>
              <w:top w:val="nil"/>
              <w:bottom w:val="nil"/>
            </w:tcBorders>
            <w:shd w:val="clear" w:color="auto" w:fill="auto"/>
            <w:noWrap/>
            <w:vAlign w:val="center"/>
            <w:hideMark/>
          </w:tcPr>
          <w:p w14:paraId="46164638" w14:textId="77777777" w:rsidR="008F30F4" w:rsidRPr="00F964C9" w:rsidRDefault="008F30F4" w:rsidP="001F21E7">
            <w:pPr>
              <w:spacing w:before="0" w:after="120" w:line="240" w:lineRule="auto"/>
              <w:ind w:firstLine="0"/>
              <w:contextualSpacing/>
              <w:rPr>
                <w:rFonts w:eastAsia="Times New Roman" w:cs="Times New Roman"/>
                <w:color w:val="000000"/>
                <w:sz w:val="22"/>
              </w:rPr>
            </w:pPr>
            <w:r w:rsidRPr="00F964C9">
              <w:rPr>
                <w:rFonts w:eastAsia="Times New Roman" w:cs="Times New Roman"/>
                <w:color w:val="000000"/>
                <w:sz w:val="22"/>
              </w:rPr>
              <w:t>Other</w:t>
            </w:r>
          </w:p>
        </w:tc>
        <w:tc>
          <w:tcPr>
            <w:tcW w:w="5374" w:type="dxa"/>
            <w:tcBorders>
              <w:top w:val="nil"/>
              <w:bottom w:val="nil"/>
            </w:tcBorders>
            <w:shd w:val="clear" w:color="auto" w:fill="auto"/>
            <w:noWrap/>
            <w:vAlign w:val="center"/>
            <w:hideMark/>
          </w:tcPr>
          <w:p w14:paraId="5F90B865"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Wind power</w:t>
            </w:r>
          </w:p>
        </w:tc>
      </w:tr>
      <w:tr w:rsidR="008F30F4" w:rsidRPr="00F964C9" w14:paraId="1880EB38" w14:textId="77777777" w:rsidTr="001F21E7">
        <w:trPr>
          <w:trHeight w:val="374"/>
        </w:trPr>
        <w:tc>
          <w:tcPr>
            <w:tcW w:w="3095" w:type="dxa"/>
            <w:vMerge/>
            <w:tcBorders>
              <w:top w:val="nil"/>
              <w:bottom w:val="nil"/>
            </w:tcBorders>
            <w:vAlign w:val="center"/>
            <w:hideMark/>
          </w:tcPr>
          <w:p w14:paraId="4670DCF4"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hideMark/>
          </w:tcPr>
          <w:p w14:paraId="72D96191"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Solar power</w:t>
            </w:r>
          </w:p>
        </w:tc>
      </w:tr>
      <w:tr w:rsidR="008F30F4" w:rsidRPr="00F964C9" w14:paraId="1BF8BC83" w14:textId="77777777" w:rsidTr="001F21E7">
        <w:trPr>
          <w:trHeight w:val="374"/>
        </w:trPr>
        <w:tc>
          <w:tcPr>
            <w:tcW w:w="3095" w:type="dxa"/>
            <w:vMerge/>
            <w:tcBorders>
              <w:top w:val="nil"/>
              <w:bottom w:val="nil"/>
            </w:tcBorders>
            <w:vAlign w:val="center"/>
            <w:hideMark/>
          </w:tcPr>
          <w:p w14:paraId="24CC7A6B"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nil"/>
            </w:tcBorders>
            <w:shd w:val="clear" w:color="auto" w:fill="auto"/>
            <w:noWrap/>
            <w:vAlign w:val="center"/>
            <w:hideMark/>
          </w:tcPr>
          <w:p w14:paraId="538121C1" w14:textId="77777777" w:rsidR="008F30F4" w:rsidRPr="00F964C9" w:rsidRDefault="008F30F4" w:rsidP="001F21E7">
            <w:pPr>
              <w:spacing w:before="0" w:after="120" w:line="240" w:lineRule="auto"/>
              <w:ind w:firstLine="0"/>
              <w:contextualSpacing/>
              <w:rPr>
                <w:rFonts w:eastAsia="Times New Roman" w:cs="Times New Roman"/>
                <w:color w:val="000000"/>
                <w:sz w:val="20"/>
                <w:szCs w:val="20"/>
              </w:rPr>
            </w:pPr>
            <w:r w:rsidRPr="00F964C9">
              <w:rPr>
                <w:rFonts w:eastAsia="Times New Roman" w:cs="Times New Roman"/>
                <w:color w:val="000000"/>
                <w:sz w:val="20"/>
                <w:szCs w:val="20"/>
              </w:rPr>
              <w:t>Hydropower</w:t>
            </w:r>
          </w:p>
        </w:tc>
      </w:tr>
      <w:tr w:rsidR="008F30F4" w:rsidRPr="00F964C9" w14:paraId="3DD0B8EE" w14:textId="77777777" w:rsidTr="001F21E7">
        <w:trPr>
          <w:trHeight w:val="374"/>
        </w:trPr>
        <w:tc>
          <w:tcPr>
            <w:tcW w:w="3095" w:type="dxa"/>
            <w:vMerge/>
            <w:tcBorders>
              <w:top w:val="nil"/>
              <w:bottom w:val="single" w:sz="4" w:space="0" w:color="auto"/>
            </w:tcBorders>
            <w:vAlign w:val="center"/>
            <w:hideMark/>
          </w:tcPr>
          <w:p w14:paraId="3064A770" w14:textId="77777777" w:rsidR="008F30F4" w:rsidRPr="00F964C9" w:rsidRDefault="008F30F4" w:rsidP="001F21E7">
            <w:pPr>
              <w:spacing w:before="0" w:after="120" w:line="240" w:lineRule="auto"/>
              <w:contextualSpacing/>
              <w:jc w:val="center"/>
              <w:rPr>
                <w:rFonts w:eastAsia="Times New Roman" w:cs="Times New Roman"/>
                <w:color w:val="000000"/>
                <w:sz w:val="22"/>
              </w:rPr>
            </w:pPr>
          </w:p>
        </w:tc>
        <w:tc>
          <w:tcPr>
            <w:tcW w:w="5374" w:type="dxa"/>
            <w:tcBorders>
              <w:top w:val="nil"/>
              <w:bottom w:val="single" w:sz="4" w:space="0" w:color="auto"/>
            </w:tcBorders>
            <w:shd w:val="clear" w:color="auto" w:fill="auto"/>
            <w:noWrap/>
            <w:vAlign w:val="center"/>
            <w:hideMark/>
          </w:tcPr>
          <w:p w14:paraId="20782FDB" w14:textId="77777777" w:rsidR="008F30F4" w:rsidRPr="00F964C9" w:rsidRDefault="008F30F4" w:rsidP="001F21E7">
            <w:pPr>
              <w:spacing w:before="0" w:after="120" w:line="240" w:lineRule="auto"/>
              <w:ind w:firstLine="0"/>
              <w:contextualSpacing/>
              <w:rPr>
                <w:rFonts w:cs="Times New Roman"/>
                <w:color w:val="000000"/>
                <w:sz w:val="20"/>
                <w:szCs w:val="20"/>
              </w:rPr>
            </w:pPr>
            <w:r w:rsidRPr="00F964C9">
              <w:rPr>
                <w:rFonts w:eastAsia="Times New Roman" w:cs="Times New Roman"/>
                <w:color w:val="000000"/>
                <w:sz w:val="20"/>
                <w:szCs w:val="20"/>
              </w:rPr>
              <w:t>Nuclear power</w:t>
            </w:r>
          </w:p>
        </w:tc>
      </w:tr>
    </w:tbl>
    <w:p w14:paraId="0B534A2C" w14:textId="77777777" w:rsidR="008F30F4" w:rsidRDefault="008F30F4" w:rsidP="008F30F4">
      <w:pPr>
        <w:ind w:firstLine="0"/>
        <w:rPr>
          <w:rFonts w:eastAsia="SimSun" w:cs="Times New Roman"/>
          <w:b/>
          <w:bCs/>
          <w:i/>
          <w:iCs/>
          <w:color w:val="000000"/>
          <w:szCs w:val="20"/>
        </w:rPr>
      </w:pPr>
    </w:p>
    <w:p w14:paraId="155126F2" w14:textId="77777777" w:rsidR="008F30F4" w:rsidRDefault="008F30F4" w:rsidP="008F30F4">
      <w:pPr>
        <w:ind w:firstLine="720"/>
        <w:rPr>
          <w:rFonts w:eastAsia="SimSun" w:cs="Times New Roman"/>
          <w:b/>
          <w:bCs/>
          <w:i/>
          <w:iCs/>
          <w:color w:val="000000"/>
          <w:szCs w:val="20"/>
        </w:rPr>
      </w:pPr>
      <w:r>
        <w:rPr>
          <w:rFonts w:eastAsia="SimSun" w:cs="Times New Roman"/>
          <w:color w:val="000000"/>
          <w:sz w:val="22"/>
          <w:szCs w:val="22"/>
        </w:rPr>
        <w:t>The c</w:t>
      </w:r>
      <w:r w:rsidRPr="006536E5">
        <w:rPr>
          <w:rFonts w:eastAsia="SimSun" w:cs="Times New Roman"/>
          <w:color w:val="000000"/>
          <w:sz w:val="22"/>
          <w:szCs w:val="22"/>
        </w:rPr>
        <w:t>ement</w:t>
      </w:r>
      <w:r w:rsidRPr="00871823">
        <w:rPr>
          <w:rFonts w:eastAsia="SimSun" w:cs="Times New Roman"/>
          <w:color w:val="000000"/>
          <w:sz w:val="22"/>
          <w:szCs w:val="22"/>
        </w:rPr>
        <w:t xml:space="preserve"> and </w:t>
      </w:r>
      <w:r w:rsidRPr="006536E5">
        <w:rPr>
          <w:rFonts w:eastAsia="SimSun" w:cs="Times New Roman"/>
          <w:color w:val="000000"/>
          <w:sz w:val="22"/>
          <w:szCs w:val="22"/>
        </w:rPr>
        <w:t xml:space="preserve">aluminum sectors include subsectors categorized according to their </w:t>
      </w:r>
      <w:r w:rsidRPr="00871823">
        <w:rPr>
          <w:rFonts w:eastAsia="SimSun" w:cs="Times New Roman"/>
          <w:color w:val="000000"/>
          <w:sz w:val="22"/>
          <w:szCs w:val="22"/>
        </w:rPr>
        <w:t xml:space="preserve">observed </w:t>
      </w:r>
      <w:r w:rsidRPr="006536E5">
        <w:rPr>
          <w:rFonts w:eastAsia="SimSun" w:cs="Times New Roman"/>
          <w:color w:val="000000"/>
          <w:sz w:val="22"/>
          <w:szCs w:val="22"/>
        </w:rPr>
        <w:t xml:space="preserve">emissions intensities. </w:t>
      </w:r>
      <w:r w:rsidRPr="00871823">
        <w:rPr>
          <w:rFonts w:eastAsia="SimSun" w:cs="Times New Roman"/>
          <w:color w:val="000000"/>
          <w:sz w:val="22"/>
          <w:szCs w:val="22"/>
        </w:rPr>
        <w:t>Iron &amp; steel sector include</w:t>
      </w:r>
      <w:r>
        <w:rPr>
          <w:rFonts w:eastAsia="SimSun" w:cs="Times New Roman"/>
          <w:color w:val="000000"/>
          <w:sz w:val="22"/>
          <w:szCs w:val="22"/>
        </w:rPr>
        <w:t>s</w:t>
      </w:r>
      <w:r w:rsidRPr="00871823">
        <w:rPr>
          <w:rFonts w:eastAsia="SimSun" w:cs="Times New Roman"/>
          <w:color w:val="000000"/>
          <w:sz w:val="22"/>
          <w:szCs w:val="22"/>
        </w:rPr>
        <w:t xml:space="preserve"> subsectors</w:t>
      </w:r>
      <w:r w:rsidRPr="00390215">
        <w:rPr>
          <w:rFonts w:eastAsia="SimSun" w:cs="Times New Roman"/>
          <w:color w:val="000000"/>
          <w:sz w:val="22"/>
          <w:szCs w:val="22"/>
        </w:rPr>
        <w:t xml:space="preserve"> categorized by their production technologies and observed emissions intensities. We use a machine-learning method to cluster plants with varying emissions intensities into distinct subsectors</w:t>
      </w:r>
      <w:r w:rsidRPr="00602DFA">
        <w:rPr>
          <w:rFonts w:eastAsia="SimSun" w:cs="Times New Roman"/>
          <w:color w:val="000000"/>
          <w:sz w:val="22"/>
          <w:szCs w:val="22"/>
        </w:rPr>
        <w:t>. The first step is to decide the resulting number of subsectors. The second step is to employ the clustering algorithm to find cluster centers and assign plants to each cluster such that the distance (i.e., the difference between the center’s emissions intensity and the plant’s emissions intensity) is minimized. Various clustering algorithms differ in how “cluster center” and “distance” are defined. We employ the k-means algorithm. Below we document this clustering process for cement, aluminum, and iron &amp; steel, respectively.</w:t>
      </w:r>
      <w:r>
        <w:rPr>
          <w:rFonts w:eastAsia="SimSun" w:cs="Times New Roman"/>
          <w:color w:val="000000"/>
          <w:sz w:val="22"/>
          <w:szCs w:val="22"/>
        </w:rPr>
        <w:t xml:space="preserve"> </w:t>
      </w:r>
    </w:p>
    <w:p w14:paraId="654FC4CA" w14:textId="77777777" w:rsidR="008F30F4" w:rsidRDefault="008F30F4" w:rsidP="008F30F4">
      <w:pPr>
        <w:ind w:firstLine="0"/>
        <w:rPr>
          <w:rFonts w:eastAsia="SimSun" w:cs="Times New Roman"/>
          <w:b/>
          <w:bCs/>
          <w:i/>
          <w:iCs/>
          <w:color w:val="000000"/>
          <w:szCs w:val="20"/>
        </w:rPr>
      </w:pPr>
    </w:p>
    <w:p w14:paraId="403D6009" w14:textId="77777777" w:rsidR="008F30F4" w:rsidRDefault="008F30F4" w:rsidP="008F30F4">
      <w:pPr>
        <w:ind w:firstLine="0"/>
        <w:rPr>
          <w:rFonts w:eastAsia="SimSun" w:cs="Times New Roman"/>
          <w:b/>
          <w:bCs/>
          <w:i/>
          <w:iCs/>
          <w:color w:val="000000"/>
          <w:szCs w:val="20"/>
        </w:rPr>
      </w:pPr>
    </w:p>
    <w:p w14:paraId="0D9A0D44" w14:textId="77777777" w:rsidR="008F30F4" w:rsidRPr="00333C7B" w:rsidRDefault="008F30F4" w:rsidP="008F30F4">
      <w:pPr>
        <w:ind w:firstLine="0"/>
        <w:rPr>
          <w:rFonts w:eastAsia="SimSun" w:cs="Times New Roman"/>
          <w:b/>
          <w:bCs/>
          <w:i/>
          <w:iCs/>
          <w:color w:val="000000"/>
          <w:szCs w:val="20"/>
        </w:rPr>
      </w:pPr>
      <w:r w:rsidRPr="00333C7B">
        <w:rPr>
          <w:rFonts w:eastAsia="SimSun" w:cs="Times New Roman" w:hint="eastAsia"/>
          <w:b/>
          <w:bCs/>
          <w:i/>
          <w:iCs/>
          <w:color w:val="000000"/>
          <w:szCs w:val="20"/>
        </w:rPr>
        <w:lastRenderedPageBreak/>
        <w:t>C</w:t>
      </w:r>
      <w:r w:rsidRPr="00333C7B">
        <w:rPr>
          <w:rFonts w:eastAsia="SimSun" w:cs="Times New Roman"/>
          <w:b/>
          <w:bCs/>
          <w:i/>
          <w:iCs/>
          <w:color w:val="000000"/>
          <w:szCs w:val="20"/>
        </w:rPr>
        <w:t xml:space="preserve">ement </w:t>
      </w:r>
    </w:p>
    <w:p w14:paraId="69FBB4EE" w14:textId="77777777" w:rsidR="008F30F4" w:rsidRPr="00AA1822" w:rsidRDefault="008F30F4" w:rsidP="008F30F4">
      <w:pPr>
        <w:ind w:firstLineChars="327" w:firstLine="719"/>
        <w:rPr>
          <w:rFonts w:ascii="Times" w:hAnsi="Times" w:cs="Times New Roman"/>
          <w:color w:val="000000"/>
          <w:sz w:val="22"/>
          <w:szCs w:val="22"/>
        </w:rPr>
      </w:pPr>
      <w:r w:rsidRPr="00333C7B">
        <w:rPr>
          <w:rFonts w:ascii="Times" w:eastAsia="Times New Roman" w:hAnsi="Times" w:cs="Times New Roman"/>
          <w:color w:val="000000"/>
          <w:sz w:val="22"/>
          <w:szCs w:val="22"/>
        </w:rPr>
        <w:t xml:space="preserve">In our data, there are 797 cement production </w:t>
      </w:r>
      <w:r>
        <w:rPr>
          <w:rFonts w:ascii="Times" w:eastAsia="Times New Roman" w:hAnsi="Times" w:cs="Times New Roman"/>
          <w:color w:val="000000"/>
          <w:sz w:val="22"/>
          <w:szCs w:val="22"/>
        </w:rPr>
        <w:t>facilities</w:t>
      </w:r>
      <w:r w:rsidRPr="00333C7B">
        <w:rPr>
          <w:rFonts w:ascii="Times" w:eastAsia="Times New Roman" w:hAnsi="Times" w:cs="Times New Roman"/>
          <w:color w:val="000000"/>
          <w:sz w:val="22"/>
          <w:szCs w:val="22"/>
        </w:rPr>
        <w:t xml:space="preserve"> from 631 cement firms, covering 57% of China’s cement production.</w:t>
      </w:r>
      <w:r>
        <w:rPr>
          <w:rStyle w:val="FootnoteReference"/>
          <w:rFonts w:ascii="Times" w:eastAsia="Times New Roman" w:hAnsi="Times" w:cs="Times New Roman"/>
          <w:color w:val="000000"/>
          <w:sz w:val="22"/>
          <w:szCs w:val="22"/>
        </w:rPr>
        <w:footnoteReference w:id="2"/>
      </w:r>
      <w:r>
        <w:rPr>
          <w:rFonts w:ascii="Times" w:eastAsia="Times New Roman" w:hAnsi="Times" w:cs="Times New Roman"/>
          <w:color w:val="000000"/>
          <w:sz w:val="22"/>
          <w:szCs w:val="22"/>
        </w:rPr>
        <w:t xml:space="preserve"> </w:t>
      </w:r>
      <w:r w:rsidRPr="00333C7B">
        <w:rPr>
          <w:rFonts w:ascii="Times" w:eastAsia="Times New Roman" w:hAnsi="Times" w:cs="Times New Roman"/>
          <w:color w:val="000000"/>
          <w:sz w:val="22"/>
          <w:szCs w:val="22"/>
        </w:rPr>
        <w:t>We have the CO</w:t>
      </w:r>
      <w:r w:rsidRPr="00333C7B">
        <w:rPr>
          <w:rFonts w:ascii="Times" w:eastAsia="Times New Roman" w:hAnsi="Times" w:cs="Times New Roman"/>
          <w:color w:val="000000"/>
          <w:sz w:val="22"/>
          <w:szCs w:val="22"/>
          <w:vertAlign w:val="subscript"/>
        </w:rPr>
        <w:t>2</w:t>
      </w:r>
      <w:r w:rsidRPr="00333C7B">
        <w:rPr>
          <w:rFonts w:ascii="Times" w:eastAsia="Times New Roman" w:hAnsi="Times" w:cs="Times New Roman"/>
          <w:color w:val="000000"/>
          <w:sz w:val="22"/>
          <w:szCs w:val="22"/>
        </w:rPr>
        <w:t xml:space="preserve"> emissions intensity data for each </w:t>
      </w:r>
      <w:r>
        <w:rPr>
          <w:rFonts w:ascii="Times" w:eastAsia="Times New Roman" w:hAnsi="Times" w:cs="Times New Roman"/>
          <w:color w:val="000000"/>
          <w:sz w:val="22"/>
          <w:szCs w:val="22"/>
        </w:rPr>
        <w:t>facility</w:t>
      </w:r>
      <w:r w:rsidRPr="00333C7B">
        <w:rPr>
          <w:rFonts w:ascii="Times" w:eastAsia="Times New Roman" w:hAnsi="Times" w:cs="Times New Roman"/>
          <w:color w:val="000000"/>
          <w:sz w:val="22"/>
          <w:szCs w:val="22"/>
        </w:rPr>
        <w:t>.</w:t>
      </w:r>
      <w:r w:rsidRPr="0088662B">
        <w:rPr>
          <w:rStyle w:val="FootnoteReference"/>
        </w:rPr>
        <w:footnoteReference w:id="3"/>
      </w:r>
      <w:r w:rsidRPr="00333C7B">
        <w:rPr>
          <w:rFonts w:ascii="Times" w:eastAsia="Times New Roman" w:hAnsi="Times" w:cs="Times New Roman"/>
          <w:color w:val="000000"/>
          <w:sz w:val="22"/>
          <w:szCs w:val="22"/>
        </w:rPr>
        <w:t xml:space="preserve"> We apply a clustering algorithm to group the production </w:t>
      </w:r>
      <w:r>
        <w:rPr>
          <w:rFonts w:ascii="Times" w:eastAsia="Times New Roman" w:hAnsi="Times" w:cs="Times New Roman"/>
          <w:color w:val="000000"/>
          <w:sz w:val="22"/>
          <w:szCs w:val="22"/>
        </w:rPr>
        <w:t>facilities</w:t>
      </w:r>
      <w:r w:rsidRPr="00333C7B">
        <w:rPr>
          <w:rFonts w:ascii="Times" w:eastAsia="Times New Roman" w:hAnsi="Times" w:cs="Times New Roman"/>
          <w:color w:val="000000"/>
          <w:sz w:val="22"/>
          <w:szCs w:val="22"/>
        </w:rPr>
        <w:t xml:space="preserve"> into five clusters. The lowest and highest clusters have very few production </w:t>
      </w:r>
      <w:r>
        <w:rPr>
          <w:rFonts w:ascii="Times" w:eastAsia="Times New Roman" w:hAnsi="Times" w:cs="Times New Roman"/>
          <w:color w:val="000000"/>
          <w:sz w:val="22"/>
          <w:szCs w:val="22"/>
        </w:rPr>
        <w:t>facilities</w:t>
      </w:r>
      <w:r w:rsidRPr="00333C7B">
        <w:rPr>
          <w:rFonts w:ascii="Times" w:eastAsia="Times New Roman" w:hAnsi="Times" w:cs="Times New Roman"/>
          <w:color w:val="000000"/>
          <w:sz w:val="22"/>
          <w:szCs w:val="22"/>
        </w:rPr>
        <w:t xml:space="preserve">, so we include them in the closest intermediate groups. Each of the resulting three clusters represents a subsector of the cement sector.  The clusters are indicated in Table </w:t>
      </w:r>
      <w:r>
        <w:rPr>
          <w:rFonts w:ascii="Times" w:eastAsia="Times New Roman" w:hAnsi="Times" w:cs="Times New Roman"/>
          <w:color w:val="000000"/>
          <w:sz w:val="22"/>
          <w:szCs w:val="22"/>
        </w:rPr>
        <w:t>B2</w:t>
      </w:r>
      <w:r w:rsidRPr="00333C7B">
        <w:rPr>
          <w:rFonts w:ascii="Times" w:eastAsia="Times New Roman" w:hAnsi="Times" w:cs="Times New Roman"/>
          <w:color w:val="000000"/>
          <w:sz w:val="22"/>
          <w:szCs w:val="22"/>
        </w:rPr>
        <w:t xml:space="preserve"> below.  Figure </w:t>
      </w:r>
      <w:r>
        <w:rPr>
          <w:rFonts w:ascii="Times" w:eastAsia="Times New Roman" w:hAnsi="Times" w:cs="Times New Roman"/>
          <w:color w:val="000000"/>
          <w:sz w:val="22"/>
          <w:szCs w:val="22"/>
        </w:rPr>
        <w:t>B1</w:t>
      </w:r>
      <w:r w:rsidRPr="00333C7B">
        <w:rPr>
          <w:rFonts w:ascii="Times" w:eastAsia="Times New Roman" w:hAnsi="Times" w:cs="Times New Roman"/>
          <w:color w:val="000000"/>
          <w:sz w:val="22"/>
          <w:szCs w:val="22"/>
        </w:rPr>
        <w:t xml:space="preserve"> shows the cumulative density function that captures the relationship between the emissions intensities of the three emissions-intensity groups and cumulative cement production.</w:t>
      </w:r>
    </w:p>
    <w:p w14:paraId="7858F662" w14:textId="77777777" w:rsidR="008F30F4" w:rsidRPr="003B33DF" w:rsidRDefault="008F30F4" w:rsidP="008F30F4">
      <w:pPr>
        <w:ind w:firstLineChars="200" w:firstLine="440"/>
        <w:jc w:val="center"/>
        <w:rPr>
          <w:rFonts w:eastAsia="DengXian" w:cs="Times New Roman"/>
          <w:b/>
          <w:bCs/>
          <w:sz w:val="22"/>
          <w:szCs w:val="22"/>
        </w:rPr>
      </w:pPr>
      <w:r w:rsidRPr="00293AC7">
        <w:rPr>
          <w:rFonts w:eastAsia="SimSun" w:cs="Times New Roman"/>
          <w:noProof/>
          <w:color w:val="000000"/>
          <w:sz w:val="22"/>
          <w:szCs w:val="22"/>
          <w:lang w:eastAsia="en-US"/>
        </w:rPr>
        <w:drawing>
          <wp:anchor distT="0" distB="0" distL="114300" distR="114300" simplePos="0" relativeHeight="251674624" behindDoc="0" locked="0" layoutInCell="1" allowOverlap="1" wp14:anchorId="70D56983" wp14:editId="463DAED1">
            <wp:simplePos x="0" y="0"/>
            <wp:positionH relativeFrom="margin">
              <wp:posOffset>952224</wp:posOffset>
            </wp:positionH>
            <wp:positionV relativeFrom="paragraph">
              <wp:posOffset>1424581</wp:posOffset>
            </wp:positionV>
            <wp:extent cx="3699510" cy="3021965"/>
            <wp:effectExtent l="0" t="0" r="0" b="6985"/>
            <wp:wrapTopAndBottom/>
            <wp:docPr id="14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699510" cy="3021965"/>
                    </a:xfrm>
                    <a:prstGeom prst="rect">
                      <a:avLst/>
                    </a:prstGeom>
                    <a:noFill/>
                  </pic:spPr>
                </pic:pic>
              </a:graphicData>
            </a:graphic>
            <wp14:sizeRelH relativeFrom="page">
              <wp14:pctWidth>0</wp14:pctWidth>
            </wp14:sizeRelH>
            <wp14:sizeRelV relativeFrom="page">
              <wp14:pctHeight>0</wp14:pctHeight>
            </wp14:sizeRelV>
          </wp:anchor>
        </w:drawing>
      </w:r>
      <w:r w:rsidRPr="003B33DF">
        <w:rPr>
          <w:rFonts w:eastAsia="DengXian" w:cs="Times New Roman"/>
          <w:b/>
          <w:bCs/>
          <w:sz w:val="22"/>
          <w:szCs w:val="22"/>
        </w:rPr>
        <w:t xml:space="preserve">Table </w:t>
      </w:r>
      <w:r>
        <w:rPr>
          <w:rFonts w:eastAsia="DengXian" w:cs="Times New Roman"/>
          <w:b/>
          <w:bCs/>
          <w:sz w:val="22"/>
          <w:szCs w:val="22"/>
        </w:rPr>
        <w:t>B2</w:t>
      </w:r>
      <w:r w:rsidRPr="003B33DF">
        <w:rPr>
          <w:rFonts w:eastAsia="DengXian" w:cs="Times New Roman"/>
          <w:b/>
          <w:bCs/>
          <w:sz w:val="22"/>
          <w:szCs w:val="22"/>
        </w:rPr>
        <w:t>. Subsectors of the Cement Sector</w:t>
      </w:r>
    </w:p>
    <w:tbl>
      <w:tblPr>
        <w:tblW w:w="8640" w:type="dxa"/>
        <w:tblBorders>
          <w:top w:val="single" w:sz="4" w:space="0" w:color="auto"/>
          <w:bottom w:val="single" w:sz="4" w:space="0" w:color="auto"/>
        </w:tblBorders>
        <w:tblLook w:val="04A0" w:firstRow="1" w:lastRow="0" w:firstColumn="1" w:lastColumn="0" w:noHBand="0" w:noVBand="1"/>
      </w:tblPr>
      <w:tblGrid>
        <w:gridCol w:w="2250"/>
        <w:gridCol w:w="6390"/>
      </w:tblGrid>
      <w:tr w:rsidR="008F30F4" w:rsidRPr="00333C7B" w14:paraId="24ED92F8" w14:textId="77777777" w:rsidTr="001F21E7">
        <w:trPr>
          <w:trHeight w:val="373"/>
        </w:trPr>
        <w:tc>
          <w:tcPr>
            <w:tcW w:w="2250" w:type="dxa"/>
            <w:tcBorders>
              <w:top w:val="single" w:sz="4" w:space="0" w:color="auto"/>
              <w:bottom w:val="single" w:sz="4" w:space="0" w:color="auto"/>
            </w:tcBorders>
            <w:shd w:val="clear" w:color="auto" w:fill="auto"/>
            <w:noWrap/>
            <w:vAlign w:val="center"/>
            <w:hideMark/>
          </w:tcPr>
          <w:p w14:paraId="07F10B56" w14:textId="77777777" w:rsidR="008F30F4" w:rsidRPr="00AA1822" w:rsidRDefault="008F30F4" w:rsidP="001F21E7">
            <w:pPr>
              <w:spacing w:before="0" w:line="240" w:lineRule="auto"/>
              <w:ind w:firstLine="0"/>
              <w:contextualSpacing/>
              <w:jc w:val="center"/>
              <w:rPr>
                <w:rFonts w:eastAsia="Times New Roman" w:cs="Times New Roman"/>
                <w:color w:val="000000"/>
                <w:sz w:val="22"/>
                <w:szCs w:val="22"/>
              </w:rPr>
            </w:pPr>
            <w:r w:rsidRPr="00AA1822">
              <w:rPr>
                <w:rFonts w:eastAsia="Times New Roman" w:cs="Times New Roman"/>
                <w:color w:val="000000"/>
                <w:sz w:val="22"/>
                <w:szCs w:val="22"/>
              </w:rPr>
              <w:t>Subsector</w:t>
            </w:r>
          </w:p>
        </w:tc>
        <w:tc>
          <w:tcPr>
            <w:tcW w:w="6390" w:type="dxa"/>
            <w:tcBorders>
              <w:top w:val="single" w:sz="4" w:space="0" w:color="auto"/>
              <w:bottom w:val="single" w:sz="4" w:space="0" w:color="auto"/>
            </w:tcBorders>
            <w:shd w:val="clear" w:color="auto" w:fill="auto"/>
            <w:vAlign w:val="center"/>
          </w:tcPr>
          <w:p w14:paraId="454C8DED" w14:textId="77777777" w:rsidR="008F30F4" w:rsidRPr="00AA1822" w:rsidRDefault="008F30F4" w:rsidP="001F21E7">
            <w:pPr>
              <w:spacing w:before="0" w:line="240" w:lineRule="auto"/>
              <w:ind w:firstLine="0"/>
              <w:contextualSpacing/>
              <w:jc w:val="center"/>
              <w:rPr>
                <w:rFonts w:eastAsia="Times New Roman" w:cs="Times New Roman"/>
                <w:color w:val="000000"/>
                <w:sz w:val="22"/>
                <w:szCs w:val="22"/>
              </w:rPr>
            </w:pPr>
            <w:r w:rsidRPr="00AA1822">
              <w:rPr>
                <w:rFonts w:eastAsia="DengXian" w:cs="Times New Roman" w:hint="eastAsia"/>
                <w:color w:val="000000"/>
                <w:sz w:val="22"/>
                <w:szCs w:val="22"/>
              </w:rPr>
              <w:t>C</w:t>
            </w:r>
            <w:r w:rsidRPr="00AA1822">
              <w:rPr>
                <w:rFonts w:eastAsia="DengXian" w:cs="Times New Roman"/>
                <w:color w:val="000000"/>
                <w:sz w:val="22"/>
                <w:szCs w:val="22"/>
              </w:rPr>
              <w:t>O</w:t>
            </w:r>
            <w:r w:rsidRPr="00AA1822">
              <w:rPr>
                <w:rFonts w:eastAsia="DengXian" w:cs="Times New Roman"/>
                <w:color w:val="000000"/>
                <w:sz w:val="22"/>
                <w:szCs w:val="22"/>
                <w:vertAlign w:val="subscript"/>
              </w:rPr>
              <w:t>2</w:t>
            </w:r>
            <w:r w:rsidRPr="00AA1822">
              <w:rPr>
                <w:rFonts w:eastAsia="DengXian" w:cs="Times New Roman"/>
                <w:color w:val="000000"/>
                <w:sz w:val="22"/>
                <w:szCs w:val="22"/>
              </w:rPr>
              <w:t xml:space="preserve"> emission intensity</w:t>
            </w:r>
          </w:p>
        </w:tc>
      </w:tr>
      <w:tr w:rsidR="008F30F4" w:rsidRPr="00333C7B" w14:paraId="25C0138B" w14:textId="77777777" w:rsidTr="001F21E7">
        <w:trPr>
          <w:trHeight w:val="373"/>
        </w:trPr>
        <w:tc>
          <w:tcPr>
            <w:tcW w:w="2250" w:type="dxa"/>
            <w:tcBorders>
              <w:top w:val="single" w:sz="4" w:space="0" w:color="auto"/>
            </w:tcBorders>
            <w:shd w:val="clear" w:color="auto" w:fill="auto"/>
            <w:noWrap/>
            <w:vAlign w:val="center"/>
          </w:tcPr>
          <w:p w14:paraId="492BEDB7" w14:textId="77777777" w:rsidR="008F30F4" w:rsidRPr="00333C7B" w:rsidRDefault="008F30F4" w:rsidP="001F21E7">
            <w:pPr>
              <w:spacing w:before="0" w:line="240" w:lineRule="auto"/>
              <w:ind w:firstLine="0"/>
              <w:contextualSpacing/>
              <w:rPr>
                <w:rFonts w:eastAsia="DengXian" w:cs="Times New Roman"/>
                <w:color w:val="000000"/>
                <w:sz w:val="22"/>
                <w:szCs w:val="22"/>
              </w:rPr>
            </w:pPr>
            <w:r w:rsidRPr="00333C7B">
              <w:rPr>
                <w:rFonts w:eastAsia="DengXian" w:cs="Times New Roman" w:hint="eastAsia"/>
                <w:color w:val="000000"/>
                <w:sz w:val="22"/>
                <w:szCs w:val="22"/>
              </w:rPr>
              <w:t>H</w:t>
            </w:r>
            <w:r w:rsidRPr="00333C7B">
              <w:rPr>
                <w:rFonts w:eastAsia="DengXian" w:cs="Times New Roman"/>
                <w:color w:val="000000"/>
                <w:sz w:val="22"/>
                <w:szCs w:val="22"/>
              </w:rPr>
              <w:t xml:space="preserve">igh-efficiency </w:t>
            </w:r>
          </w:p>
        </w:tc>
        <w:tc>
          <w:tcPr>
            <w:tcW w:w="6390" w:type="dxa"/>
            <w:tcBorders>
              <w:top w:val="single" w:sz="4" w:space="0" w:color="auto"/>
            </w:tcBorders>
            <w:shd w:val="clear" w:color="auto" w:fill="auto"/>
            <w:vAlign w:val="center"/>
          </w:tcPr>
          <w:p w14:paraId="354B531B" w14:textId="77777777" w:rsidR="008F30F4" w:rsidRPr="00333C7B" w:rsidRDefault="008F30F4" w:rsidP="001F21E7">
            <w:pPr>
              <w:spacing w:before="0" w:line="240" w:lineRule="auto"/>
              <w:ind w:firstLine="0"/>
              <w:contextualSpacing/>
              <w:rPr>
                <w:rFonts w:eastAsia="DengXian" w:cs="Times New Roman"/>
                <w:color w:val="000000"/>
                <w:sz w:val="22"/>
                <w:szCs w:val="22"/>
              </w:rPr>
            </w:pP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333C7B">
              <w:rPr>
                <w:rFonts w:eastAsia="DengXian" w:cs="Times New Roman"/>
                <w:color w:val="000000"/>
                <w:sz w:val="22"/>
                <w:szCs w:val="22"/>
              </w:rPr>
              <w:t xml:space="preserve"> emissions intensity &lt; 0.845 tCO</w:t>
            </w:r>
            <w:r w:rsidRPr="00333C7B">
              <w:rPr>
                <w:rFonts w:eastAsia="DengXian" w:cs="Times New Roman"/>
                <w:color w:val="000000"/>
                <w:sz w:val="22"/>
                <w:szCs w:val="22"/>
                <w:vertAlign w:val="subscript"/>
              </w:rPr>
              <w:t>2</w:t>
            </w:r>
            <w:r w:rsidRPr="00333C7B">
              <w:rPr>
                <w:rFonts w:eastAsia="DengXian" w:cs="Times New Roman"/>
                <w:color w:val="000000"/>
                <w:sz w:val="22"/>
                <w:szCs w:val="22"/>
              </w:rPr>
              <w:t xml:space="preserve">/ton cement </w:t>
            </w:r>
          </w:p>
        </w:tc>
      </w:tr>
      <w:tr w:rsidR="008F30F4" w:rsidRPr="00333C7B" w14:paraId="010DFD80" w14:textId="77777777" w:rsidTr="001F21E7">
        <w:trPr>
          <w:trHeight w:val="373"/>
        </w:trPr>
        <w:tc>
          <w:tcPr>
            <w:tcW w:w="2250" w:type="dxa"/>
            <w:shd w:val="clear" w:color="auto" w:fill="auto"/>
            <w:noWrap/>
            <w:vAlign w:val="center"/>
          </w:tcPr>
          <w:p w14:paraId="54BA8214" w14:textId="77777777" w:rsidR="008F30F4" w:rsidRPr="00333C7B" w:rsidRDefault="008F30F4" w:rsidP="001F21E7">
            <w:pPr>
              <w:spacing w:before="0" w:line="240" w:lineRule="auto"/>
              <w:ind w:firstLine="0"/>
              <w:contextualSpacing/>
              <w:rPr>
                <w:rFonts w:eastAsia="Times New Roman" w:cs="Times New Roman"/>
                <w:b/>
                <w:bCs/>
                <w:color w:val="000000"/>
                <w:sz w:val="22"/>
                <w:szCs w:val="22"/>
              </w:rPr>
            </w:pPr>
            <w:r w:rsidRPr="00333C7B">
              <w:rPr>
                <w:rFonts w:eastAsia="DengXian" w:cs="Times New Roman"/>
                <w:color w:val="000000"/>
                <w:sz w:val="22"/>
                <w:szCs w:val="22"/>
              </w:rPr>
              <w:t xml:space="preserve">Medium-efficiency </w:t>
            </w:r>
          </w:p>
        </w:tc>
        <w:tc>
          <w:tcPr>
            <w:tcW w:w="6390" w:type="dxa"/>
            <w:shd w:val="clear" w:color="auto" w:fill="auto"/>
            <w:vAlign w:val="center"/>
          </w:tcPr>
          <w:p w14:paraId="121D1727" w14:textId="77777777" w:rsidR="008F30F4" w:rsidRPr="00333C7B" w:rsidRDefault="008F30F4" w:rsidP="001F21E7">
            <w:pPr>
              <w:spacing w:before="0" w:line="240" w:lineRule="auto"/>
              <w:ind w:firstLine="0"/>
              <w:contextualSpacing/>
              <w:rPr>
                <w:rFonts w:eastAsia="Times New Roman" w:cs="Times New Roman"/>
                <w:b/>
                <w:bCs/>
                <w:color w:val="000000"/>
                <w:sz w:val="22"/>
                <w:szCs w:val="22"/>
              </w:rPr>
            </w:pPr>
            <w:r w:rsidRPr="00333C7B">
              <w:rPr>
                <w:rFonts w:eastAsia="DengXian" w:cs="Times New Roman"/>
                <w:color w:val="000000"/>
                <w:sz w:val="22"/>
                <w:szCs w:val="22"/>
              </w:rPr>
              <w:t xml:space="preserve">0.914 </w:t>
            </w:r>
            <w:r w:rsidRPr="00333C7B">
              <w:rPr>
                <w:rFonts w:eastAsia="DengXian" w:cs="Times New Roman" w:hint="eastAsia"/>
                <w:color w:val="000000"/>
                <w:sz w:val="22"/>
                <w:szCs w:val="22"/>
              </w:rPr>
              <w:t>&gt;</w:t>
            </w:r>
            <w:r w:rsidRPr="00333C7B">
              <w:rPr>
                <w:rFonts w:eastAsia="DengXian" w:cs="Times New Roman"/>
                <w:color w:val="000000"/>
                <w:sz w:val="22"/>
                <w:szCs w:val="22"/>
              </w:rPr>
              <w:t xml:space="preserve"> </w:t>
            </w: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333C7B">
              <w:rPr>
                <w:rFonts w:eastAsia="DengXian" w:cs="Times New Roman"/>
                <w:color w:val="000000"/>
                <w:sz w:val="22"/>
                <w:szCs w:val="22"/>
              </w:rPr>
              <w:t xml:space="preserve"> emissions intensity </w:t>
            </w:r>
            <w:r w:rsidRPr="00333C7B">
              <w:rPr>
                <w:rFonts w:ascii="DengXian" w:eastAsia="DengXian" w:hAnsi="DengXian" w:cs="Times New Roman" w:hint="eastAsia"/>
                <w:color w:val="000000"/>
                <w:sz w:val="22"/>
              </w:rPr>
              <w:t>≥</w:t>
            </w:r>
            <w:r w:rsidRPr="00333C7B">
              <w:rPr>
                <w:rFonts w:eastAsia="DengXian" w:cs="Times New Roman"/>
                <w:color w:val="000000"/>
                <w:sz w:val="22"/>
                <w:szCs w:val="22"/>
              </w:rPr>
              <w:t xml:space="preserve"> 0.845 tCO</w:t>
            </w:r>
            <w:r w:rsidRPr="00333C7B">
              <w:rPr>
                <w:rFonts w:eastAsia="DengXian" w:cs="Times New Roman"/>
                <w:color w:val="000000"/>
                <w:sz w:val="22"/>
                <w:szCs w:val="22"/>
                <w:vertAlign w:val="subscript"/>
              </w:rPr>
              <w:t>2</w:t>
            </w:r>
            <w:r w:rsidRPr="00333C7B">
              <w:rPr>
                <w:rFonts w:eastAsia="DengXian" w:cs="Times New Roman"/>
                <w:color w:val="000000"/>
                <w:sz w:val="22"/>
                <w:szCs w:val="22"/>
              </w:rPr>
              <w:t xml:space="preserve">/ton cement </w:t>
            </w:r>
          </w:p>
        </w:tc>
      </w:tr>
      <w:tr w:rsidR="008F30F4" w:rsidRPr="00333C7B" w14:paraId="7B8E3E2A" w14:textId="77777777" w:rsidTr="001F21E7">
        <w:trPr>
          <w:trHeight w:val="373"/>
        </w:trPr>
        <w:tc>
          <w:tcPr>
            <w:tcW w:w="2250" w:type="dxa"/>
            <w:tcBorders>
              <w:bottom w:val="single" w:sz="4" w:space="0" w:color="auto"/>
            </w:tcBorders>
            <w:shd w:val="clear" w:color="auto" w:fill="auto"/>
            <w:noWrap/>
            <w:vAlign w:val="center"/>
          </w:tcPr>
          <w:p w14:paraId="10C2D22C" w14:textId="77777777" w:rsidR="008F30F4" w:rsidRPr="00333C7B" w:rsidRDefault="008F30F4" w:rsidP="001F21E7">
            <w:pPr>
              <w:spacing w:before="0" w:line="240" w:lineRule="auto"/>
              <w:ind w:firstLine="0"/>
              <w:contextualSpacing/>
              <w:rPr>
                <w:rFonts w:eastAsia="Times New Roman" w:cs="Times New Roman"/>
                <w:b/>
                <w:bCs/>
                <w:color w:val="000000"/>
                <w:sz w:val="22"/>
                <w:szCs w:val="22"/>
              </w:rPr>
            </w:pPr>
            <w:r w:rsidRPr="00333C7B">
              <w:rPr>
                <w:rFonts w:eastAsia="DengXian" w:cs="Times New Roman"/>
                <w:color w:val="000000"/>
                <w:sz w:val="22"/>
                <w:szCs w:val="22"/>
              </w:rPr>
              <w:t xml:space="preserve">Low-efficiency </w:t>
            </w:r>
          </w:p>
        </w:tc>
        <w:tc>
          <w:tcPr>
            <w:tcW w:w="6390" w:type="dxa"/>
            <w:tcBorders>
              <w:bottom w:val="single" w:sz="4" w:space="0" w:color="auto"/>
            </w:tcBorders>
            <w:shd w:val="clear" w:color="auto" w:fill="auto"/>
            <w:vAlign w:val="center"/>
          </w:tcPr>
          <w:p w14:paraId="1D059E15" w14:textId="77777777" w:rsidR="008F30F4" w:rsidRPr="00333C7B" w:rsidRDefault="008F30F4" w:rsidP="001F21E7">
            <w:pPr>
              <w:spacing w:before="0" w:line="240" w:lineRule="auto"/>
              <w:ind w:firstLine="0"/>
              <w:contextualSpacing/>
              <w:rPr>
                <w:rFonts w:eastAsia="Times New Roman" w:cs="Times New Roman"/>
                <w:b/>
                <w:bCs/>
                <w:color w:val="000000"/>
                <w:sz w:val="22"/>
                <w:szCs w:val="22"/>
              </w:rPr>
            </w:pP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333C7B">
              <w:rPr>
                <w:rFonts w:eastAsia="DengXian" w:cs="Times New Roman"/>
                <w:color w:val="000000"/>
                <w:sz w:val="22"/>
                <w:szCs w:val="22"/>
              </w:rPr>
              <w:t xml:space="preserve"> emissions intensity </w:t>
            </w:r>
            <w:r w:rsidRPr="00333C7B">
              <w:rPr>
                <w:rFonts w:ascii="DengXian" w:eastAsia="DengXian" w:hAnsi="DengXian" w:cs="Times New Roman" w:hint="eastAsia"/>
                <w:color w:val="000000"/>
                <w:sz w:val="22"/>
              </w:rPr>
              <w:t>≥</w:t>
            </w:r>
            <w:r w:rsidRPr="00333C7B">
              <w:rPr>
                <w:rFonts w:eastAsia="DengXian" w:cs="Times New Roman"/>
                <w:color w:val="000000"/>
                <w:sz w:val="22"/>
                <w:szCs w:val="22"/>
              </w:rPr>
              <w:t xml:space="preserve"> 0.914 tCO</w:t>
            </w:r>
            <w:r w:rsidRPr="00333C7B">
              <w:rPr>
                <w:rFonts w:eastAsia="DengXian" w:cs="Times New Roman"/>
                <w:color w:val="000000"/>
                <w:sz w:val="22"/>
                <w:szCs w:val="22"/>
                <w:vertAlign w:val="subscript"/>
              </w:rPr>
              <w:t>2</w:t>
            </w:r>
            <w:r w:rsidRPr="00333C7B">
              <w:rPr>
                <w:rFonts w:eastAsia="DengXian" w:cs="Times New Roman"/>
                <w:color w:val="000000"/>
                <w:sz w:val="22"/>
                <w:szCs w:val="22"/>
              </w:rPr>
              <w:t xml:space="preserve">/ton cement </w:t>
            </w:r>
          </w:p>
        </w:tc>
      </w:tr>
    </w:tbl>
    <w:p w14:paraId="1AF3D219" w14:textId="77777777" w:rsidR="008F30F4" w:rsidRPr="00293AC7" w:rsidRDefault="008F30F4" w:rsidP="008F30F4">
      <w:pPr>
        <w:ind w:firstLine="0"/>
        <w:jc w:val="center"/>
        <w:rPr>
          <w:rFonts w:eastAsia="SimSun" w:cs="Times New Roman"/>
          <w:b/>
          <w:bCs/>
          <w:color w:val="000000"/>
          <w:sz w:val="22"/>
          <w:szCs w:val="22"/>
        </w:rPr>
      </w:pPr>
      <w:r w:rsidRPr="00293AC7">
        <w:rPr>
          <w:rFonts w:eastAsia="SimSun" w:cs="Times New Roman"/>
          <w:b/>
          <w:bCs/>
          <w:color w:val="000000"/>
          <w:sz w:val="22"/>
          <w:szCs w:val="22"/>
        </w:rPr>
        <w:t xml:space="preserve">Figure </w:t>
      </w:r>
      <w:r>
        <w:rPr>
          <w:rFonts w:eastAsia="SimSun" w:cs="Times New Roman"/>
          <w:b/>
          <w:bCs/>
          <w:color w:val="000000"/>
          <w:sz w:val="22"/>
          <w:szCs w:val="22"/>
        </w:rPr>
        <w:t>B1</w:t>
      </w:r>
      <w:r w:rsidRPr="00293AC7">
        <w:rPr>
          <w:rFonts w:eastAsia="SimSun" w:cs="Times New Roman"/>
          <w:b/>
          <w:bCs/>
          <w:color w:val="000000"/>
          <w:sz w:val="22"/>
          <w:szCs w:val="22"/>
        </w:rPr>
        <w:t>. Clustering of Cement Sector by Emissions Intensity</w:t>
      </w:r>
    </w:p>
    <w:p w14:paraId="16CFDC7B" w14:textId="77777777" w:rsidR="008F30F4" w:rsidRPr="006D416B" w:rsidRDefault="008F30F4" w:rsidP="008F30F4">
      <w:pPr>
        <w:ind w:firstLine="0"/>
        <w:rPr>
          <w:rFonts w:eastAsia="SimSun" w:cs="Times New Roman"/>
          <w:b/>
          <w:bCs/>
          <w:i/>
          <w:iCs/>
          <w:color w:val="000000"/>
        </w:rPr>
      </w:pPr>
      <w:r w:rsidRPr="006D416B">
        <w:rPr>
          <w:rFonts w:eastAsia="SimSun" w:cs="Times New Roman"/>
          <w:b/>
          <w:bCs/>
          <w:i/>
          <w:iCs/>
          <w:color w:val="000000"/>
        </w:rPr>
        <w:lastRenderedPageBreak/>
        <w:t>Aluminum</w:t>
      </w:r>
    </w:p>
    <w:p w14:paraId="3F4A1487" w14:textId="77777777" w:rsidR="008F30F4" w:rsidRPr="00333C7B" w:rsidRDefault="008F30F4" w:rsidP="008F30F4">
      <w:pPr>
        <w:ind w:firstLineChars="327" w:firstLine="719"/>
        <w:rPr>
          <w:rFonts w:eastAsia="SimSun" w:cs="Times New Roman"/>
          <w:color w:val="000000"/>
          <w:sz w:val="22"/>
          <w:szCs w:val="22"/>
        </w:rPr>
      </w:pPr>
      <w:r w:rsidRPr="00333C7B">
        <w:rPr>
          <w:rFonts w:eastAsia="SimSun" w:cs="Times New Roman"/>
          <w:color w:val="000000"/>
          <w:sz w:val="22"/>
          <w:szCs w:val="22"/>
        </w:rPr>
        <w:t xml:space="preserve">In our data, there are 116 aluminum </w:t>
      </w:r>
      <w:r w:rsidRPr="00333C7B">
        <w:rPr>
          <w:rFonts w:ascii="Times" w:eastAsia="Times New Roman" w:hAnsi="Times" w:cs="Times New Roman"/>
          <w:color w:val="000000"/>
          <w:sz w:val="22"/>
          <w:szCs w:val="22"/>
        </w:rPr>
        <w:t xml:space="preserve">production </w:t>
      </w:r>
      <w:r>
        <w:rPr>
          <w:rFonts w:ascii="Times" w:eastAsia="Times New Roman" w:hAnsi="Times" w:cs="Times New Roman"/>
          <w:color w:val="000000"/>
          <w:sz w:val="22"/>
          <w:szCs w:val="22"/>
        </w:rPr>
        <w:t>facilities</w:t>
      </w:r>
      <w:r w:rsidRPr="00333C7B">
        <w:rPr>
          <w:rFonts w:eastAsia="SimSun" w:cs="Times New Roman"/>
          <w:color w:val="000000"/>
          <w:sz w:val="22"/>
          <w:szCs w:val="22"/>
        </w:rPr>
        <w:t xml:space="preserve"> from 64 aluminum firms, covering 42% of China’s aluminum production.</w:t>
      </w:r>
      <w:r>
        <w:rPr>
          <w:rStyle w:val="FootnoteReference"/>
          <w:rFonts w:eastAsia="SimSun" w:cs="Times New Roman"/>
          <w:color w:val="000000"/>
          <w:sz w:val="22"/>
          <w:szCs w:val="22"/>
        </w:rPr>
        <w:footnoteReference w:id="4"/>
      </w:r>
      <w:r>
        <w:rPr>
          <w:rFonts w:eastAsia="SimSun" w:cs="Times New Roman"/>
          <w:color w:val="000000"/>
          <w:sz w:val="22"/>
          <w:szCs w:val="22"/>
        </w:rPr>
        <w:t xml:space="preserve"> </w:t>
      </w:r>
      <w:r w:rsidRPr="00333C7B">
        <w:rPr>
          <w:rFonts w:eastAsia="SimSun" w:cs="Times New Roman"/>
          <w:color w:val="000000"/>
          <w:sz w:val="22"/>
          <w:szCs w:val="22"/>
        </w:rPr>
        <w:t xml:space="preserve">We use the same clustering method as cement – we </w:t>
      </w:r>
      <w:r>
        <w:rPr>
          <w:rFonts w:eastAsia="SimSun" w:cs="Times New Roman"/>
          <w:color w:val="000000"/>
          <w:sz w:val="22"/>
          <w:szCs w:val="22"/>
        </w:rPr>
        <w:t>first</w:t>
      </w:r>
      <w:r w:rsidRPr="00333C7B">
        <w:rPr>
          <w:rFonts w:eastAsia="SimSun" w:cs="Times New Roman"/>
          <w:color w:val="000000"/>
          <w:sz w:val="22"/>
          <w:szCs w:val="22"/>
        </w:rPr>
        <w:t xml:space="preserve"> group the 116 </w:t>
      </w:r>
      <w:r w:rsidRPr="00333C7B">
        <w:rPr>
          <w:rFonts w:ascii="Times" w:eastAsia="Times New Roman" w:hAnsi="Times" w:cs="Times New Roman"/>
          <w:color w:val="000000"/>
          <w:sz w:val="22"/>
          <w:szCs w:val="22"/>
        </w:rPr>
        <w:t xml:space="preserve">production </w:t>
      </w:r>
      <w:r>
        <w:rPr>
          <w:rFonts w:ascii="Times" w:eastAsia="Times New Roman" w:hAnsi="Times" w:cs="Times New Roman"/>
          <w:color w:val="000000"/>
          <w:sz w:val="22"/>
          <w:szCs w:val="22"/>
        </w:rPr>
        <w:t xml:space="preserve">facilities </w:t>
      </w:r>
      <w:r w:rsidRPr="00333C7B">
        <w:rPr>
          <w:rFonts w:eastAsia="SimSun" w:cs="Times New Roman"/>
          <w:color w:val="000000"/>
          <w:sz w:val="22"/>
          <w:szCs w:val="22"/>
        </w:rPr>
        <w:t>into 5 clusters, and then regroup the lowest and highest clusters to their closest groups, respectively. We end up with three clusters, each representing one subsector in the aluminum sector</w:t>
      </w:r>
      <w:r>
        <w:rPr>
          <w:rFonts w:eastAsia="SimSun" w:cs="Times New Roman" w:hint="eastAsia"/>
          <w:color w:val="000000"/>
          <w:sz w:val="22"/>
          <w:szCs w:val="22"/>
        </w:rPr>
        <w:t>,</w:t>
      </w:r>
      <w:r>
        <w:rPr>
          <w:rFonts w:eastAsia="SimSun" w:cs="Times New Roman"/>
          <w:color w:val="000000"/>
          <w:sz w:val="22"/>
          <w:szCs w:val="22"/>
        </w:rPr>
        <w:t xml:space="preserve"> as shown in Table B3 and Figure B2</w:t>
      </w:r>
      <w:r w:rsidRPr="00333C7B">
        <w:rPr>
          <w:rFonts w:eastAsia="SimSun" w:cs="Times New Roman"/>
          <w:color w:val="000000"/>
          <w:sz w:val="22"/>
          <w:szCs w:val="22"/>
        </w:rPr>
        <w:t xml:space="preserve">. </w:t>
      </w:r>
    </w:p>
    <w:p w14:paraId="18026194" w14:textId="77777777" w:rsidR="008F30F4" w:rsidRDefault="008F30F4" w:rsidP="008F30F4">
      <w:pPr>
        <w:ind w:firstLineChars="200" w:firstLine="440"/>
        <w:jc w:val="center"/>
        <w:rPr>
          <w:rFonts w:eastAsia="DengXian" w:cs="Times New Roman"/>
          <w:b/>
          <w:bCs/>
          <w:sz w:val="22"/>
          <w:szCs w:val="20"/>
        </w:rPr>
      </w:pPr>
    </w:p>
    <w:p w14:paraId="2E6618C6" w14:textId="77777777" w:rsidR="008F30F4" w:rsidRDefault="008F30F4" w:rsidP="008F30F4">
      <w:pPr>
        <w:ind w:firstLineChars="200" w:firstLine="440"/>
        <w:jc w:val="center"/>
        <w:rPr>
          <w:rFonts w:eastAsia="DengXian" w:cs="Times New Roman"/>
          <w:b/>
          <w:bCs/>
          <w:sz w:val="22"/>
          <w:szCs w:val="20"/>
        </w:rPr>
      </w:pPr>
      <w:r w:rsidRPr="00333C7B">
        <w:rPr>
          <w:rFonts w:eastAsia="DengXian" w:cs="Times New Roman"/>
          <w:b/>
          <w:bCs/>
          <w:sz w:val="22"/>
          <w:szCs w:val="20"/>
        </w:rPr>
        <w:t xml:space="preserve">Table </w:t>
      </w:r>
      <w:r>
        <w:rPr>
          <w:rFonts w:eastAsia="DengXian" w:cs="Times New Roman"/>
          <w:b/>
          <w:bCs/>
          <w:sz w:val="22"/>
          <w:szCs w:val="20"/>
        </w:rPr>
        <w:t>B3</w:t>
      </w:r>
      <w:r w:rsidRPr="00333C7B">
        <w:rPr>
          <w:rFonts w:eastAsia="DengXian" w:cs="Times New Roman"/>
          <w:b/>
          <w:bCs/>
          <w:sz w:val="22"/>
          <w:szCs w:val="20"/>
        </w:rPr>
        <w:t>. Subsectors of the Aluminum Sector</w:t>
      </w:r>
    </w:p>
    <w:tbl>
      <w:tblPr>
        <w:tblW w:w="8640" w:type="dxa"/>
        <w:tblBorders>
          <w:top w:val="single" w:sz="4" w:space="0" w:color="auto"/>
          <w:bottom w:val="single" w:sz="4" w:space="0" w:color="auto"/>
        </w:tblBorders>
        <w:tblLook w:val="04A0" w:firstRow="1" w:lastRow="0" w:firstColumn="1" w:lastColumn="0" w:noHBand="0" w:noVBand="1"/>
      </w:tblPr>
      <w:tblGrid>
        <w:gridCol w:w="2250"/>
        <w:gridCol w:w="6390"/>
      </w:tblGrid>
      <w:tr w:rsidR="008F30F4" w:rsidRPr="00333C7B" w14:paraId="6A236402" w14:textId="77777777" w:rsidTr="001F21E7">
        <w:trPr>
          <w:trHeight w:val="373"/>
        </w:trPr>
        <w:tc>
          <w:tcPr>
            <w:tcW w:w="2250" w:type="dxa"/>
            <w:tcBorders>
              <w:top w:val="single" w:sz="4" w:space="0" w:color="auto"/>
              <w:bottom w:val="single" w:sz="4" w:space="0" w:color="auto"/>
            </w:tcBorders>
            <w:shd w:val="clear" w:color="auto" w:fill="auto"/>
            <w:noWrap/>
            <w:vAlign w:val="center"/>
            <w:hideMark/>
          </w:tcPr>
          <w:p w14:paraId="1DD12BA3" w14:textId="77777777" w:rsidR="008F30F4" w:rsidRPr="00AA1822" w:rsidRDefault="008F30F4" w:rsidP="001F21E7">
            <w:pPr>
              <w:spacing w:before="0" w:line="240" w:lineRule="auto"/>
              <w:ind w:firstLine="0"/>
              <w:contextualSpacing/>
              <w:jc w:val="center"/>
              <w:rPr>
                <w:rFonts w:eastAsia="Times New Roman" w:cs="Times New Roman"/>
                <w:color w:val="000000"/>
                <w:sz w:val="22"/>
                <w:szCs w:val="22"/>
              </w:rPr>
            </w:pPr>
            <w:r w:rsidRPr="00AA1822">
              <w:rPr>
                <w:rFonts w:eastAsia="Times New Roman" w:cs="Times New Roman"/>
                <w:color w:val="000000"/>
                <w:sz w:val="22"/>
                <w:szCs w:val="22"/>
              </w:rPr>
              <w:t>Subsector</w:t>
            </w:r>
          </w:p>
        </w:tc>
        <w:tc>
          <w:tcPr>
            <w:tcW w:w="6390" w:type="dxa"/>
            <w:tcBorders>
              <w:top w:val="single" w:sz="4" w:space="0" w:color="auto"/>
              <w:bottom w:val="single" w:sz="4" w:space="0" w:color="auto"/>
            </w:tcBorders>
            <w:shd w:val="clear" w:color="auto" w:fill="auto"/>
            <w:vAlign w:val="center"/>
          </w:tcPr>
          <w:p w14:paraId="7C83DF88" w14:textId="77777777" w:rsidR="008F30F4" w:rsidRPr="00AA1822" w:rsidRDefault="008F30F4" w:rsidP="001F21E7">
            <w:pPr>
              <w:spacing w:before="0" w:line="240" w:lineRule="auto"/>
              <w:ind w:firstLine="0"/>
              <w:contextualSpacing/>
              <w:jc w:val="center"/>
              <w:rPr>
                <w:rFonts w:eastAsia="Times New Roman" w:cs="Times New Roman"/>
                <w:color w:val="000000"/>
                <w:sz w:val="22"/>
                <w:szCs w:val="22"/>
              </w:rPr>
            </w:pPr>
            <w:r w:rsidRPr="00AA1822">
              <w:rPr>
                <w:rFonts w:eastAsia="DengXian" w:cs="Times New Roman" w:hint="eastAsia"/>
                <w:color w:val="000000"/>
                <w:sz w:val="22"/>
                <w:szCs w:val="22"/>
              </w:rPr>
              <w:t>C</w:t>
            </w:r>
            <w:r w:rsidRPr="00AA1822">
              <w:rPr>
                <w:rFonts w:eastAsia="DengXian" w:cs="Times New Roman"/>
                <w:color w:val="000000"/>
                <w:sz w:val="22"/>
                <w:szCs w:val="22"/>
              </w:rPr>
              <w:t>O</w:t>
            </w:r>
            <w:r w:rsidRPr="00AA1822">
              <w:rPr>
                <w:rFonts w:eastAsia="DengXian" w:cs="Times New Roman"/>
                <w:color w:val="000000"/>
                <w:sz w:val="22"/>
                <w:szCs w:val="22"/>
                <w:vertAlign w:val="subscript"/>
              </w:rPr>
              <w:t>2</w:t>
            </w:r>
            <w:r w:rsidRPr="00AA1822">
              <w:rPr>
                <w:rFonts w:eastAsia="DengXian" w:cs="Times New Roman"/>
                <w:color w:val="000000"/>
                <w:sz w:val="22"/>
                <w:szCs w:val="22"/>
              </w:rPr>
              <w:t xml:space="preserve"> emissions intensity</w:t>
            </w:r>
          </w:p>
        </w:tc>
      </w:tr>
      <w:tr w:rsidR="008F30F4" w:rsidRPr="00333C7B" w14:paraId="1FEFFAEB" w14:textId="77777777" w:rsidTr="001F21E7">
        <w:trPr>
          <w:trHeight w:val="373"/>
        </w:trPr>
        <w:tc>
          <w:tcPr>
            <w:tcW w:w="2250" w:type="dxa"/>
            <w:tcBorders>
              <w:top w:val="single" w:sz="4" w:space="0" w:color="auto"/>
            </w:tcBorders>
            <w:shd w:val="clear" w:color="auto" w:fill="auto"/>
            <w:noWrap/>
            <w:vAlign w:val="center"/>
          </w:tcPr>
          <w:p w14:paraId="6AC08773" w14:textId="77777777" w:rsidR="008F30F4" w:rsidRPr="00DE70C1" w:rsidRDefault="008F30F4" w:rsidP="001F21E7">
            <w:pPr>
              <w:spacing w:before="0" w:line="240" w:lineRule="auto"/>
              <w:ind w:firstLine="0"/>
              <w:contextualSpacing/>
              <w:rPr>
                <w:rFonts w:eastAsia="DengXian" w:cs="Times New Roman"/>
                <w:color w:val="000000"/>
                <w:sz w:val="22"/>
                <w:szCs w:val="22"/>
              </w:rPr>
            </w:pPr>
            <w:r w:rsidRPr="00293AC7">
              <w:rPr>
                <w:sz w:val="22"/>
                <w:szCs w:val="22"/>
              </w:rPr>
              <w:t>High efficiency</w:t>
            </w:r>
          </w:p>
        </w:tc>
        <w:tc>
          <w:tcPr>
            <w:tcW w:w="6390" w:type="dxa"/>
            <w:tcBorders>
              <w:top w:val="single" w:sz="4" w:space="0" w:color="auto"/>
            </w:tcBorders>
            <w:shd w:val="clear" w:color="auto" w:fill="auto"/>
            <w:vAlign w:val="center"/>
          </w:tcPr>
          <w:p w14:paraId="7719481A" w14:textId="77777777" w:rsidR="008F30F4" w:rsidRPr="00DE70C1" w:rsidRDefault="008F30F4" w:rsidP="001F21E7">
            <w:pPr>
              <w:spacing w:before="0" w:line="240" w:lineRule="auto"/>
              <w:ind w:firstLine="0"/>
              <w:contextualSpacing/>
              <w:jc w:val="center"/>
              <w:rPr>
                <w:rFonts w:eastAsia="DengXian" w:cs="Times New Roman"/>
                <w:color w:val="000000"/>
                <w:sz w:val="22"/>
                <w:szCs w:val="22"/>
              </w:rPr>
            </w:pPr>
            <w:r w:rsidRPr="00293AC7">
              <w:rPr>
                <w:sz w:val="22"/>
                <w:szCs w:val="22"/>
              </w:rPr>
              <w:t>CO</w:t>
            </w:r>
            <w:r w:rsidRPr="00293AC7">
              <w:rPr>
                <w:sz w:val="22"/>
                <w:szCs w:val="22"/>
                <w:vertAlign w:val="subscript"/>
              </w:rPr>
              <w:t>2</w:t>
            </w:r>
            <w:r w:rsidRPr="00293AC7">
              <w:rPr>
                <w:sz w:val="22"/>
                <w:szCs w:val="22"/>
              </w:rPr>
              <w:t xml:space="preserve"> emissions intensity &lt; 8.00 tCO</w:t>
            </w:r>
            <w:r w:rsidRPr="00293AC7">
              <w:rPr>
                <w:sz w:val="22"/>
                <w:szCs w:val="22"/>
                <w:vertAlign w:val="subscript"/>
              </w:rPr>
              <w:t>2</w:t>
            </w:r>
            <w:r w:rsidRPr="00293AC7">
              <w:rPr>
                <w:sz w:val="22"/>
                <w:szCs w:val="22"/>
              </w:rPr>
              <w:t>/ ton aluminum</w:t>
            </w:r>
          </w:p>
        </w:tc>
      </w:tr>
      <w:tr w:rsidR="008F30F4" w:rsidRPr="00333C7B" w14:paraId="3E19470B" w14:textId="77777777" w:rsidTr="001F21E7">
        <w:trPr>
          <w:trHeight w:val="373"/>
        </w:trPr>
        <w:tc>
          <w:tcPr>
            <w:tcW w:w="2250" w:type="dxa"/>
            <w:tcBorders>
              <w:bottom w:val="nil"/>
            </w:tcBorders>
            <w:shd w:val="clear" w:color="auto" w:fill="auto"/>
            <w:noWrap/>
            <w:vAlign w:val="center"/>
          </w:tcPr>
          <w:p w14:paraId="5479CB62" w14:textId="77777777" w:rsidR="008F30F4" w:rsidRPr="00DE70C1" w:rsidRDefault="008F30F4" w:rsidP="001F21E7">
            <w:pPr>
              <w:spacing w:before="0" w:line="240" w:lineRule="auto"/>
              <w:ind w:firstLine="0"/>
              <w:contextualSpacing/>
              <w:rPr>
                <w:rFonts w:eastAsia="Times New Roman" w:cs="Times New Roman"/>
                <w:b/>
                <w:bCs/>
                <w:color w:val="000000"/>
                <w:sz w:val="22"/>
                <w:szCs w:val="22"/>
              </w:rPr>
            </w:pPr>
            <w:r w:rsidRPr="00293AC7">
              <w:rPr>
                <w:sz w:val="22"/>
                <w:szCs w:val="22"/>
              </w:rPr>
              <w:t>Medium efficiency</w:t>
            </w:r>
          </w:p>
        </w:tc>
        <w:tc>
          <w:tcPr>
            <w:tcW w:w="6390" w:type="dxa"/>
            <w:tcBorders>
              <w:bottom w:val="nil"/>
            </w:tcBorders>
            <w:shd w:val="clear" w:color="auto" w:fill="auto"/>
            <w:vAlign w:val="center"/>
          </w:tcPr>
          <w:p w14:paraId="5F7C496A" w14:textId="77777777" w:rsidR="008F30F4" w:rsidRPr="00DE70C1" w:rsidRDefault="008F30F4" w:rsidP="001F21E7">
            <w:pPr>
              <w:spacing w:before="0" w:line="240" w:lineRule="auto"/>
              <w:ind w:right="-411" w:firstLine="0"/>
              <w:contextualSpacing/>
              <w:jc w:val="center"/>
              <w:rPr>
                <w:rFonts w:eastAsia="Times New Roman" w:cs="Times New Roman"/>
                <w:b/>
                <w:bCs/>
                <w:color w:val="000000"/>
                <w:sz w:val="22"/>
                <w:szCs w:val="22"/>
              </w:rPr>
            </w:pPr>
            <w:r w:rsidRPr="00293AC7">
              <w:rPr>
                <w:sz w:val="22"/>
                <w:szCs w:val="22"/>
              </w:rPr>
              <w:t>8.33 &gt; CO</w:t>
            </w:r>
            <w:r w:rsidRPr="00293AC7">
              <w:rPr>
                <w:sz w:val="22"/>
                <w:szCs w:val="22"/>
                <w:vertAlign w:val="subscript"/>
              </w:rPr>
              <w:t>2</w:t>
            </w:r>
            <w:r w:rsidRPr="00293AC7">
              <w:rPr>
                <w:sz w:val="22"/>
                <w:szCs w:val="22"/>
              </w:rPr>
              <w:t xml:space="preserve"> emissions intensity </w:t>
            </w:r>
            <w:r w:rsidRPr="00293AC7">
              <w:rPr>
                <w:rFonts w:hint="eastAsia"/>
                <w:sz w:val="22"/>
                <w:szCs w:val="22"/>
              </w:rPr>
              <w:t>≥</w:t>
            </w:r>
            <w:r w:rsidRPr="00293AC7">
              <w:rPr>
                <w:sz w:val="22"/>
                <w:szCs w:val="22"/>
              </w:rPr>
              <w:t xml:space="preserve"> 8.00 tCO</w:t>
            </w:r>
            <w:r w:rsidRPr="00293AC7">
              <w:rPr>
                <w:sz w:val="22"/>
                <w:szCs w:val="22"/>
                <w:vertAlign w:val="subscript"/>
              </w:rPr>
              <w:t>2</w:t>
            </w:r>
            <w:r w:rsidRPr="00293AC7">
              <w:rPr>
                <w:sz w:val="22"/>
                <w:szCs w:val="22"/>
              </w:rPr>
              <w:t>/ ton aluminum</w:t>
            </w:r>
          </w:p>
        </w:tc>
      </w:tr>
      <w:tr w:rsidR="008F30F4" w:rsidRPr="00333C7B" w14:paraId="4ABBD9D3" w14:textId="77777777" w:rsidTr="001F21E7">
        <w:trPr>
          <w:trHeight w:val="373"/>
        </w:trPr>
        <w:tc>
          <w:tcPr>
            <w:tcW w:w="2250" w:type="dxa"/>
            <w:tcBorders>
              <w:top w:val="nil"/>
              <w:bottom w:val="single" w:sz="4" w:space="0" w:color="auto"/>
            </w:tcBorders>
            <w:shd w:val="clear" w:color="auto" w:fill="auto"/>
            <w:noWrap/>
            <w:vAlign w:val="center"/>
          </w:tcPr>
          <w:p w14:paraId="6AC73B2C" w14:textId="77777777" w:rsidR="008F30F4" w:rsidRPr="00DE70C1" w:rsidRDefault="008F30F4" w:rsidP="001F21E7">
            <w:pPr>
              <w:spacing w:before="0" w:line="240" w:lineRule="auto"/>
              <w:ind w:firstLine="0"/>
              <w:contextualSpacing/>
              <w:rPr>
                <w:rFonts w:eastAsia="Times New Roman" w:cs="Times New Roman"/>
                <w:b/>
                <w:bCs/>
                <w:color w:val="000000"/>
                <w:sz w:val="22"/>
                <w:szCs w:val="22"/>
              </w:rPr>
            </w:pPr>
            <w:r w:rsidRPr="00293AC7">
              <w:rPr>
                <w:sz w:val="22"/>
                <w:szCs w:val="22"/>
              </w:rPr>
              <w:t>Low efficiency</w:t>
            </w:r>
          </w:p>
        </w:tc>
        <w:tc>
          <w:tcPr>
            <w:tcW w:w="6390" w:type="dxa"/>
            <w:tcBorders>
              <w:top w:val="nil"/>
              <w:bottom w:val="single" w:sz="4" w:space="0" w:color="auto"/>
            </w:tcBorders>
            <w:shd w:val="clear" w:color="auto" w:fill="auto"/>
            <w:vAlign w:val="center"/>
          </w:tcPr>
          <w:p w14:paraId="78360071" w14:textId="77777777" w:rsidR="008F30F4" w:rsidRPr="00DE70C1" w:rsidRDefault="008F30F4" w:rsidP="001F21E7">
            <w:pPr>
              <w:spacing w:before="0" w:line="240" w:lineRule="auto"/>
              <w:ind w:firstLine="0"/>
              <w:contextualSpacing/>
              <w:jc w:val="center"/>
              <w:rPr>
                <w:rFonts w:eastAsia="Times New Roman" w:cs="Times New Roman"/>
                <w:b/>
                <w:bCs/>
                <w:color w:val="000000"/>
                <w:sz w:val="22"/>
                <w:szCs w:val="22"/>
              </w:rPr>
            </w:pPr>
            <w:r w:rsidRPr="00293AC7">
              <w:rPr>
                <w:sz w:val="22"/>
                <w:szCs w:val="22"/>
              </w:rPr>
              <w:t>CO</w:t>
            </w:r>
            <w:r w:rsidRPr="00293AC7">
              <w:rPr>
                <w:sz w:val="22"/>
                <w:szCs w:val="22"/>
                <w:vertAlign w:val="subscript"/>
              </w:rPr>
              <w:t>2</w:t>
            </w:r>
            <w:r w:rsidRPr="00293AC7">
              <w:rPr>
                <w:sz w:val="22"/>
                <w:szCs w:val="22"/>
              </w:rPr>
              <w:t xml:space="preserve"> emissions intensity </w:t>
            </w:r>
            <w:r w:rsidRPr="00293AC7">
              <w:rPr>
                <w:rFonts w:hint="eastAsia"/>
                <w:sz w:val="22"/>
                <w:szCs w:val="22"/>
              </w:rPr>
              <w:t>≥</w:t>
            </w:r>
            <w:r w:rsidRPr="00293AC7">
              <w:rPr>
                <w:sz w:val="22"/>
                <w:szCs w:val="22"/>
              </w:rPr>
              <w:t xml:space="preserve"> 8.33 tCO</w:t>
            </w:r>
            <w:r w:rsidRPr="00293AC7">
              <w:rPr>
                <w:sz w:val="22"/>
                <w:szCs w:val="22"/>
                <w:vertAlign w:val="subscript"/>
              </w:rPr>
              <w:t>2</w:t>
            </w:r>
            <w:r w:rsidRPr="00293AC7">
              <w:rPr>
                <w:sz w:val="22"/>
                <w:szCs w:val="22"/>
              </w:rPr>
              <w:t>/ ton aluminum</w:t>
            </w:r>
          </w:p>
        </w:tc>
      </w:tr>
    </w:tbl>
    <w:p w14:paraId="23A04759" w14:textId="77777777" w:rsidR="008F30F4" w:rsidRDefault="008F30F4" w:rsidP="008F30F4">
      <w:pPr>
        <w:ind w:firstLine="0"/>
        <w:jc w:val="center"/>
        <w:rPr>
          <w:rFonts w:eastAsia="DengXian" w:cs="Times New Roman"/>
          <w:b/>
          <w:bCs/>
          <w:sz w:val="22"/>
          <w:szCs w:val="20"/>
        </w:rPr>
      </w:pPr>
      <w:r w:rsidRPr="00333C7B">
        <w:rPr>
          <w:rFonts w:eastAsia="DengXian" w:cs="Times New Roman"/>
          <w:noProof/>
          <w:sz w:val="16"/>
          <w:szCs w:val="16"/>
          <w:lang w:eastAsia="en-US"/>
        </w:rPr>
        <w:drawing>
          <wp:anchor distT="0" distB="0" distL="114300" distR="114300" simplePos="0" relativeHeight="251675648" behindDoc="0" locked="0" layoutInCell="1" allowOverlap="0" wp14:anchorId="476854E1" wp14:editId="088D041F">
            <wp:simplePos x="0" y="0"/>
            <wp:positionH relativeFrom="margin">
              <wp:posOffset>1001667</wp:posOffset>
            </wp:positionH>
            <wp:positionV relativeFrom="paragraph">
              <wp:posOffset>285750</wp:posOffset>
            </wp:positionV>
            <wp:extent cx="3694765" cy="3191256"/>
            <wp:effectExtent l="0" t="0" r="1270" b="0"/>
            <wp:wrapTopAndBottom/>
            <wp:docPr id="148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694765" cy="3191256"/>
                    </a:xfrm>
                    <a:prstGeom prst="rect">
                      <a:avLst/>
                    </a:prstGeom>
                    <a:noFill/>
                  </pic:spPr>
                </pic:pic>
              </a:graphicData>
            </a:graphic>
            <wp14:sizeRelH relativeFrom="page">
              <wp14:pctWidth>0</wp14:pctWidth>
            </wp14:sizeRelH>
            <wp14:sizeRelV relativeFrom="page">
              <wp14:pctHeight>0</wp14:pctHeight>
            </wp14:sizeRelV>
          </wp:anchor>
        </w:drawing>
      </w:r>
    </w:p>
    <w:p w14:paraId="56DDF70D" w14:textId="77777777" w:rsidR="008F30F4" w:rsidRPr="00F13FF2" w:rsidRDefault="008F30F4" w:rsidP="008F30F4">
      <w:pPr>
        <w:ind w:firstLine="0"/>
        <w:jc w:val="center"/>
        <w:rPr>
          <w:rFonts w:eastAsia="SimSun" w:cs="Times New Roman"/>
          <w:b/>
          <w:bCs/>
          <w:color w:val="000000"/>
          <w:sz w:val="22"/>
          <w:szCs w:val="18"/>
        </w:rPr>
      </w:pPr>
      <w:r w:rsidRPr="00193295">
        <w:rPr>
          <w:rFonts w:eastAsia="SimSun" w:cs="Times New Roman"/>
          <w:b/>
          <w:bCs/>
          <w:color w:val="000000"/>
          <w:sz w:val="22"/>
          <w:szCs w:val="18"/>
        </w:rPr>
        <w:t xml:space="preserve">Figure </w:t>
      </w:r>
      <w:r>
        <w:rPr>
          <w:rFonts w:eastAsia="SimSun" w:cs="Times New Roman"/>
          <w:b/>
          <w:bCs/>
          <w:color w:val="000000"/>
          <w:sz w:val="22"/>
          <w:szCs w:val="18"/>
        </w:rPr>
        <w:t>B2</w:t>
      </w:r>
      <w:r w:rsidRPr="00F13FF2">
        <w:rPr>
          <w:rFonts w:eastAsia="SimSun" w:cs="Times New Roman"/>
          <w:b/>
          <w:bCs/>
          <w:color w:val="000000"/>
          <w:sz w:val="22"/>
          <w:szCs w:val="18"/>
        </w:rPr>
        <w:t>. Clustering of Aluminum Sector by Emissions Intensity</w:t>
      </w:r>
    </w:p>
    <w:p w14:paraId="1C5B7FC6" w14:textId="77777777" w:rsidR="008F30F4" w:rsidRDefault="008F30F4" w:rsidP="008F30F4">
      <w:pPr>
        <w:ind w:firstLine="0"/>
        <w:jc w:val="center"/>
        <w:rPr>
          <w:rFonts w:eastAsia="DengXian" w:cs="Times New Roman"/>
          <w:b/>
          <w:bCs/>
          <w:sz w:val="22"/>
          <w:szCs w:val="20"/>
        </w:rPr>
      </w:pPr>
    </w:p>
    <w:p w14:paraId="7D417E6E" w14:textId="77777777" w:rsidR="008F30F4" w:rsidRDefault="008F30F4" w:rsidP="008F30F4">
      <w:pPr>
        <w:ind w:firstLine="0"/>
        <w:jc w:val="center"/>
        <w:rPr>
          <w:rFonts w:eastAsia="DengXian" w:cs="Times New Roman"/>
          <w:b/>
          <w:bCs/>
          <w:sz w:val="22"/>
          <w:szCs w:val="20"/>
        </w:rPr>
      </w:pPr>
    </w:p>
    <w:p w14:paraId="549C484E" w14:textId="77777777" w:rsidR="008F30F4" w:rsidRPr="00333C7B" w:rsidRDefault="008F30F4" w:rsidP="008F30F4">
      <w:pPr>
        <w:ind w:firstLine="0"/>
        <w:jc w:val="center"/>
        <w:rPr>
          <w:rFonts w:eastAsia="DengXian" w:cs="Times New Roman"/>
          <w:b/>
          <w:bCs/>
          <w:sz w:val="22"/>
          <w:szCs w:val="20"/>
        </w:rPr>
      </w:pPr>
    </w:p>
    <w:p w14:paraId="0A8ECC67" w14:textId="77777777" w:rsidR="008F30F4" w:rsidRPr="006D416B" w:rsidRDefault="008F30F4" w:rsidP="008F30F4">
      <w:pPr>
        <w:ind w:firstLine="0"/>
        <w:rPr>
          <w:rFonts w:eastAsia="SimSun" w:cs="Times New Roman"/>
          <w:b/>
          <w:bCs/>
          <w:i/>
          <w:iCs/>
          <w:color w:val="000000"/>
        </w:rPr>
      </w:pPr>
      <w:r w:rsidRPr="00F40B79">
        <w:rPr>
          <w:rFonts w:eastAsia="SimSun" w:cs="Times New Roman" w:hint="eastAsia"/>
          <w:b/>
          <w:bCs/>
          <w:i/>
          <w:iCs/>
          <w:color w:val="000000"/>
        </w:rPr>
        <w:lastRenderedPageBreak/>
        <w:t>I</w:t>
      </w:r>
      <w:r w:rsidRPr="006D416B">
        <w:rPr>
          <w:rFonts w:eastAsia="SimSun" w:cs="Times New Roman"/>
          <w:b/>
          <w:bCs/>
          <w:i/>
          <w:iCs/>
          <w:color w:val="000000"/>
        </w:rPr>
        <w:t>ron &amp; Steel</w:t>
      </w:r>
    </w:p>
    <w:p w14:paraId="23444CC2" w14:textId="77777777" w:rsidR="008F30F4" w:rsidRPr="00333C7B" w:rsidRDefault="008F30F4" w:rsidP="008F30F4">
      <w:pPr>
        <w:ind w:firstLineChars="327" w:firstLine="719"/>
        <w:rPr>
          <w:rFonts w:eastAsia="SimSun" w:cs="Times New Roman"/>
          <w:color w:val="000000"/>
          <w:sz w:val="22"/>
          <w:szCs w:val="20"/>
        </w:rPr>
      </w:pPr>
      <w:r w:rsidRPr="00333C7B">
        <w:rPr>
          <w:rFonts w:eastAsia="SimSun" w:cs="Times New Roman"/>
          <w:color w:val="000000"/>
          <w:sz w:val="22"/>
          <w:szCs w:val="20"/>
        </w:rPr>
        <w:t xml:space="preserve">We first classify iron &amp; steel units into two technology categories: basic oxygen (BO) steelmaking and electric arc (EA) furnace steelmaking. </w:t>
      </w:r>
      <w:r>
        <w:rPr>
          <w:rFonts w:eastAsia="SimSun" w:cs="Times New Roman"/>
          <w:color w:val="000000"/>
          <w:sz w:val="22"/>
          <w:szCs w:val="20"/>
        </w:rPr>
        <w:t xml:space="preserve">Units within each </w:t>
      </w:r>
      <w:r w:rsidRPr="00333C7B">
        <w:rPr>
          <w:rFonts w:eastAsia="SimSun" w:cs="Times New Roman"/>
          <w:color w:val="000000"/>
          <w:sz w:val="22"/>
          <w:szCs w:val="20"/>
        </w:rPr>
        <w:t xml:space="preserve">technology category </w:t>
      </w:r>
      <w:r>
        <w:rPr>
          <w:rFonts w:eastAsia="SimSun" w:cs="Times New Roman"/>
          <w:color w:val="000000"/>
          <w:sz w:val="22"/>
          <w:szCs w:val="20"/>
        </w:rPr>
        <w:t>are</w:t>
      </w:r>
      <w:r w:rsidRPr="00333C7B">
        <w:rPr>
          <w:rFonts w:eastAsia="SimSun" w:cs="Times New Roman"/>
          <w:color w:val="000000"/>
          <w:sz w:val="22"/>
          <w:szCs w:val="20"/>
        </w:rPr>
        <w:t xml:space="preserve"> further classified into subcategories based on </w:t>
      </w:r>
      <w:r>
        <w:rPr>
          <w:rFonts w:eastAsia="SimSun" w:cs="Times New Roman"/>
          <w:color w:val="000000"/>
          <w:sz w:val="22"/>
          <w:szCs w:val="20"/>
        </w:rPr>
        <w:t>their</w:t>
      </w:r>
      <w:r w:rsidRPr="00333C7B">
        <w:rPr>
          <w:rFonts w:eastAsia="SimSun" w:cs="Times New Roman"/>
          <w:color w:val="000000"/>
          <w:sz w:val="22"/>
          <w:szCs w:val="20"/>
        </w:rPr>
        <w:t xml:space="preserve"> </w:t>
      </w:r>
      <w:r>
        <w:rPr>
          <w:rFonts w:eastAsia="SimSun" w:cs="Times New Roman"/>
          <w:color w:val="000000"/>
          <w:sz w:val="22"/>
          <w:szCs w:val="20"/>
        </w:rPr>
        <w:t>observed</w:t>
      </w:r>
      <w:r w:rsidRPr="00333C7B">
        <w:rPr>
          <w:rFonts w:eastAsia="SimSun" w:cs="Times New Roman"/>
          <w:color w:val="000000"/>
          <w:sz w:val="22"/>
          <w:szCs w:val="20"/>
        </w:rPr>
        <w:t xml:space="preserve"> emissions intensities. </w:t>
      </w:r>
    </w:p>
    <w:p w14:paraId="0E4170F1" w14:textId="77777777" w:rsidR="008F30F4" w:rsidRPr="00333C7B" w:rsidRDefault="008F30F4" w:rsidP="008F30F4">
      <w:pPr>
        <w:ind w:firstLineChars="327" w:firstLine="719"/>
        <w:rPr>
          <w:rFonts w:eastAsia="SimSun" w:cs="Times New Roman"/>
          <w:color w:val="000000"/>
          <w:sz w:val="22"/>
          <w:szCs w:val="20"/>
        </w:rPr>
      </w:pPr>
      <w:r w:rsidRPr="00333C7B">
        <w:rPr>
          <w:rFonts w:eastAsia="SimSun" w:cs="Times New Roman"/>
          <w:color w:val="000000"/>
          <w:sz w:val="22"/>
          <w:szCs w:val="20"/>
        </w:rPr>
        <w:t>There are 187 BO steelmaking units with a total production of 600 million tons of crude steel, and 262 EA steelmaking units with a total production of 133 million tons of crude steel. In total, our data cover 88% of the national crude steel production in 2017.</w:t>
      </w:r>
      <w:r>
        <w:rPr>
          <w:rStyle w:val="FootnoteReference"/>
          <w:rFonts w:eastAsia="SimSun" w:cs="Times New Roman"/>
          <w:color w:val="000000"/>
          <w:sz w:val="22"/>
          <w:szCs w:val="20"/>
        </w:rPr>
        <w:footnoteReference w:id="5"/>
      </w:r>
    </w:p>
    <w:p w14:paraId="7F968572" w14:textId="77777777" w:rsidR="008F30F4" w:rsidRDefault="008F30F4" w:rsidP="008F30F4">
      <w:pPr>
        <w:ind w:firstLineChars="327" w:firstLine="719"/>
        <w:rPr>
          <w:rFonts w:eastAsia="SimSun" w:cs="Times New Roman"/>
          <w:color w:val="000000"/>
          <w:sz w:val="22"/>
          <w:szCs w:val="20"/>
        </w:rPr>
      </w:pPr>
      <w:r w:rsidRPr="00333C7B">
        <w:rPr>
          <w:rFonts w:eastAsia="SimSun" w:cs="Times New Roman"/>
          <w:color w:val="000000"/>
          <w:sz w:val="22"/>
          <w:szCs w:val="20"/>
        </w:rPr>
        <w:t xml:space="preserve">We use the same clustering method as </w:t>
      </w:r>
      <w:r>
        <w:rPr>
          <w:rFonts w:eastAsia="SimSun" w:cs="Times New Roman"/>
          <w:color w:val="000000"/>
          <w:sz w:val="22"/>
          <w:szCs w:val="20"/>
        </w:rPr>
        <w:t xml:space="preserve">the one applied for </w:t>
      </w:r>
      <w:r w:rsidRPr="00333C7B">
        <w:rPr>
          <w:rFonts w:eastAsia="SimSun" w:cs="Times New Roman"/>
          <w:color w:val="000000"/>
          <w:sz w:val="22"/>
          <w:szCs w:val="20"/>
        </w:rPr>
        <w:t xml:space="preserve">cement and aluminum. We </w:t>
      </w:r>
      <w:r>
        <w:rPr>
          <w:rFonts w:eastAsia="SimSun" w:cs="Times New Roman" w:hint="eastAsia"/>
          <w:color w:val="000000"/>
          <w:sz w:val="22"/>
          <w:szCs w:val="20"/>
        </w:rPr>
        <w:t>first</w:t>
      </w:r>
      <w:r>
        <w:rPr>
          <w:rFonts w:eastAsia="SimSun" w:cs="Times New Roman"/>
          <w:color w:val="000000"/>
          <w:sz w:val="22"/>
          <w:szCs w:val="20"/>
        </w:rPr>
        <w:t xml:space="preserve"> </w:t>
      </w:r>
      <w:r w:rsidRPr="00333C7B">
        <w:rPr>
          <w:rFonts w:eastAsia="SimSun" w:cs="Times New Roman"/>
          <w:color w:val="000000"/>
          <w:sz w:val="22"/>
          <w:szCs w:val="20"/>
        </w:rPr>
        <w:t xml:space="preserve">cluster the 187 BO steelmaking units into 5 clusters, and then regroup the lowest and highest ones to their closest groups, respectively. We end up with three clusters, each representing one subsector in BO steelmaking units. Similarly, we cluster the 259 EA steelmaking units into 5 clusters, and then regroup the lowest and highest clusters to their closest groups, respectively, and we end up with three clusters, each representing one subsector in EA steelmaking units.  </w:t>
      </w:r>
    </w:p>
    <w:p w14:paraId="4C8A5396" w14:textId="77777777" w:rsidR="008F30F4" w:rsidRPr="00333C7B" w:rsidRDefault="008F30F4" w:rsidP="008F30F4">
      <w:pPr>
        <w:ind w:firstLine="0"/>
        <w:rPr>
          <w:rFonts w:eastAsia="SimSun" w:cs="Times New Roman"/>
          <w:color w:val="000000"/>
          <w:szCs w:val="20"/>
        </w:rPr>
      </w:pPr>
    </w:p>
    <w:p w14:paraId="71B56DFE" w14:textId="77777777" w:rsidR="008F30F4" w:rsidRPr="00333C7B" w:rsidRDefault="008F30F4" w:rsidP="008F30F4">
      <w:pPr>
        <w:ind w:firstLineChars="200" w:firstLine="440"/>
        <w:jc w:val="center"/>
        <w:rPr>
          <w:rFonts w:eastAsia="DengXian" w:cs="Times New Roman"/>
          <w:b/>
          <w:bCs/>
          <w:sz w:val="22"/>
          <w:szCs w:val="20"/>
        </w:rPr>
      </w:pPr>
      <w:r w:rsidRPr="00333C7B">
        <w:rPr>
          <w:rFonts w:eastAsia="DengXian" w:cs="Times New Roman"/>
          <w:b/>
          <w:bCs/>
          <w:sz w:val="22"/>
          <w:szCs w:val="20"/>
        </w:rPr>
        <w:t xml:space="preserve">Table </w:t>
      </w:r>
      <w:r>
        <w:rPr>
          <w:rFonts w:eastAsia="DengXian" w:cs="Times New Roman"/>
          <w:b/>
          <w:bCs/>
          <w:sz w:val="22"/>
          <w:szCs w:val="20"/>
        </w:rPr>
        <w:t>B4</w:t>
      </w:r>
      <w:r w:rsidRPr="00333C7B">
        <w:rPr>
          <w:rFonts w:eastAsia="DengXian" w:cs="Times New Roman"/>
          <w:b/>
          <w:bCs/>
          <w:sz w:val="22"/>
          <w:szCs w:val="20"/>
        </w:rPr>
        <w:t>. Subsectors of the Iron &amp; Steel Sector</w:t>
      </w:r>
    </w:p>
    <w:tbl>
      <w:tblPr>
        <w:tblW w:w="8730" w:type="dxa"/>
        <w:tblBorders>
          <w:top w:val="single" w:sz="4" w:space="0" w:color="auto"/>
          <w:bottom w:val="single" w:sz="4" w:space="0" w:color="auto"/>
        </w:tblBorders>
        <w:tblLook w:val="04A0" w:firstRow="1" w:lastRow="0" w:firstColumn="1" w:lastColumn="0" w:noHBand="0" w:noVBand="1"/>
      </w:tblPr>
      <w:tblGrid>
        <w:gridCol w:w="3016"/>
        <w:gridCol w:w="5714"/>
      </w:tblGrid>
      <w:tr w:rsidR="008F30F4" w:rsidRPr="00AA1822" w14:paraId="2F12482B" w14:textId="77777777" w:rsidTr="001F21E7">
        <w:trPr>
          <w:trHeight w:val="374"/>
        </w:trPr>
        <w:tc>
          <w:tcPr>
            <w:tcW w:w="3016" w:type="dxa"/>
            <w:tcBorders>
              <w:top w:val="single" w:sz="4" w:space="0" w:color="auto"/>
              <w:bottom w:val="single" w:sz="4" w:space="0" w:color="auto"/>
            </w:tcBorders>
            <w:shd w:val="clear" w:color="auto" w:fill="auto"/>
            <w:noWrap/>
            <w:vAlign w:val="center"/>
            <w:hideMark/>
          </w:tcPr>
          <w:p w14:paraId="58499492" w14:textId="77777777" w:rsidR="008F30F4" w:rsidRPr="00AA1822" w:rsidRDefault="008F30F4" w:rsidP="001F21E7">
            <w:pPr>
              <w:spacing w:before="0" w:line="240" w:lineRule="auto"/>
              <w:ind w:firstLine="0"/>
              <w:contextualSpacing/>
              <w:jc w:val="center"/>
              <w:rPr>
                <w:rFonts w:eastAsia="Times New Roman" w:cs="Times New Roman"/>
                <w:color w:val="000000"/>
                <w:sz w:val="22"/>
              </w:rPr>
            </w:pPr>
            <w:r w:rsidRPr="00AA1822">
              <w:rPr>
                <w:rFonts w:eastAsia="Times New Roman" w:cs="Times New Roman"/>
                <w:color w:val="000000"/>
                <w:sz w:val="22"/>
              </w:rPr>
              <w:t>Subsector</w:t>
            </w:r>
          </w:p>
        </w:tc>
        <w:tc>
          <w:tcPr>
            <w:tcW w:w="5714" w:type="dxa"/>
            <w:tcBorders>
              <w:top w:val="single" w:sz="4" w:space="0" w:color="auto"/>
              <w:bottom w:val="single" w:sz="4" w:space="0" w:color="auto"/>
            </w:tcBorders>
            <w:shd w:val="clear" w:color="auto" w:fill="auto"/>
            <w:noWrap/>
            <w:vAlign w:val="center"/>
            <w:hideMark/>
          </w:tcPr>
          <w:p w14:paraId="19D58314" w14:textId="77777777" w:rsidR="008F30F4" w:rsidRPr="00AA1822" w:rsidRDefault="008F30F4" w:rsidP="001F21E7">
            <w:pPr>
              <w:spacing w:before="0" w:line="240" w:lineRule="auto"/>
              <w:ind w:firstLine="0"/>
              <w:contextualSpacing/>
              <w:jc w:val="center"/>
              <w:rPr>
                <w:rFonts w:eastAsia="Times New Roman" w:cs="Times New Roman"/>
                <w:color w:val="000000"/>
                <w:sz w:val="22"/>
              </w:rPr>
            </w:pPr>
            <w:r w:rsidRPr="00AA1822">
              <w:rPr>
                <w:rFonts w:eastAsia="DengXian" w:cs="Times New Roman" w:hint="eastAsia"/>
                <w:color w:val="000000"/>
                <w:sz w:val="22"/>
              </w:rPr>
              <w:t>C</w:t>
            </w:r>
            <w:r w:rsidRPr="00AA1822">
              <w:rPr>
                <w:rFonts w:eastAsia="DengXian" w:cs="Times New Roman"/>
                <w:color w:val="000000"/>
                <w:sz w:val="22"/>
              </w:rPr>
              <w:t>O</w:t>
            </w:r>
            <w:r w:rsidRPr="00AA1822">
              <w:rPr>
                <w:rFonts w:eastAsia="DengXian" w:cs="Times New Roman"/>
                <w:color w:val="000000"/>
                <w:sz w:val="15"/>
                <w:szCs w:val="15"/>
              </w:rPr>
              <w:t>2</w:t>
            </w:r>
            <w:r w:rsidRPr="00AA1822">
              <w:rPr>
                <w:rFonts w:eastAsia="DengXian" w:cs="Times New Roman"/>
                <w:color w:val="000000"/>
                <w:sz w:val="22"/>
              </w:rPr>
              <w:t xml:space="preserve"> emissions intensity</w:t>
            </w:r>
          </w:p>
        </w:tc>
      </w:tr>
      <w:tr w:rsidR="008F30F4" w:rsidRPr="00333C7B" w14:paraId="757C880D" w14:textId="77777777" w:rsidTr="001F21E7">
        <w:trPr>
          <w:trHeight w:val="374"/>
        </w:trPr>
        <w:tc>
          <w:tcPr>
            <w:tcW w:w="3016" w:type="dxa"/>
            <w:vMerge w:val="restart"/>
            <w:tcBorders>
              <w:top w:val="single" w:sz="4" w:space="0" w:color="auto"/>
              <w:bottom w:val="nil"/>
            </w:tcBorders>
            <w:shd w:val="clear" w:color="auto" w:fill="auto"/>
            <w:vAlign w:val="center"/>
            <w:hideMark/>
          </w:tcPr>
          <w:p w14:paraId="6B677269" w14:textId="77777777" w:rsidR="008F30F4" w:rsidRPr="00333C7B" w:rsidRDefault="008F30F4" w:rsidP="001F21E7">
            <w:pPr>
              <w:spacing w:before="0" w:line="240" w:lineRule="auto"/>
              <w:ind w:firstLine="0"/>
              <w:contextualSpacing/>
              <w:rPr>
                <w:rFonts w:eastAsia="Times New Roman" w:cs="Times New Roman"/>
                <w:color w:val="000000"/>
                <w:sz w:val="22"/>
              </w:rPr>
            </w:pPr>
            <w:r w:rsidRPr="00333C7B">
              <w:rPr>
                <w:rFonts w:eastAsia="Times New Roman" w:cs="Times New Roman"/>
                <w:color w:val="000000"/>
                <w:sz w:val="22"/>
              </w:rPr>
              <w:t>Basic oxygen steelmaking</w:t>
            </w:r>
          </w:p>
        </w:tc>
        <w:tc>
          <w:tcPr>
            <w:tcW w:w="5714" w:type="dxa"/>
            <w:tcBorders>
              <w:top w:val="single" w:sz="4" w:space="0" w:color="auto"/>
              <w:bottom w:val="nil"/>
            </w:tcBorders>
            <w:shd w:val="clear" w:color="auto" w:fill="auto"/>
            <w:noWrap/>
            <w:vAlign w:val="center"/>
            <w:hideMark/>
          </w:tcPr>
          <w:p w14:paraId="7A9D0959" w14:textId="77777777" w:rsidR="008F30F4" w:rsidRPr="00333C7B" w:rsidRDefault="008F30F4" w:rsidP="001F21E7">
            <w:pPr>
              <w:spacing w:before="0" w:line="240" w:lineRule="auto"/>
              <w:ind w:firstLine="0"/>
              <w:contextualSpacing/>
              <w:jc w:val="center"/>
              <w:rPr>
                <w:rFonts w:eastAsia="Times New Roman" w:cs="Times New Roman"/>
                <w:color w:val="000000"/>
                <w:sz w:val="22"/>
              </w:rPr>
            </w:pP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333C7B">
              <w:rPr>
                <w:rFonts w:eastAsia="Times New Roman" w:cs="Times New Roman"/>
                <w:color w:val="000000"/>
                <w:sz w:val="22"/>
              </w:rPr>
              <w:t xml:space="preserve"> emissions intensity &lt; 1.41 (tCO</w:t>
            </w:r>
            <w:r w:rsidRPr="00333C7B">
              <w:rPr>
                <w:rFonts w:eastAsia="Times New Roman" w:cs="Times New Roman"/>
                <w:color w:val="000000"/>
                <w:sz w:val="22"/>
                <w:vertAlign w:val="subscript"/>
              </w:rPr>
              <w:t>2</w:t>
            </w:r>
            <w:r w:rsidRPr="00333C7B">
              <w:rPr>
                <w:rFonts w:eastAsia="Times New Roman" w:cs="Times New Roman"/>
                <w:color w:val="000000"/>
                <w:sz w:val="22"/>
              </w:rPr>
              <w:t>/t</w:t>
            </w:r>
            <w:r>
              <w:rPr>
                <w:rFonts w:eastAsia="Times New Roman" w:cs="Times New Roman"/>
                <w:color w:val="000000"/>
                <w:sz w:val="22"/>
              </w:rPr>
              <w:t>on</w:t>
            </w:r>
            <w:r w:rsidRPr="00333C7B">
              <w:rPr>
                <w:rFonts w:eastAsia="Times New Roman" w:cs="Times New Roman"/>
                <w:color w:val="000000"/>
                <w:sz w:val="22"/>
              </w:rPr>
              <w:t>)</w:t>
            </w:r>
          </w:p>
        </w:tc>
      </w:tr>
      <w:tr w:rsidR="008F30F4" w:rsidRPr="00333C7B" w14:paraId="2DD22252" w14:textId="77777777" w:rsidTr="001F21E7">
        <w:trPr>
          <w:trHeight w:val="374"/>
        </w:trPr>
        <w:tc>
          <w:tcPr>
            <w:tcW w:w="3016" w:type="dxa"/>
            <w:vMerge/>
            <w:tcBorders>
              <w:top w:val="nil"/>
              <w:bottom w:val="nil"/>
            </w:tcBorders>
            <w:vAlign w:val="center"/>
            <w:hideMark/>
          </w:tcPr>
          <w:p w14:paraId="457C4A24" w14:textId="77777777" w:rsidR="008F30F4" w:rsidRPr="00333C7B" w:rsidRDefault="008F30F4" w:rsidP="001F21E7">
            <w:pPr>
              <w:spacing w:before="0" w:line="240" w:lineRule="auto"/>
              <w:contextualSpacing/>
              <w:rPr>
                <w:rFonts w:eastAsia="Times New Roman" w:cs="Times New Roman"/>
                <w:color w:val="000000"/>
                <w:sz w:val="22"/>
              </w:rPr>
            </w:pPr>
          </w:p>
        </w:tc>
        <w:tc>
          <w:tcPr>
            <w:tcW w:w="5714" w:type="dxa"/>
            <w:tcBorders>
              <w:top w:val="nil"/>
              <w:bottom w:val="nil"/>
            </w:tcBorders>
            <w:shd w:val="clear" w:color="auto" w:fill="auto"/>
            <w:vAlign w:val="center"/>
            <w:hideMark/>
          </w:tcPr>
          <w:p w14:paraId="4C3524D0" w14:textId="77777777" w:rsidR="008F30F4" w:rsidRPr="00333C7B" w:rsidRDefault="008F30F4" w:rsidP="001F21E7">
            <w:pPr>
              <w:spacing w:before="0" w:line="240" w:lineRule="auto"/>
              <w:ind w:firstLine="0"/>
              <w:contextualSpacing/>
              <w:jc w:val="center"/>
              <w:rPr>
                <w:rFonts w:eastAsia="Times New Roman" w:cs="Times New Roman"/>
                <w:color w:val="000000"/>
                <w:sz w:val="22"/>
              </w:rPr>
            </w:pPr>
            <w:r w:rsidRPr="00333C7B">
              <w:rPr>
                <w:rFonts w:eastAsia="Times New Roman" w:cs="Times New Roman"/>
                <w:color w:val="000000"/>
                <w:sz w:val="22"/>
              </w:rPr>
              <w:t xml:space="preserve">1.98 &gt; </w:t>
            </w: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333C7B">
              <w:rPr>
                <w:rFonts w:eastAsia="Times New Roman" w:cs="Times New Roman"/>
                <w:color w:val="000000"/>
                <w:sz w:val="22"/>
              </w:rPr>
              <w:t xml:space="preserve"> emissions intensity </w:t>
            </w:r>
            <w:r w:rsidRPr="00333C7B">
              <w:rPr>
                <w:rFonts w:ascii="DengXian" w:eastAsia="DengXian" w:hAnsi="DengXian" w:cs="Times New Roman" w:hint="eastAsia"/>
                <w:color w:val="000000"/>
                <w:sz w:val="22"/>
              </w:rPr>
              <w:t>≥</w:t>
            </w:r>
            <w:r w:rsidRPr="00333C7B">
              <w:rPr>
                <w:rFonts w:eastAsia="Times New Roman" w:cs="Times New Roman"/>
                <w:color w:val="000000"/>
                <w:sz w:val="22"/>
              </w:rPr>
              <w:t xml:space="preserve"> 1.41 (tCO</w:t>
            </w:r>
            <w:r w:rsidRPr="00333C7B">
              <w:rPr>
                <w:rFonts w:eastAsia="Times New Roman" w:cs="Times New Roman"/>
                <w:color w:val="000000"/>
                <w:sz w:val="22"/>
                <w:vertAlign w:val="subscript"/>
              </w:rPr>
              <w:t>2</w:t>
            </w:r>
            <w:r w:rsidRPr="00333C7B">
              <w:rPr>
                <w:rFonts w:eastAsia="Times New Roman" w:cs="Times New Roman"/>
                <w:color w:val="000000"/>
                <w:sz w:val="22"/>
              </w:rPr>
              <w:t>/t</w:t>
            </w:r>
            <w:r>
              <w:rPr>
                <w:rFonts w:eastAsia="Times New Roman" w:cs="Times New Roman"/>
                <w:color w:val="000000"/>
                <w:sz w:val="22"/>
              </w:rPr>
              <w:t>on</w:t>
            </w:r>
            <w:r w:rsidRPr="00333C7B">
              <w:rPr>
                <w:rFonts w:eastAsia="Times New Roman" w:cs="Times New Roman"/>
                <w:color w:val="000000"/>
                <w:sz w:val="22"/>
              </w:rPr>
              <w:t>)</w:t>
            </w:r>
          </w:p>
        </w:tc>
      </w:tr>
      <w:tr w:rsidR="008F30F4" w:rsidRPr="00462C14" w14:paraId="2B7E7ABE" w14:textId="77777777" w:rsidTr="001F21E7">
        <w:trPr>
          <w:trHeight w:val="374"/>
        </w:trPr>
        <w:tc>
          <w:tcPr>
            <w:tcW w:w="3016" w:type="dxa"/>
            <w:vMerge/>
            <w:tcBorders>
              <w:top w:val="nil"/>
              <w:bottom w:val="nil"/>
            </w:tcBorders>
            <w:vAlign w:val="center"/>
            <w:hideMark/>
          </w:tcPr>
          <w:p w14:paraId="717B66B3" w14:textId="77777777" w:rsidR="008F30F4" w:rsidRPr="00333C7B" w:rsidRDefault="008F30F4" w:rsidP="001F21E7">
            <w:pPr>
              <w:spacing w:before="0" w:line="240" w:lineRule="auto"/>
              <w:contextualSpacing/>
              <w:rPr>
                <w:rFonts w:eastAsia="Times New Roman" w:cs="Times New Roman"/>
                <w:color w:val="000000"/>
                <w:sz w:val="22"/>
              </w:rPr>
            </w:pPr>
          </w:p>
        </w:tc>
        <w:tc>
          <w:tcPr>
            <w:tcW w:w="5714" w:type="dxa"/>
            <w:tcBorders>
              <w:top w:val="nil"/>
              <w:bottom w:val="nil"/>
            </w:tcBorders>
            <w:shd w:val="clear" w:color="auto" w:fill="auto"/>
            <w:vAlign w:val="center"/>
            <w:hideMark/>
          </w:tcPr>
          <w:p w14:paraId="261FC2BC" w14:textId="77777777" w:rsidR="008F30F4" w:rsidRPr="00402A64" w:rsidRDefault="008F30F4" w:rsidP="001F21E7">
            <w:pPr>
              <w:spacing w:before="0" w:line="240" w:lineRule="auto"/>
              <w:ind w:firstLine="0"/>
              <w:contextualSpacing/>
              <w:jc w:val="center"/>
              <w:rPr>
                <w:rFonts w:eastAsia="Times New Roman" w:cs="Times New Roman"/>
                <w:color w:val="000000"/>
                <w:sz w:val="22"/>
                <w:lang w:val="fr-FR"/>
              </w:rPr>
            </w:pPr>
            <w:r w:rsidRPr="00402A64">
              <w:rPr>
                <w:rFonts w:eastAsia="Times New Roman" w:cs="Times New Roman"/>
                <w:color w:val="000000"/>
                <w:sz w:val="22"/>
                <w:lang w:val="fr-FR"/>
              </w:rPr>
              <w:t xml:space="preserve">Carbon emissions intensity </w:t>
            </w:r>
            <w:r w:rsidRPr="00402A64">
              <w:rPr>
                <w:rFonts w:ascii="DengXian" w:eastAsia="DengXian" w:hAnsi="DengXian" w:cs="Times New Roman" w:hint="eastAsia"/>
                <w:color w:val="000000"/>
                <w:sz w:val="22"/>
                <w:lang w:val="fr-FR"/>
              </w:rPr>
              <w:t>≥</w:t>
            </w:r>
            <w:r w:rsidRPr="00402A64">
              <w:rPr>
                <w:rFonts w:eastAsia="Times New Roman" w:cs="Times New Roman"/>
                <w:color w:val="000000"/>
                <w:sz w:val="22"/>
                <w:lang w:val="fr-FR"/>
              </w:rPr>
              <w:t xml:space="preserve"> 1.98 (tCO</w:t>
            </w:r>
            <w:r w:rsidRPr="00402A64">
              <w:rPr>
                <w:rFonts w:eastAsia="Times New Roman" w:cs="Times New Roman"/>
                <w:color w:val="000000"/>
                <w:sz w:val="22"/>
                <w:vertAlign w:val="subscript"/>
                <w:lang w:val="fr-FR"/>
              </w:rPr>
              <w:t>2</w:t>
            </w:r>
            <w:r w:rsidRPr="00402A64">
              <w:rPr>
                <w:rFonts w:eastAsia="Times New Roman" w:cs="Times New Roman"/>
                <w:color w:val="000000"/>
                <w:sz w:val="22"/>
                <w:lang w:val="fr-FR"/>
              </w:rPr>
              <w:t>/t</w:t>
            </w:r>
            <w:r>
              <w:rPr>
                <w:rFonts w:eastAsia="Times New Roman" w:cs="Times New Roman"/>
                <w:color w:val="000000"/>
                <w:sz w:val="22"/>
                <w:lang w:val="fr-FR"/>
              </w:rPr>
              <w:t>on</w:t>
            </w:r>
            <w:r w:rsidRPr="00402A64">
              <w:rPr>
                <w:rFonts w:eastAsia="Times New Roman" w:cs="Times New Roman"/>
                <w:color w:val="000000"/>
                <w:sz w:val="22"/>
                <w:lang w:val="fr-FR"/>
              </w:rPr>
              <w:t>)</w:t>
            </w:r>
          </w:p>
        </w:tc>
      </w:tr>
      <w:tr w:rsidR="008F30F4" w:rsidRPr="00462C14" w14:paraId="572385AF" w14:textId="77777777" w:rsidTr="001F21E7">
        <w:trPr>
          <w:trHeight w:val="134"/>
        </w:trPr>
        <w:tc>
          <w:tcPr>
            <w:tcW w:w="3016" w:type="dxa"/>
            <w:tcBorders>
              <w:top w:val="nil"/>
              <w:bottom w:val="nil"/>
            </w:tcBorders>
            <w:vAlign w:val="center"/>
          </w:tcPr>
          <w:p w14:paraId="2E3799B3" w14:textId="77777777" w:rsidR="008F30F4" w:rsidRPr="00333C7B" w:rsidRDefault="008F30F4" w:rsidP="001F21E7">
            <w:pPr>
              <w:spacing w:before="0" w:line="240" w:lineRule="auto"/>
              <w:contextualSpacing/>
              <w:rPr>
                <w:rFonts w:eastAsia="Times New Roman" w:cs="Times New Roman"/>
                <w:color w:val="000000"/>
                <w:sz w:val="22"/>
              </w:rPr>
            </w:pPr>
          </w:p>
        </w:tc>
        <w:tc>
          <w:tcPr>
            <w:tcW w:w="5714" w:type="dxa"/>
            <w:tcBorders>
              <w:top w:val="nil"/>
              <w:bottom w:val="nil"/>
            </w:tcBorders>
            <w:shd w:val="clear" w:color="auto" w:fill="auto"/>
            <w:vAlign w:val="center"/>
          </w:tcPr>
          <w:p w14:paraId="2610373A" w14:textId="77777777" w:rsidR="008F30F4" w:rsidRPr="00402A64" w:rsidRDefault="008F30F4" w:rsidP="001F21E7">
            <w:pPr>
              <w:spacing w:before="0" w:line="240" w:lineRule="auto"/>
              <w:ind w:firstLine="0"/>
              <w:contextualSpacing/>
              <w:jc w:val="center"/>
              <w:rPr>
                <w:rFonts w:eastAsia="Times New Roman" w:cs="Times New Roman"/>
                <w:color w:val="000000"/>
                <w:sz w:val="22"/>
                <w:lang w:val="fr-FR"/>
              </w:rPr>
            </w:pPr>
          </w:p>
        </w:tc>
      </w:tr>
      <w:tr w:rsidR="008F30F4" w:rsidRPr="00333C7B" w14:paraId="0BA2F08C" w14:textId="77777777" w:rsidTr="001F21E7">
        <w:trPr>
          <w:trHeight w:val="374"/>
        </w:trPr>
        <w:tc>
          <w:tcPr>
            <w:tcW w:w="3016" w:type="dxa"/>
            <w:vMerge w:val="restart"/>
            <w:tcBorders>
              <w:top w:val="nil"/>
              <w:bottom w:val="nil"/>
            </w:tcBorders>
            <w:shd w:val="clear" w:color="auto" w:fill="auto"/>
            <w:vAlign w:val="center"/>
            <w:hideMark/>
          </w:tcPr>
          <w:p w14:paraId="08CC6DB5" w14:textId="77777777" w:rsidR="008F30F4" w:rsidRPr="00333C7B" w:rsidRDefault="008F30F4" w:rsidP="001F21E7">
            <w:pPr>
              <w:spacing w:before="0" w:line="240" w:lineRule="auto"/>
              <w:ind w:left="220" w:hangingChars="100" w:hanging="220"/>
              <w:contextualSpacing/>
              <w:rPr>
                <w:rFonts w:eastAsia="Times New Roman" w:cs="Times New Roman"/>
                <w:color w:val="000000"/>
                <w:sz w:val="22"/>
              </w:rPr>
            </w:pPr>
            <w:r w:rsidRPr="00333C7B">
              <w:rPr>
                <w:rFonts w:eastAsia="Times New Roman" w:cs="Times New Roman"/>
                <w:color w:val="000000"/>
                <w:sz w:val="22"/>
              </w:rPr>
              <w:t>Electric arc furnace steelmaking</w:t>
            </w:r>
          </w:p>
        </w:tc>
        <w:tc>
          <w:tcPr>
            <w:tcW w:w="5714" w:type="dxa"/>
            <w:tcBorders>
              <w:top w:val="nil"/>
              <w:bottom w:val="nil"/>
            </w:tcBorders>
            <w:shd w:val="clear" w:color="auto" w:fill="auto"/>
            <w:noWrap/>
            <w:vAlign w:val="center"/>
            <w:hideMark/>
          </w:tcPr>
          <w:p w14:paraId="25997825" w14:textId="77777777" w:rsidR="008F30F4" w:rsidRPr="00333C7B" w:rsidRDefault="008F30F4" w:rsidP="001F21E7">
            <w:pPr>
              <w:spacing w:before="0" w:line="240" w:lineRule="auto"/>
              <w:ind w:firstLine="0"/>
              <w:contextualSpacing/>
              <w:jc w:val="center"/>
              <w:rPr>
                <w:rFonts w:eastAsia="Times New Roman" w:cs="Times New Roman"/>
                <w:color w:val="000000"/>
                <w:sz w:val="22"/>
              </w:rPr>
            </w:pP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333C7B">
              <w:rPr>
                <w:rFonts w:eastAsia="Times New Roman" w:cs="Times New Roman"/>
                <w:color w:val="000000"/>
                <w:sz w:val="22"/>
              </w:rPr>
              <w:t xml:space="preserve"> emissions intensity &lt; 0.125 (tCO</w:t>
            </w:r>
            <w:r w:rsidRPr="00333C7B">
              <w:rPr>
                <w:rFonts w:eastAsia="Times New Roman" w:cs="Times New Roman"/>
                <w:color w:val="000000"/>
                <w:sz w:val="22"/>
                <w:vertAlign w:val="subscript"/>
              </w:rPr>
              <w:t>2</w:t>
            </w:r>
            <w:r w:rsidRPr="00333C7B">
              <w:rPr>
                <w:rFonts w:eastAsia="Times New Roman" w:cs="Times New Roman"/>
                <w:color w:val="000000"/>
                <w:sz w:val="22"/>
              </w:rPr>
              <w:t>/t</w:t>
            </w:r>
            <w:r>
              <w:rPr>
                <w:rFonts w:eastAsia="Times New Roman" w:cs="Times New Roman"/>
                <w:color w:val="000000"/>
                <w:sz w:val="22"/>
              </w:rPr>
              <w:t>on</w:t>
            </w:r>
            <w:r w:rsidRPr="00333C7B">
              <w:rPr>
                <w:rFonts w:eastAsia="Times New Roman" w:cs="Times New Roman"/>
                <w:color w:val="000000"/>
                <w:sz w:val="22"/>
              </w:rPr>
              <w:t>)</w:t>
            </w:r>
          </w:p>
        </w:tc>
      </w:tr>
      <w:tr w:rsidR="008F30F4" w:rsidRPr="00333C7B" w14:paraId="57E72B89" w14:textId="77777777" w:rsidTr="001F21E7">
        <w:trPr>
          <w:trHeight w:val="374"/>
        </w:trPr>
        <w:tc>
          <w:tcPr>
            <w:tcW w:w="3016" w:type="dxa"/>
            <w:vMerge/>
            <w:tcBorders>
              <w:top w:val="nil"/>
              <w:bottom w:val="nil"/>
            </w:tcBorders>
            <w:vAlign w:val="center"/>
            <w:hideMark/>
          </w:tcPr>
          <w:p w14:paraId="04F2DAD1" w14:textId="77777777" w:rsidR="008F30F4" w:rsidRPr="00333C7B" w:rsidRDefault="008F30F4" w:rsidP="001F21E7">
            <w:pPr>
              <w:spacing w:before="0" w:line="240" w:lineRule="auto"/>
              <w:contextualSpacing/>
              <w:rPr>
                <w:rFonts w:eastAsia="Times New Roman" w:cs="Times New Roman"/>
                <w:color w:val="000000"/>
                <w:sz w:val="22"/>
              </w:rPr>
            </w:pPr>
          </w:p>
        </w:tc>
        <w:tc>
          <w:tcPr>
            <w:tcW w:w="5714" w:type="dxa"/>
            <w:tcBorders>
              <w:top w:val="nil"/>
              <w:bottom w:val="nil"/>
            </w:tcBorders>
            <w:shd w:val="clear" w:color="auto" w:fill="auto"/>
            <w:vAlign w:val="center"/>
            <w:hideMark/>
          </w:tcPr>
          <w:p w14:paraId="73C140FD" w14:textId="77777777" w:rsidR="008F30F4" w:rsidRPr="00333C7B" w:rsidRDefault="008F30F4" w:rsidP="001F21E7">
            <w:pPr>
              <w:spacing w:before="0" w:line="240" w:lineRule="auto"/>
              <w:ind w:firstLine="0"/>
              <w:contextualSpacing/>
              <w:jc w:val="center"/>
              <w:rPr>
                <w:rFonts w:eastAsia="Times New Roman" w:cs="Times New Roman"/>
                <w:color w:val="000000"/>
                <w:sz w:val="22"/>
              </w:rPr>
            </w:pPr>
            <w:r w:rsidRPr="00333C7B">
              <w:rPr>
                <w:rFonts w:eastAsia="Times New Roman" w:cs="Times New Roman"/>
                <w:color w:val="000000"/>
                <w:sz w:val="22"/>
              </w:rPr>
              <w:t xml:space="preserve">0.235 </w:t>
            </w:r>
            <w:r w:rsidRPr="00333C7B">
              <w:rPr>
                <w:rFonts w:ascii="DengXian" w:eastAsia="DengXian" w:hAnsi="DengXian" w:cs="Times New Roman" w:hint="eastAsia"/>
                <w:color w:val="000000"/>
                <w:sz w:val="22"/>
              </w:rPr>
              <w:t>&gt;</w:t>
            </w:r>
            <w:r w:rsidRPr="00333C7B">
              <w:rPr>
                <w:rFonts w:eastAsia="Times New Roman" w:cs="Times New Roman"/>
                <w:color w:val="000000"/>
                <w:sz w:val="22"/>
              </w:rPr>
              <w:t xml:space="preserve"> </w:t>
            </w: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333C7B">
              <w:rPr>
                <w:rFonts w:eastAsia="Times New Roman" w:cs="Times New Roman"/>
                <w:color w:val="000000"/>
                <w:sz w:val="22"/>
              </w:rPr>
              <w:t xml:space="preserve"> emissions intensity </w:t>
            </w:r>
            <w:r w:rsidRPr="00333C7B">
              <w:rPr>
                <w:rFonts w:ascii="DengXian" w:eastAsia="DengXian" w:hAnsi="DengXian" w:cs="Times New Roman" w:hint="eastAsia"/>
                <w:color w:val="000000"/>
                <w:sz w:val="22"/>
              </w:rPr>
              <w:t>≥</w:t>
            </w:r>
            <w:r w:rsidRPr="00333C7B">
              <w:rPr>
                <w:rFonts w:eastAsia="Times New Roman" w:cs="Times New Roman"/>
                <w:color w:val="000000"/>
                <w:sz w:val="22"/>
              </w:rPr>
              <w:t xml:space="preserve"> 0.125 (tCO</w:t>
            </w:r>
            <w:r w:rsidRPr="00333C7B">
              <w:rPr>
                <w:rFonts w:eastAsia="Times New Roman" w:cs="Times New Roman"/>
                <w:color w:val="000000"/>
                <w:sz w:val="22"/>
                <w:vertAlign w:val="subscript"/>
              </w:rPr>
              <w:t>2</w:t>
            </w:r>
            <w:r w:rsidRPr="00333C7B">
              <w:rPr>
                <w:rFonts w:eastAsia="Times New Roman" w:cs="Times New Roman"/>
                <w:color w:val="000000"/>
                <w:sz w:val="22"/>
              </w:rPr>
              <w:t>/t</w:t>
            </w:r>
            <w:r>
              <w:rPr>
                <w:rFonts w:eastAsia="Times New Roman" w:cs="Times New Roman"/>
                <w:color w:val="000000"/>
                <w:sz w:val="22"/>
              </w:rPr>
              <w:t>on</w:t>
            </w:r>
            <w:r w:rsidRPr="00333C7B">
              <w:rPr>
                <w:rFonts w:eastAsia="Times New Roman" w:cs="Times New Roman"/>
                <w:color w:val="000000"/>
                <w:sz w:val="22"/>
              </w:rPr>
              <w:t>)</w:t>
            </w:r>
          </w:p>
        </w:tc>
      </w:tr>
      <w:tr w:rsidR="008F30F4" w:rsidRPr="00333C7B" w14:paraId="53B57DCD" w14:textId="77777777" w:rsidTr="001F21E7">
        <w:trPr>
          <w:trHeight w:val="374"/>
        </w:trPr>
        <w:tc>
          <w:tcPr>
            <w:tcW w:w="3016" w:type="dxa"/>
            <w:vMerge/>
            <w:tcBorders>
              <w:top w:val="nil"/>
              <w:bottom w:val="single" w:sz="4" w:space="0" w:color="auto"/>
            </w:tcBorders>
            <w:vAlign w:val="center"/>
            <w:hideMark/>
          </w:tcPr>
          <w:p w14:paraId="5A7E09E6" w14:textId="77777777" w:rsidR="008F30F4" w:rsidRPr="00333C7B" w:rsidRDefault="008F30F4" w:rsidP="001F21E7">
            <w:pPr>
              <w:spacing w:before="0" w:line="240" w:lineRule="auto"/>
              <w:contextualSpacing/>
              <w:rPr>
                <w:rFonts w:eastAsia="Times New Roman" w:cs="Times New Roman"/>
                <w:color w:val="000000"/>
                <w:sz w:val="22"/>
              </w:rPr>
            </w:pPr>
          </w:p>
        </w:tc>
        <w:tc>
          <w:tcPr>
            <w:tcW w:w="5714" w:type="dxa"/>
            <w:tcBorders>
              <w:top w:val="nil"/>
              <w:bottom w:val="single" w:sz="4" w:space="0" w:color="auto"/>
            </w:tcBorders>
            <w:shd w:val="clear" w:color="auto" w:fill="auto"/>
            <w:vAlign w:val="center"/>
            <w:hideMark/>
          </w:tcPr>
          <w:p w14:paraId="304EA24F" w14:textId="77777777" w:rsidR="008F30F4" w:rsidRPr="00402A64" w:rsidRDefault="008F30F4" w:rsidP="001F21E7">
            <w:pPr>
              <w:spacing w:before="0" w:line="240" w:lineRule="auto"/>
              <w:ind w:firstLine="0"/>
              <w:contextualSpacing/>
              <w:jc w:val="center"/>
              <w:rPr>
                <w:rFonts w:eastAsia="Times New Roman" w:cs="Times New Roman"/>
                <w:color w:val="000000"/>
                <w:sz w:val="22"/>
              </w:rPr>
            </w:pPr>
            <w:r w:rsidRPr="00333C7B">
              <w:rPr>
                <w:rFonts w:eastAsia="DengXian" w:cs="Times New Roman" w:hint="eastAsia"/>
                <w:color w:val="000000"/>
                <w:sz w:val="22"/>
                <w:szCs w:val="22"/>
              </w:rPr>
              <w:t>C</w:t>
            </w:r>
            <w:r w:rsidRPr="00333C7B">
              <w:rPr>
                <w:rFonts w:eastAsia="DengXian" w:cs="Times New Roman"/>
                <w:color w:val="000000"/>
                <w:sz w:val="22"/>
                <w:szCs w:val="22"/>
              </w:rPr>
              <w:t>O</w:t>
            </w:r>
            <w:r w:rsidRPr="00333C7B">
              <w:rPr>
                <w:rFonts w:eastAsia="DengXian" w:cs="Times New Roman"/>
                <w:color w:val="000000"/>
                <w:sz w:val="22"/>
                <w:szCs w:val="22"/>
                <w:vertAlign w:val="subscript"/>
              </w:rPr>
              <w:t>2</w:t>
            </w:r>
            <w:r w:rsidRPr="00402A64">
              <w:rPr>
                <w:rFonts w:eastAsia="Times New Roman" w:cs="Times New Roman"/>
                <w:color w:val="000000"/>
                <w:sz w:val="22"/>
              </w:rPr>
              <w:t xml:space="preserve"> emissions intensity </w:t>
            </w:r>
            <w:r w:rsidRPr="00402A64">
              <w:rPr>
                <w:rFonts w:ascii="DengXian" w:eastAsia="DengXian" w:hAnsi="DengXian" w:cs="Times New Roman" w:hint="eastAsia"/>
                <w:color w:val="000000"/>
                <w:sz w:val="22"/>
              </w:rPr>
              <w:t>≥</w:t>
            </w:r>
            <w:r w:rsidRPr="00402A64">
              <w:rPr>
                <w:rFonts w:eastAsia="Times New Roman" w:cs="Times New Roman"/>
                <w:color w:val="000000"/>
                <w:sz w:val="22"/>
              </w:rPr>
              <w:t xml:space="preserve"> 0.235 (tCO</w:t>
            </w:r>
            <w:r w:rsidRPr="00402A64">
              <w:rPr>
                <w:rFonts w:eastAsia="Times New Roman" w:cs="Times New Roman"/>
                <w:color w:val="000000"/>
                <w:sz w:val="22"/>
                <w:vertAlign w:val="subscript"/>
              </w:rPr>
              <w:t>2</w:t>
            </w:r>
            <w:r w:rsidRPr="00402A64">
              <w:rPr>
                <w:rFonts w:eastAsia="Times New Roman" w:cs="Times New Roman"/>
                <w:color w:val="000000"/>
                <w:sz w:val="22"/>
              </w:rPr>
              <w:t>/t</w:t>
            </w:r>
            <w:r>
              <w:rPr>
                <w:rFonts w:eastAsia="Times New Roman" w:cs="Times New Roman"/>
                <w:color w:val="000000"/>
                <w:sz w:val="22"/>
              </w:rPr>
              <w:t>on</w:t>
            </w:r>
            <w:r w:rsidRPr="00402A64">
              <w:rPr>
                <w:rFonts w:eastAsia="Times New Roman" w:cs="Times New Roman"/>
                <w:color w:val="000000"/>
                <w:sz w:val="22"/>
              </w:rPr>
              <w:t>)</w:t>
            </w:r>
          </w:p>
        </w:tc>
      </w:tr>
    </w:tbl>
    <w:p w14:paraId="74A7F7CA" w14:textId="77777777" w:rsidR="008F30F4" w:rsidRPr="00402A64" w:rsidRDefault="008F30F4" w:rsidP="008F30F4">
      <w:pPr>
        <w:ind w:firstLine="0"/>
        <w:rPr>
          <w:rFonts w:eastAsia="SimSun" w:cs="Times New Roman"/>
          <w:color w:val="000000"/>
          <w:szCs w:val="20"/>
        </w:rPr>
      </w:pPr>
      <w:r w:rsidRPr="00333C7B">
        <w:rPr>
          <w:rFonts w:eastAsia="SimSun" w:cs="Times New Roman" w:hint="eastAsia"/>
          <w:noProof/>
          <w:color w:val="000000"/>
          <w:szCs w:val="20"/>
          <w:lang w:eastAsia="en-US"/>
        </w:rPr>
        <w:lastRenderedPageBreak/>
        <w:drawing>
          <wp:anchor distT="0" distB="0" distL="114300" distR="114300" simplePos="0" relativeHeight="251676672" behindDoc="0" locked="0" layoutInCell="1" allowOverlap="1" wp14:anchorId="24E3DE93" wp14:editId="54DE618D">
            <wp:simplePos x="0" y="0"/>
            <wp:positionH relativeFrom="margin">
              <wp:align>center</wp:align>
            </wp:positionH>
            <wp:positionV relativeFrom="paragraph">
              <wp:posOffset>436245</wp:posOffset>
            </wp:positionV>
            <wp:extent cx="4029210" cy="3191256"/>
            <wp:effectExtent l="0" t="0" r="0" b="9525"/>
            <wp:wrapTopAndBottom/>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0">
                      <a:extLst>
                        <a:ext uri="{28A0092B-C50C-407E-A947-70E740481C1C}">
                          <a14:useLocalDpi xmlns:a14="http://schemas.microsoft.com/office/drawing/2010/main" val="0"/>
                        </a:ext>
                      </a:extLst>
                    </a:blip>
                    <a:srcRect r="5981"/>
                    <a:stretch/>
                  </pic:blipFill>
                  <pic:spPr bwMode="auto">
                    <a:xfrm>
                      <a:off x="0" y="0"/>
                      <a:ext cx="4029210" cy="31912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D9E3CF" w14:textId="77777777" w:rsidR="008F30F4" w:rsidRPr="00293AC7" w:rsidRDefault="008F30F4" w:rsidP="008F30F4">
      <w:pPr>
        <w:ind w:firstLine="0"/>
        <w:jc w:val="center"/>
        <w:rPr>
          <w:rFonts w:eastAsia="SimSun" w:cs="Times New Roman"/>
          <w:b/>
          <w:bCs/>
          <w:color w:val="000000"/>
          <w:sz w:val="22"/>
          <w:szCs w:val="18"/>
        </w:rPr>
      </w:pPr>
      <w:r w:rsidRPr="00293AC7">
        <w:rPr>
          <w:rFonts w:eastAsia="SimSun" w:cs="Times New Roman"/>
          <w:b/>
          <w:bCs/>
          <w:color w:val="000000"/>
          <w:sz w:val="22"/>
          <w:szCs w:val="18"/>
        </w:rPr>
        <w:t xml:space="preserve">Figure </w:t>
      </w:r>
      <w:r>
        <w:rPr>
          <w:rFonts w:eastAsia="SimSun" w:cs="Times New Roman"/>
          <w:b/>
          <w:bCs/>
          <w:color w:val="000000"/>
          <w:sz w:val="22"/>
          <w:szCs w:val="18"/>
        </w:rPr>
        <w:t>B3</w:t>
      </w:r>
      <w:r w:rsidRPr="00293AC7">
        <w:rPr>
          <w:rFonts w:eastAsia="SimSun" w:cs="Times New Roman"/>
          <w:b/>
          <w:bCs/>
          <w:color w:val="000000"/>
          <w:sz w:val="22"/>
          <w:szCs w:val="18"/>
        </w:rPr>
        <w:t xml:space="preserve">. Clustering of </w:t>
      </w:r>
      <w:r w:rsidRPr="002F2E53">
        <w:rPr>
          <w:rFonts w:eastAsia="SimSun" w:cs="Times New Roman"/>
          <w:b/>
          <w:bCs/>
          <w:color w:val="000000"/>
          <w:sz w:val="22"/>
          <w:szCs w:val="18"/>
        </w:rPr>
        <w:t xml:space="preserve">Electric </w:t>
      </w:r>
      <w:r>
        <w:rPr>
          <w:rFonts w:eastAsia="SimSun" w:cs="Times New Roman"/>
          <w:b/>
          <w:bCs/>
          <w:color w:val="000000"/>
          <w:sz w:val="22"/>
          <w:szCs w:val="18"/>
        </w:rPr>
        <w:t>A</w:t>
      </w:r>
      <w:r w:rsidRPr="002F2E53">
        <w:rPr>
          <w:rFonts w:eastAsia="SimSun" w:cs="Times New Roman"/>
          <w:b/>
          <w:bCs/>
          <w:color w:val="000000"/>
          <w:sz w:val="22"/>
          <w:szCs w:val="18"/>
        </w:rPr>
        <w:t xml:space="preserve">rc </w:t>
      </w:r>
      <w:r>
        <w:rPr>
          <w:rFonts w:eastAsia="SimSun" w:cs="Times New Roman"/>
          <w:b/>
          <w:bCs/>
          <w:color w:val="000000"/>
          <w:sz w:val="22"/>
          <w:szCs w:val="18"/>
        </w:rPr>
        <w:t>F</w:t>
      </w:r>
      <w:r w:rsidRPr="002F2E53">
        <w:rPr>
          <w:rFonts w:eastAsia="SimSun" w:cs="Times New Roman"/>
          <w:b/>
          <w:bCs/>
          <w:color w:val="000000"/>
          <w:sz w:val="22"/>
          <w:szCs w:val="18"/>
        </w:rPr>
        <w:t xml:space="preserve">urnace </w:t>
      </w:r>
      <w:r>
        <w:rPr>
          <w:rFonts w:eastAsia="SimSun" w:cs="Times New Roman"/>
          <w:b/>
          <w:bCs/>
          <w:color w:val="000000"/>
          <w:sz w:val="22"/>
          <w:szCs w:val="18"/>
        </w:rPr>
        <w:t>S</w:t>
      </w:r>
      <w:r w:rsidRPr="002F2E53">
        <w:rPr>
          <w:rFonts w:eastAsia="SimSun" w:cs="Times New Roman"/>
          <w:b/>
          <w:bCs/>
          <w:color w:val="000000"/>
          <w:sz w:val="22"/>
          <w:szCs w:val="18"/>
        </w:rPr>
        <w:t>teelmaking</w:t>
      </w:r>
      <w:r>
        <w:rPr>
          <w:rFonts w:eastAsia="SimSun" w:cs="Times New Roman"/>
          <w:b/>
          <w:bCs/>
          <w:color w:val="000000"/>
          <w:sz w:val="22"/>
          <w:szCs w:val="18"/>
        </w:rPr>
        <w:t xml:space="preserve"> </w:t>
      </w:r>
      <w:r w:rsidRPr="00293AC7">
        <w:rPr>
          <w:rFonts w:eastAsia="SimSun" w:cs="Times New Roman"/>
          <w:b/>
          <w:bCs/>
          <w:color w:val="000000"/>
          <w:sz w:val="22"/>
          <w:szCs w:val="18"/>
        </w:rPr>
        <w:t>by Emissions Intensity</w:t>
      </w:r>
    </w:p>
    <w:p w14:paraId="44057DE6" w14:textId="77777777" w:rsidR="008F30F4" w:rsidRPr="00333C7B" w:rsidRDefault="008F30F4" w:rsidP="008F30F4">
      <w:pPr>
        <w:rPr>
          <w:rFonts w:eastAsia="SimSun" w:cs="Times New Roman"/>
          <w:color w:val="000000"/>
          <w:szCs w:val="20"/>
        </w:rPr>
      </w:pPr>
    </w:p>
    <w:p w14:paraId="21BBCA95" w14:textId="77777777" w:rsidR="008F30F4" w:rsidRPr="0094576C" w:rsidRDefault="008F30F4" w:rsidP="008F30F4">
      <w:pPr>
        <w:ind w:firstLine="0"/>
        <w:jc w:val="center"/>
        <w:rPr>
          <w:rFonts w:eastAsia="SimSun" w:cs="Times New Roman"/>
          <w:b/>
          <w:bCs/>
          <w:color w:val="000000"/>
          <w:sz w:val="22"/>
          <w:szCs w:val="22"/>
        </w:rPr>
      </w:pPr>
      <w:r w:rsidRPr="0094576C">
        <w:rPr>
          <w:rFonts w:eastAsia="DengXian" w:cs="Times New Roman"/>
          <w:noProof/>
          <w:sz w:val="22"/>
          <w:szCs w:val="22"/>
          <w:lang w:eastAsia="en-US"/>
        </w:rPr>
        <w:drawing>
          <wp:anchor distT="0" distB="0" distL="114300" distR="114300" simplePos="0" relativeHeight="251677696" behindDoc="0" locked="0" layoutInCell="1" allowOverlap="1" wp14:anchorId="7251483E" wp14:editId="334D738D">
            <wp:simplePos x="0" y="0"/>
            <wp:positionH relativeFrom="column">
              <wp:posOffset>732155</wp:posOffset>
            </wp:positionH>
            <wp:positionV relativeFrom="paragraph">
              <wp:posOffset>0</wp:posOffset>
            </wp:positionV>
            <wp:extent cx="4106472" cy="3191256"/>
            <wp:effectExtent l="0" t="0" r="0" b="0"/>
            <wp:wrapTopAndBottom/>
            <wp:docPr id="148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106472" cy="3191256"/>
                    </a:xfrm>
                    <a:prstGeom prst="rect">
                      <a:avLst/>
                    </a:prstGeom>
                    <a:noFill/>
                  </pic:spPr>
                </pic:pic>
              </a:graphicData>
            </a:graphic>
            <wp14:sizeRelH relativeFrom="page">
              <wp14:pctWidth>0</wp14:pctWidth>
            </wp14:sizeRelH>
            <wp14:sizeRelV relativeFrom="page">
              <wp14:pctHeight>0</wp14:pctHeight>
            </wp14:sizeRelV>
          </wp:anchor>
        </w:drawing>
      </w:r>
      <w:r w:rsidRPr="0094576C">
        <w:rPr>
          <w:rFonts w:eastAsia="SimSun" w:cs="Times New Roman"/>
          <w:b/>
          <w:bCs/>
          <w:color w:val="000000"/>
          <w:sz w:val="22"/>
          <w:szCs w:val="22"/>
        </w:rPr>
        <w:t xml:space="preserve">Figure </w:t>
      </w:r>
      <w:r>
        <w:rPr>
          <w:rFonts w:eastAsia="SimSun" w:cs="Times New Roman"/>
          <w:b/>
          <w:bCs/>
          <w:color w:val="000000"/>
          <w:sz w:val="22"/>
          <w:szCs w:val="18"/>
        </w:rPr>
        <w:t>B4</w:t>
      </w:r>
      <w:r w:rsidRPr="0094576C">
        <w:rPr>
          <w:rFonts w:eastAsia="SimSun" w:cs="Times New Roman"/>
          <w:b/>
          <w:bCs/>
          <w:color w:val="000000"/>
          <w:sz w:val="22"/>
          <w:szCs w:val="22"/>
        </w:rPr>
        <w:t xml:space="preserve">. Clustering of </w:t>
      </w:r>
      <w:r w:rsidRPr="0011025F">
        <w:rPr>
          <w:rFonts w:eastAsia="SimSun" w:cs="Times New Roman"/>
          <w:b/>
          <w:bCs/>
          <w:color w:val="000000"/>
          <w:sz w:val="22"/>
          <w:szCs w:val="22"/>
        </w:rPr>
        <w:t xml:space="preserve">Basic </w:t>
      </w:r>
      <w:r>
        <w:rPr>
          <w:rFonts w:eastAsia="SimSun" w:cs="Times New Roman"/>
          <w:b/>
          <w:bCs/>
          <w:color w:val="000000"/>
          <w:sz w:val="22"/>
          <w:szCs w:val="22"/>
        </w:rPr>
        <w:t>O</w:t>
      </w:r>
      <w:r w:rsidRPr="0011025F">
        <w:rPr>
          <w:rFonts w:eastAsia="SimSun" w:cs="Times New Roman"/>
          <w:b/>
          <w:bCs/>
          <w:color w:val="000000"/>
          <w:sz w:val="22"/>
          <w:szCs w:val="22"/>
        </w:rPr>
        <w:t xml:space="preserve">xygen </w:t>
      </w:r>
      <w:r>
        <w:rPr>
          <w:rFonts w:eastAsia="SimSun" w:cs="Times New Roman"/>
          <w:b/>
          <w:bCs/>
          <w:color w:val="000000"/>
          <w:sz w:val="22"/>
          <w:szCs w:val="22"/>
        </w:rPr>
        <w:t>S</w:t>
      </w:r>
      <w:r w:rsidRPr="0011025F">
        <w:rPr>
          <w:rFonts w:eastAsia="SimSun" w:cs="Times New Roman"/>
          <w:b/>
          <w:bCs/>
          <w:color w:val="000000"/>
          <w:sz w:val="22"/>
          <w:szCs w:val="22"/>
        </w:rPr>
        <w:t>teelmaking</w:t>
      </w:r>
      <w:r>
        <w:rPr>
          <w:rFonts w:eastAsia="SimSun" w:cs="Times New Roman"/>
          <w:b/>
          <w:bCs/>
          <w:color w:val="000000"/>
          <w:sz w:val="22"/>
          <w:szCs w:val="22"/>
        </w:rPr>
        <w:t xml:space="preserve"> </w:t>
      </w:r>
      <w:r w:rsidRPr="0094576C">
        <w:rPr>
          <w:rFonts w:eastAsia="SimSun" w:cs="Times New Roman"/>
          <w:b/>
          <w:bCs/>
          <w:color w:val="000000"/>
          <w:sz w:val="22"/>
          <w:szCs w:val="22"/>
        </w:rPr>
        <w:t>by Emissions Intensity</w:t>
      </w:r>
    </w:p>
    <w:p w14:paraId="3C576A6E" w14:textId="77777777" w:rsidR="008F30F4" w:rsidRPr="00E039C9" w:rsidRDefault="008F30F4" w:rsidP="008F30F4">
      <w:pPr>
        <w:rPr>
          <w:rFonts w:eastAsia="SimSun" w:cs="Times New Roman"/>
          <w:color w:val="000000"/>
          <w:szCs w:val="20"/>
        </w:rPr>
      </w:pPr>
    </w:p>
    <w:p w14:paraId="009ACF90" w14:textId="77777777" w:rsidR="008F30F4" w:rsidRPr="00333C7B" w:rsidRDefault="008F30F4" w:rsidP="008F30F4">
      <w:pPr>
        <w:ind w:firstLine="0"/>
        <w:rPr>
          <w:rFonts w:eastAsia="SimSun" w:cs="Times New Roman"/>
          <w:color w:val="000000"/>
          <w:szCs w:val="20"/>
        </w:rPr>
      </w:pPr>
    </w:p>
    <w:p w14:paraId="4E19735F" w14:textId="77777777" w:rsidR="008F30F4" w:rsidRDefault="008F30F4" w:rsidP="008F30F4">
      <w:pPr>
        <w:spacing w:before="0" w:line="240" w:lineRule="auto"/>
        <w:ind w:firstLine="0"/>
        <w:rPr>
          <w:rFonts w:eastAsia="SimSun" w:cs="Times New Roman"/>
          <w:b/>
          <w:bCs/>
          <w:i/>
          <w:iCs/>
          <w:color w:val="000000"/>
          <w:szCs w:val="21"/>
        </w:rPr>
      </w:pPr>
      <w:r>
        <w:rPr>
          <w:rFonts w:eastAsia="SimSun" w:cs="Times New Roman"/>
          <w:b/>
          <w:bCs/>
          <w:i/>
          <w:iCs/>
          <w:color w:val="000000"/>
          <w:szCs w:val="21"/>
        </w:rPr>
        <w:br w:type="page"/>
      </w:r>
    </w:p>
    <w:p w14:paraId="416BD5DC" w14:textId="77777777" w:rsidR="008F30F4" w:rsidRPr="0005297D" w:rsidRDefault="008F30F4" w:rsidP="008F30F4">
      <w:pPr>
        <w:pStyle w:val="Heading2"/>
        <w:rPr>
          <w:b w:val="0"/>
          <w:bCs w:val="0"/>
          <w:szCs w:val="28"/>
        </w:rPr>
      </w:pPr>
      <w:r w:rsidRPr="0005297D">
        <w:rPr>
          <w:szCs w:val="28"/>
        </w:rPr>
        <w:lastRenderedPageBreak/>
        <w:t>Data Processing</w:t>
      </w:r>
    </w:p>
    <w:p w14:paraId="60F82FC3" w14:textId="77777777" w:rsidR="008F30F4" w:rsidRPr="00333C7B" w:rsidRDefault="008F30F4" w:rsidP="008F30F4">
      <w:pPr>
        <w:rPr>
          <w:rFonts w:eastAsia="SimSun" w:cs="Times New Roman"/>
          <w:color w:val="000000"/>
          <w:sz w:val="22"/>
          <w:szCs w:val="20"/>
        </w:rPr>
      </w:pPr>
      <w:r w:rsidRPr="00333C7B">
        <w:rPr>
          <w:rFonts w:eastAsia="SimSun" w:cs="Times New Roman"/>
          <w:color w:val="000000"/>
          <w:sz w:val="22"/>
          <w:szCs w:val="20"/>
        </w:rPr>
        <w:t>The data are processed in four steps. First, the 149 sectors’ input-output data from China’s 2017 input-output table are aggregated to the 31 production sectors in our study and scaled to 2020, the first simulation year. We use three scal</w:t>
      </w:r>
      <w:r>
        <w:rPr>
          <w:rFonts w:eastAsia="SimSun" w:cs="Times New Roman"/>
          <w:color w:val="000000"/>
          <w:sz w:val="22"/>
          <w:szCs w:val="20"/>
        </w:rPr>
        <w:t>e</w:t>
      </w:r>
      <w:r w:rsidRPr="00333C7B">
        <w:rPr>
          <w:rFonts w:eastAsia="SimSun" w:cs="Times New Roman"/>
          <w:color w:val="000000"/>
          <w:sz w:val="22"/>
          <w:szCs w:val="20"/>
        </w:rPr>
        <w:t>rs to translate these input and output data to 2020: one for the service sector, one for the agriculture sector, and one for other sectors. The data are scaled so that the GDP, as well as the value-added shares of the service sector and agriculture sectors, match the published statistics in 2020 (</w:t>
      </w:r>
      <w:r>
        <w:rPr>
          <w:rFonts w:eastAsia="SimSun" w:cs="Times New Roman"/>
          <w:color w:val="000000"/>
          <w:sz w:val="22"/>
          <w:szCs w:val="20"/>
        </w:rPr>
        <w:t>NBS</w:t>
      </w:r>
      <w:r w:rsidRPr="00333C7B">
        <w:rPr>
          <w:rFonts w:eastAsia="SimSun" w:cs="Times New Roman"/>
          <w:color w:val="000000"/>
          <w:sz w:val="22"/>
          <w:szCs w:val="20"/>
        </w:rPr>
        <w:t xml:space="preserve">, 2021). Second, the sectors are then disaggregated into subsectors for electricity, cement, aluminum, and iron &amp; steel according to the subsector-level information, which is obtained by aggregating the firm-level Ministry of Ecology and Environment (MEE) data. The disaggregation method is described in the next paragraph. </w:t>
      </w:r>
      <w:r>
        <w:rPr>
          <w:rFonts w:eastAsia="SimSun" w:cs="Times New Roman"/>
          <w:color w:val="000000"/>
          <w:sz w:val="22"/>
          <w:szCs w:val="20"/>
        </w:rPr>
        <w:t>Third</w:t>
      </w:r>
      <w:r w:rsidRPr="00333C7B">
        <w:rPr>
          <w:rFonts w:eastAsia="SimSun" w:cs="Times New Roman"/>
          <w:color w:val="000000"/>
          <w:sz w:val="22"/>
          <w:szCs w:val="20"/>
        </w:rPr>
        <w:t>, we scale all tax and subsidy rates reported in GTAP for 2014 (the latest version) by a common factor so that the total tax revenue net of subsidies matches that in 2020 (</w:t>
      </w:r>
      <w:r>
        <w:rPr>
          <w:rFonts w:eastAsia="SimSun" w:cs="Times New Roman"/>
          <w:color w:val="000000"/>
          <w:sz w:val="22"/>
          <w:szCs w:val="20"/>
        </w:rPr>
        <w:t>NBS</w:t>
      </w:r>
      <w:r w:rsidRPr="00333C7B">
        <w:rPr>
          <w:rFonts w:eastAsia="SimSun" w:cs="Times New Roman"/>
          <w:color w:val="000000"/>
          <w:sz w:val="22"/>
          <w:szCs w:val="20"/>
        </w:rPr>
        <w:t>, 2021).</w:t>
      </w:r>
      <w:r>
        <w:rPr>
          <w:rStyle w:val="FootnoteReference"/>
          <w:rFonts w:eastAsia="SimSun" w:cs="Times New Roman"/>
          <w:color w:val="000000"/>
          <w:sz w:val="22"/>
          <w:szCs w:val="20"/>
        </w:rPr>
        <w:footnoteReference w:id="6"/>
      </w:r>
      <w:r w:rsidRPr="00333C7B">
        <w:rPr>
          <w:rFonts w:eastAsia="SimSun" w:cs="Times New Roman"/>
          <w:color w:val="000000"/>
          <w:sz w:val="22"/>
          <w:szCs w:val="20"/>
        </w:rPr>
        <w:t xml:space="preserve"> </w:t>
      </w:r>
      <w:r>
        <w:rPr>
          <w:rFonts w:eastAsia="SimSun" w:cs="Times New Roman"/>
          <w:color w:val="000000"/>
          <w:sz w:val="22"/>
          <w:szCs w:val="20"/>
        </w:rPr>
        <w:t>Fourth</w:t>
      </w:r>
      <w:r w:rsidRPr="00333C7B">
        <w:rPr>
          <w:rFonts w:eastAsia="SimSun" w:cs="Times New Roman"/>
          <w:color w:val="000000"/>
          <w:sz w:val="22"/>
          <w:szCs w:val="20"/>
        </w:rPr>
        <w:t xml:space="preserve">, we re-balance the input-output data after these adjustments, as described in the subsection “Input-Output Table Rebalance” below. </w:t>
      </w:r>
      <w:r w:rsidRPr="0005297D">
        <w:rPr>
          <w:rFonts w:eastAsia="SimSun" w:cs="Times New Roman"/>
          <w:color w:val="000000"/>
          <w:sz w:val="22"/>
          <w:szCs w:val="20"/>
        </w:rPr>
        <w:t xml:space="preserve">Lastly, we further disaggregate the sectors (or subsectors for electricity, cement, aluminum, and iron &amp; steel) into </w:t>
      </w:r>
      <w:r w:rsidRPr="0005297D">
        <w:rPr>
          <w:rFonts w:cs="Times New Roman"/>
          <w:sz w:val="22"/>
          <w:szCs w:val="22"/>
        </w:rPr>
        <w:t>SOEs and POEs. This disaggregation ensures that the inputs and outputs of SOEs and POEs match the empirical evidence while maintaining the balance of the input-output data. Details about the parameters related to SOEs and POEs are provided in Appendix C.</w:t>
      </w:r>
      <w:r>
        <w:rPr>
          <w:rFonts w:cs="Times New Roman"/>
          <w:sz w:val="22"/>
          <w:szCs w:val="22"/>
        </w:rPr>
        <w:t xml:space="preserve"> </w:t>
      </w:r>
    </w:p>
    <w:p w14:paraId="2C4D39B0" w14:textId="77777777" w:rsidR="008F30F4" w:rsidRDefault="008F30F4" w:rsidP="008F30F4">
      <w:pPr>
        <w:ind w:firstLine="0"/>
        <w:rPr>
          <w:rFonts w:eastAsia="SimSun" w:cs="Times New Roman"/>
          <w:b/>
          <w:bCs/>
          <w:i/>
          <w:iCs/>
          <w:color w:val="000000"/>
          <w:szCs w:val="20"/>
        </w:rPr>
      </w:pPr>
    </w:p>
    <w:p w14:paraId="29AAD35B" w14:textId="77777777" w:rsidR="008F30F4" w:rsidRPr="00333C7B" w:rsidRDefault="008F30F4" w:rsidP="008F30F4">
      <w:pPr>
        <w:ind w:firstLine="0"/>
        <w:rPr>
          <w:rFonts w:eastAsia="SimSun" w:cs="Times New Roman"/>
          <w:b/>
          <w:bCs/>
          <w:i/>
          <w:iCs/>
          <w:color w:val="000000"/>
          <w:szCs w:val="20"/>
        </w:rPr>
      </w:pPr>
      <w:r w:rsidRPr="00333C7B">
        <w:rPr>
          <w:rFonts w:eastAsia="SimSun" w:cs="Times New Roman"/>
          <w:b/>
          <w:bCs/>
          <w:i/>
          <w:iCs/>
          <w:color w:val="000000"/>
          <w:szCs w:val="20"/>
        </w:rPr>
        <w:t xml:space="preserve">Disaggregating Sector-Level Data </w:t>
      </w:r>
      <w:r>
        <w:rPr>
          <w:rFonts w:eastAsia="SimSun" w:cs="Times New Roman"/>
          <w:b/>
          <w:bCs/>
          <w:i/>
          <w:iCs/>
          <w:color w:val="000000"/>
          <w:szCs w:val="20"/>
        </w:rPr>
        <w:t>t</w:t>
      </w:r>
      <w:r w:rsidRPr="00333C7B">
        <w:rPr>
          <w:rFonts w:eastAsia="SimSun" w:cs="Times New Roman"/>
          <w:b/>
          <w:bCs/>
          <w:i/>
          <w:iCs/>
          <w:color w:val="000000"/>
          <w:szCs w:val="20"/>
        </w:rPr>
        <w:t xml:space="preserve">o </w:t>
      </w:r>
      <w:r>
        <w:rPr>
          <w:rFonts w:eastAsia="SimSun" w:cs="Times New Roman"/>
          <w:b/>
          <w:bCs/>
          <w:i/>
          <w:iCs/>
          <w:color w:val="000000"/>
          <w:szCs w:val="20"/>
        </w:rPr>
        <w:t xml:space="preserve">the </w:t>
      </w:r>
      <w:r w:rsidRPr="00333C7B">
        <w:rPr>
          <w:rFonts w:eastAsia="SimSun" w:cs="Times New Roman"/>
          <w:b/>
          <w:bCs/>
          <w:i/>
          <w:iCs/>
          <w:color w:val="000000"/>
          <w:szCs w:val="20"/>
        </w:rPr>
        <w:t>Subsector</w:t>
      </w:r>
      <w:r>
        <w:rPr>
          <w:rFonts w:eastAsia="SimSun" w:cs="Times New Roman"/>
          <w:b/>
          <w:bCs/>
          <w:i/>
          <w:iCs/>
          <w:color w:val="000000"/>
          <w:szCs w:val="20"/>
        </w:rPr>
        <w:t xml:space="preserve"> Level</w:t>
      </w:r>
    </w:p>
    <w:p w14:paraId="197B094D" w14:textId="77777777" w:rsidR="008F30F4" w:rsidRPr="00333C7B" w:rsidRDefault="008F30F4" w:rsidP="008F30F4">
      <w:pPr>
        <w:ind w:firstLineChars="327" w:firstLine="719"/>
        <w:rPr>
          <w:rFonts w:eastAsia="SimSun" w:cs="Times New Roman"/>
          <w:color w:val="000000"/>
          <w:sz w:val="22"/>
          <w:szCs w:val="20"/>
          <w:lang w:eastAsia="en-US"/>
        </w:rPr>
      </w:pPr>
      <w:r w:rsidRPr="00333C7B">
        <w:rPr>
          <w:rFonts w:eastAsia="SimSun" w:cs="Times New Roman"/>
          <w:color w:val="000000"/>
          <w:sz w:val="22"/>
          <w:szCs w:val="20"/>
        </w:rPr>
        <w:t xml:space="preserve">The </w:t>
      </w:r>
      <w:r w:rsidRPr="00333C7B">
        <w:rPr>
          <w:rFonts w:eastAsia="SimSun" w:cs="Times New Roman" w:hint="eastAsia"/>
          <w:color w:val="000000"/>
          <w:sz w:val="22"/>
          <w:szCs w:val="20"/>
        </w:rPr>
        <w:t>input</w:t>
      </w:r>
      <w:r w:rsidRPr="00333C7B">
        <w:rPr>
          <w:rFonts w:eastAsia="SimSun" w:cs="Times New Roman"/>
          <w:color w:val="000000"/>
          <w:sz w:val="22"/>
          <w:szCs w:val="20"/>
        </w:rPr>
        <w:t>-output table provides sector-level data on economic value</w:t>
      </w:r>
      <w:r>
        <w:rPr>
          <w:rFonts w:eastAsia="SimSun" w:cs="Times New Roman" w:hint="eastAsia"/>
          <w:color w:val="000000"/>
          <w:sz w:val="22"/>
          <w:szCs w:val="20"/>
        </w:rPr>
        <w:t>s</w:t>
      </w:r>
      <w:r w:rsidRPr="00333C7B">
        <w:rPr>
          <w:rFonts w:eastAsia="SimSun" w:cs="Times New Roman"/>
          <w:color w:val="000000"/>
          <w:sz w:val="22"/>
          <w:szCs w:val="20"/>
        </w:rPr>
        <w:t>. The sectors are then split into subsectors (for electricity, cement, aluminum, and iron &amp; steel sectors). The disaggregation method is described below.</w:t>
      </w:r>
    </w:p>
    <w:p w14:paraId="20208E24" w14:textId="77777777" w:rsidR="008F30F4" w:rsidRPr="00333C7B" w:rsidRDefault="008F30F4" w:rsidP="008F30F4">
      <w:pPr>
        <w:ind w:firstLineChars="327" w:firstLine="719"/>
        <w:rPr>
          <w:rFonts w:eastAsia="SimSun" w:cs="Times New Roman"/>
          <w:iCs/>
          <w:color w:val="000000"/>
          <w:sz w:val="22"/>
          <w:szCs w:val="20"/>
        </w:rPr>
      </w:pPr>
      <w:r w:rsidRPr="00333C7B">
        <w:rPr>
          <w:rFonts w:eastAsia="SimSun" w:cs="Times New Roman"/>
          <w:color w:val="000000"/>
          <w:sz w:val="22"/>
          <w:szCs w:val="20"/>
        </w:rPr>
        <w:t xml:space="preserve">For factor inputs </w:t>
      </w:r>
      <w:r>
        <w:rPr>
          <w:rFonts w:eastAsia="SimSun" w:cs="Times New Roman"/>
          <w:color w:val="000000"/>
          <w:sz w:val="22"/>
          <w:szCs w:val="20"/>
        </w:rPr>
        <w:t>(</w:t>
      </w:r>
      <w:r w:rsidR="0038014B" w:rsidRPr="00327746">
        <w:rPr>
          <w:noProof/>
          <w:position w:val="-14"/>
        </w:rPr>
        <w:object w:dxaOrig="600" w:dyaOrig="360" w14:anchorId="3D56B9F8">
          <v:shape id="_x0000_i1120" type="#_x0000_t75" alt="" style="width:30.35pt;height:19.75pt;mso-width-percent:0;mso-height-percent:0;mso-width-percent:0;mso-height-percent:0" o:ole="">
            <v:imagedata r:id="rId222" o:title=""/>
          </v:shape>
          <o:OLEObject Type="Embed" ProgID="Equation.DSMT4" ShapeID="_x0000_i1120" DrawAspect="Content" ObjectID="_1758969511" r:id="rId223"/>
        </w:object>
      </w:r>
      <w:r>
        <w:rPr>
          <w:rFonts w:eastAsia="SimSun" w:cs="Times New Roman"/>
          <w:color w:val="000000"/>
          <w:sz w:val="22"/>
          <w:szCs w:val="20"/>
        </w:rPr>
        <w:t>), m</w:t>
      </w:r>
      <w:r w:rsidRPr="00333C7B">
        <w:rPr>
          <w:rFonts w:eastAsia="SimSun" w:cs="Times New Roman"/>
          <w:color w:val="000000"/>
          <w:sz w:val="22"/>
          <w:szCs w:val="20"/>
        </w:rPr>
        <w:t>aterial inputs</w:t>
      </w:r>
      <w:r>
        <w:rPr>
          <w:rFonts w:eastAsia="SimSun" w:cs="Times New Roman"/>
          <w:color w:val="000000"/>
          <w:sz w:val="22"/>
          <w:szCs w:val="20"/>
        </w:rPr>
        <w:t xml:space="preserve"> </w:t>
      </w:r>
      <w:r w:rsidR="0038014B" w:rsidRPr="00327746">
        <w:rPr>
          <w:noProof/>
          <w:position w:val="-8"/>
        </w:rPr>
        <w:object w:dxaOrig="400" w:dyaOrig="279" w14:anchorId="20740F3F">
          <v:shape id="_x0000_i1119" type="#_x0000_t75" alt="" style="width:20.45pt;height:14.1pt;mso-width-percent:0;mso-height-percent:0;mso-width-percent:0;mso-height-percent:0" o:ole="">
            <v:imagedata r:id="rId224" o:title=""/>
          </v:shape>
          <o:OLEObject Type="Embed" ProgID="Equation.DSMT4" ShapeID="_x0000_i1119" DrawAspect="Content" ObjectID="_1758969512" r:id="rId225"/>
        </w:object>
      </w:r>
      <w:r>
        <w:rPr>
          <w:rFonts w:eastAsia="SimSun" w:cs="Times New Roman"/>
          <w:color w:val="000000"/>
          <w:sz w:val="22"/>
          <w:szCs w:val="20"/>
        </w:rPr>
        <w:t>, and</w:t>
      </w:r>
      <w:r w:rsidRPr="00333C7B">
        <w:rPr>
          <w:rFonts w:eastAsia="SimSun" w:cs="Times New Roman"/>
          <w:color w:val="000000"/>
          <w:sz w:val="22"/>
          <w:szCs w:val="20"/>
        </w:rPr>
        <w:t xml:space="preserve"> exports </w:t>
      </w:r>
      <w:r>
        <w:rPr>
          <w:rFonts w:eastAsia="SimSun" w:cs="Times New Roman"/>
          <w:color w:val="000000"/>
          <w:sz w:val="22"/>
          <w:szCs w:val="20"/>
        </w:rPr>
        <w:t>(</w:t>
      </w:r>
      <w:r w:rsidR="0038014B" w:rsidRPr="00327746">
        <w:rPr>
          <w:noProof/>
          <w:position w:val="-10"/>
        </w:rPr>
        <w:object w:dxaOrig="300" w:dyaOrig="320" w14:anchorId="1A6251E9">
          <v:shape id="_x0000_i1118" type="#_x0000_t75" alt="" style="width:14.8pt;height:15.55pt;mso-width-percent:0;mso-height-percent:0;mso-width-percent:0;mso-height-percent:0" o:ole="">
            <v:imagedata r:id="rId226" o:title=""/>
          </v:shape>
          <o:OLEObject Type="Embed" ProgID="Equation.DSMT4" ShapeID="_x0000_i1118" DrawAspect="Content" ObjectID="_1758969513" r:id="rId227"/>
        </w:object>
      </w:r>
      <w:r>
        <w:rPr>
          <w:rFonts w:eastAsia="SimSun" w:cs="Times New Roman"/>
          <w:color w:val="000000"/>
          <w:sz w:val="22"/>
          <w:szCs w:val="20"/>
        </w:rPr>
        <w:t>),</w:t>
      </w:r>
      <w:r w:rsidRPr="00333C7B">
        <w:rPr>
          <w:rFonts w:eastAsia="SimSun" w:cs="Times New Roman"/>
          <w:color w:val="000000"/>
          <w:sz w:val="22"/>
          <w:szCs w:val="20"/>
        </w:rPr>
        <w:t xml:space="preserve"> sector-level electricity, cement, and aluminum data are split into subsectors by assuming that each subsector’s share of a corresponding input (or export) equals the subsector’s output share. As for the material inputs </w:t>
      </w:r>
      <w:r>
        <w:rPr>
          <w:rFonts w:eastAsia="SimSun" w:cs="Times New Roman"/>
          <w:color w:val="000000"/>
          <w:sz w:val="22"/>
          <w:szCs w:val="20"/>
        </w:rPr>
        <w:t>for the</w:t>
      </w:r>
      <w:r w:rsidRPr="00333C7B">
        <w:rPr>
          <w:rFonts w:eastAsia="SimSun" w:cs="Times New Roman"/>
          <w:color w:val="000000"/>
          <w:sz w:val="22"/>
          <w:szCs w:val="20"/>
        </w:rPr>
        <w:t xml:space="preserve"> iron&amp;steel</w:t>
      </w:r>
      <w:r>
        <w:rPr>
          <w:rFonts w:eastAsia="SimSun" w:cs="Times New Roman"/>
          <w:color w:val="000000"/>
          <w:sz w:val="22"/>
          <w:szCs w:val="20"/>
        </w:rPr>
        <w:t xml:space="preserve"> sector</w:t>
      </w:r>
      <w:r w:rsidRPr="00333C7B">
        <w:rPr>
          <w:rFonts w:eastAsia="SimSun" w:cs="Times New Roman"/>
          <w:color w:val="000000"/>
          <w:sz w:val="22"/>
          <w:szCs w:val="20"/>
        </w:rPr>
        <w:t xml:space="preserve">, we consider the different technical properties of the basic oxygen (BO) steelmaking and electric arc furnace (EA) steelmaking subsectors: BO steelmaking converts iron ore into pig iron and then into steel, while the EA steelmaking directly converts scrap or direct </w:t>
      </w:r>
      <w:r w:rsidRPr="00333C7B">
        <w:rPr>
          <w:rFonts w:eastAsia="SimSun" w:cs="Times New Roman"/>
          <w:color w:val="000000"/>
          <w:sz w:val="22"/>
          <w:szCs w:val="20"/>
        </w:rPr>
        <w:lastRenderedPageBreak/>
        <w:t xml:space="preserve">reduced iron to steel by electric arcs. Therefore, we assume that the BO steelmaking subsector uses all the iron ore and mineral material inputs in the iron &amp; steel sector. </w:t>
      </w:r>
      <w:r>
        <w:rPr>
          <w:rFonts w:eastAsia="SimSun" w:cs="Times New Roman" w:hint="eastAsia"/>
          <w:color w:val="000000"/>
          <w:sz w:val="22"/>
          <w:szCs w:val="20"/>
        </w:rPr>
        <w:t>T</w:t>
      </w:r>
      <w:r w:rsidRPr="00333C7B">
        <w:rPr>
          <w:rFonts w:eastAsia="SimSun" w:cs="Times New Roman"/>
          <w:color w:val="000000"/>
          <w:sz w:val="22"/>
          <w:szCs w:val="20"/>
        </w:rPr>
        <w:t xml:space="preserve">he </w:t>
      </w:r>
      <w:r>
        <w:rPr>
          <w:rFonts w:eastAsia="SimSun" w:cs="Times New Roman" w:hint="eastAsia"/>
          <w:color w:val="000000"/>
          <w:sz w:val="22"/>
          <w:szCs w:val="20"/>
        </w:rPr>
        <w:t>iron&amp;steel</w:t>
      </w:r>
      <w:r>
        <w:rPr>
          <w:rFonts w:eastAsia="SimSun" w:cs="Times New Roman"/>
          <w:color w:val="000000"/>
          <w:sz w:val="22"/>
          <w:szCs w:val="20"/>
        </w:rPr>
        <w:t xml:space="preserve"> </w:t>
      </w:r>
      <w:r>
        <w:rPr>
          <w:rFonts w:eastAsia="SimSun" w:cs="Times New Roman" w:hint="eastAsia"/>
          <w:color w:val="000000"/>
          <w:sz w:val="22"/>
          <w:szCs w:val="20"/>
        </w:rPr>
        <w:t>input</w:t>
      </w:r>
      <w:r>
        <w:rPr>
          <w:rFonts w:eastAsia="SimSun" w:cs="Times New Roman"/>
          <w:color w:val="000000"/>
          <w:sz w:val="22"/>
          <w:szCs w:val="20"/>
        </w:rPr>
        <w:t>s</w:t>
      </w:r>
      <w:r w:rsidRPr="00333C7B">
        <w:rPr>
          <w:rFonts w:eastAsia="SimSun" w:cs="Times New Roman"/>
          <w:color w:val="000000"/>
          <w:sz w:val="22"/>
          <w:szCs w:val="20"/>
        </w:rPr>
        <w:t xml:space="preserve"> of the EA steelmaking subsector account for 60% of its total input, while the </w:t>
      </w:r>
      <w:r>
        <w:rPr>
          <w:rFonts w:eastAsia="SimSun" w:cs="Times New Roman" w:hint="eastAsia"/>
          <w:color w:val="000000"/>
          <w:sz w:val="22"/>
          <w:szCs w:val="20"/>
        </w:rPr>
        <w:t>iron&amp;steel</w:t>
      </w:r>
      <w:r>
        <w:rPr>
          <w:rFonts w:eastAsia="SimSun" w:cs="Times New Roman"/>
          <w:color w:val="000000"/>
          <w:sz w:val="22"/>
          <w:szCs w:val="20"/>
        </w:rPr>
        <w:t xml:space="preserve"> </w:t>
      </w:r>
      <w:r>
        <w:rPr>
          <w:rFonts w:eastAsia="SimSun" w:cs="Times New Roman" w:hint="eastAsia"/>
          <w:color w:val="000000"/>
          <w:sz w:val="22"/>
          <w:szCs w:val="20"/>
        </w:rPr>
        <w:t>inputs</w:t>
      </w:r>
      <w:r w:rsidRPr="00333C7B">
        <w:rPr>
          <w:rFonts w:eastAsia="SimSun" w:cs="Times New Roman"/>
          <w:color w:val="000000"/>
          <w:sz w:val="22"/>
          <w:szCs w:val="20"/>
        </w:rPr>
        <w:t xml:space="preserve"> of the BO steelmaking subsector only account for 20%, according to </w:t>
      </w:r>
      <w:r w:rsidRPr="00333C7B">
        <w:rPr>
          <w:rFonts w:eastAsia="SimSun" w:cs="Times New Roman"/>
          <w:color w:val="000000"/>
          <w:sz w:val="22"/>
          <w:szCs w:val="20"/>
        </w:rPr>
        <w:fldChar w:fldCharType="begin"/>
      </w:r>
      <w:r>
        <w:rPr>
          <w:rFonts w:eastAsia="SimSun" w:cs="Times New Roman"/>
          <w:color w:val="000000"/>
          <w:sz w:val="22"/>
          <w:szCs w:val="20"/>
        </w:rPr>
        <w:instrText xml:space="preserve"> ADDIN ZOTERO_ITEM CSL_CITATION {"citationID":"Wflu8bDm","properties":{"formattedCitation":"(Lu et al., 2015)","plainCitation":"(Lu et al., 2015)","dontUpdate":true,"noteIndex":0},"citationItems":[{"id":"VlUszWYZ/a781e34G","uris":["http://zotero.org/users/7551265/items/4KMVJ638"],"itemData":{"id":660,"type":"article-journal","container-title":"Chinese Journal of Engineering","DOI":"10.13374/j.issn2095-9389.2016.s1.012","issue":"S1","page":"70-73","title":"Optimization of material structure in converter steelmaking","author":[{"family":"Lu","given":"Ming"},{"family":"Zhu","given":"Rong"},{"family":"Lu","given":"Wengang"}],"issued":{"date-parts":[["2015"]]}}}],"schema":"https://github.com/citation-style-language/schema/raw/master/csl-citation.json"} </w:instrText>
      </w:r>
      <w:r w:rsidRPr="00333C7B">
        <w:rPr>
          <w:rFonts w:eastAsia="SimSun" w:cs="Times New Roman"/>
          <w:color w:val="000000"/>
          <w:sz w:val="22"/>
          <w:szCs w:val="20"/>
        </w:rPr>
        <w:fldChar w:fldCharType="separate"/>
      </w:r>
      <w:r w:rsidRPr="00333C7B">
        <w:rPr>
          <w:rFonts w:eastAsia="SimSun" w:cs="Times"/>
          <w:color w:val="000000"/>
          <w:sz w:val="22"/>
          <w:szCs w:val="20"/>
        </w:rPr>
        <w:t xml:space="preserve">Lu </w:t>
      </w:r>
      <w:r w:rsidRPr="00333C7B">
        <w:rPr>
          <w:rFonts w:eastAsia="SimSun" w:cs="Times"/>
          <w:i/>
          <w:iCs/>
          <w:color w:val="000000"/>
          <w:sz w:val="22"/>
          <w:szCs w:val="20"/>
        </w:rPr>
        <w:t>et al.</w:t>
      </w:r>
      <w:r w:rsidRPr="00333C7B">
        <w:rPr>
          <w:rFonts w:eastAsia="SimSun" w:cs="Times"/>
          <w:color w:val="000000"/>
          <w:sz w:val="22"/>
          <w:szCs w:val="20"/>
        </w:rPr>
        <w:t xml:space="preserve"> (2015)</w:t>
      </w:r>
      <w:r w:rsidRPr="00333C7B">
        <w:rPr>
          <w:rFonts w:eastAsia="SimSun" w:cs="Times New Roman"/>
          <w:color w:val="000000"/>
          <w:sz w:val="22"/>
          <w:szCs w:val="20"/>
        </w:rPr>
        <w:fldChar w:fldCharType="end"/>
      </w:r>
      <w:r w:rsidRPr="00333C7B">
        <w:rPr>
          <w:rFonts w:eastAsia="SimSun" w:cs="Times New Roman"/>
          <w:color w:val="000000"/>
          <w:sz w:val="22"/>
          <w:szCs w:val="20"/>
        </w:rPr>
        <w:t>. Other material inputs, factor inputs, and exports of the iron &amp; steel sector are split in the same way as the electricity, cement, and aluminum sectors.</w:t>
      </w:r>
    </w:p>
    <w:p w14:paraId="1BF9B347" w14:textId="77777777" w:rsidR="008F30F4" w:rsidRPr="00333C7B" w:rsidRDefault="008F30F4" w:rsidP="008F30F4">
      <w:pPr>
        <w:ind w:firstLineChars="327" w:firstLine="719"/>
        <w:rPr>
          <w:rFonts w:eastAsia="SimSun" w:cs="Times New Roman"/>
          <w:color w:val="000000"/>
          <w:sz w:val="22"/>
          <w:szCs w:val="20"/>
        </w:rPr>
      </w:pPr>
      <w:r w:rsidRPr="00333C7B">
        <w:rPr>
          <w:rFonts w:eastAsia="SimSun" w:cs="Times New Roman"/>
          <w:color w:val="000000"/>
          <w:sz w:val="22"/>
          <w:szCs w:val="20"/>
        </w:rPr>
        <w:t>For energy inputs in the electricity sector, the MEE data provides each coal-fired subsector’s share of coal us</w:t>
      </w:r>
      <w:r w:rsidRPr="00333C7B">
        <w:rPr>
          <w:rFonts w:eastAsia="SimSun" w:cs="Times New Roman" w:hint="eastAsia"/>
          <w:color w:val="000000"/>
          <w:sz w:val="22"/>
          <w:szCs w:val="20"/>
        </w:rPr>
        <w:t>e</w:t>
      </w:r>
      <w:r w:rsidRPr="00333C7B">
        <w:rPr>
          <w:rFonts w:eastAsia="SimSun" w:cs="Times New Roman"/>
          <w:color w:val="000000"/>
          <w:sz w:val="22"/>
          <w:szCs w:val="20"/>
        </w:rPr>
        <w:t xml:space="preserve">, and each gas-fired subsector’s share of gas usage. For energy inputs in the cement and the iron&amp;steel sector, the MEE data provides each subsector’s share of fuel composite. We assume that a subsector’s share of the fuel composite applies to each fuel. For energy inputs in the aluminum sector, the MEE data provides each subsector’s share of electricity input. We assume this share also applies to other energy inputs. </w:t>
      </w:r>
    </w:p>
    <w:p w14:paraId="555F671C" w14:textId="77777777" w:rsidR="008F30F4" w:rsidRPr="00333C7B" w:rsidRDefault="008F30F4" w:rsidP="008F30F4">
      <w:pPr>
        <w:ind w:firstLineChars="327" w:firstLine="719"/>
        <w:rPr>
          <w:rFonts w:eastAsia="SimSun" w:cs="Times New Roman"/>
          <w:b/>
          <w:bCs/>
          <w:i/>
          <w:iCs/>
          <w:color w:val="000000"/>
          <w:szCs w:val="20"/>
        </w:rPr>
      </w:pPr>
      <w:r w:rsidRPr="00333C7B">
        <w:rPr>
          <w:rFonts w:eastAsia="SimSun" w:cs="Times New Roman"/>
          <w:color w:val="000000"/>
          <w:sz w:val="22"/>
          <w:szCs w:val="20"/>
        </w:rPr>
        <w:t>The MEE data provides emission</w:t>
      </w:r>
      <w:r>
        <w:rPr>
          <w:rFonts w:eastAsia="SimSun" w:cs="Times New Roman"/>
          <w:color w:val="000000"/>
          <w:sz w:val="22"/>
          <w:szCs w:val="20"/>
        </w:rPr>
        <w:t xml:space="preserve"> </w:t>
      </w:r>
      <w:r>
        <w:rPr>
          <w:rFonts w:eastAsia="SimSun" w:cs="Times New Roman" w:hint="eastAsia"/>
          <w:color w:val="000000"/>
          <w:sz w:val="22"/>
          <w:szCs w:val="20"/>
        </w:rPr>
        <w:t>data</w:t>
      </w:r>
      <w:r>
        <w:rPr>
          <w:rFonts w:eastAsia="SimSun" w:cs="Times New Roman"/>
          <w:color w:val="000000"/>
          <w:sz w:val="22"/>
          <w:szCs w:val="20"/>
        </w:rPr>
        <w:t xml:space="preserve"> </w:t>
      </w:r>
      <w:r w:rsidRPr="00333C7B">
        <w:rPr>
          <w:rFonts w:eastAsia="SimSun" w:cs="Times New Roman"/>
          <w:color w:val="000000"/>
          <w:sz w:val="22"/>
          <w:szCs w:val="20"/>
        </w:rPr>
        <w:t>in electricity, cement, aluminum</w:t>
      </w:r>
      <w:r>
        <w:rPr>
          <w:rFonts w:eastAsia="SimSun" w:cs="Times New Roman"/>
          <w:color w:val="000000"/>
          <w:sz w:val="22"/>
          <w:szCs w:val="20"/>
        </w:rPr>
        <w:t xml:space="preserve">, and </w:t>
      </w:r>
      <w:r w:rsidRPr="00333C7B">
        <w:rPr>
          <w:rFonts w:eastAsia="SimSun" w:cs="Times New Roman"/>
          <w:color w:val="000000"/>
          <w:sz w:val="22"/>
          <w:szCs w:val="20"/>
        </w:rPr>
        <w:t>iron&amp;steel</w:t>
      </w:r>
      <w:r>
        <w:rPr>
          <w:rFonts w:eastAsia="SimSun" w:cs="Times New Roman"/>
          <w:color w:val="000000"/>
          <w:sz w:val="22"/>
          <w:szCs w:val="20"/>
        </w:rPr>
        <w:t xml:space="preserve"> </w:t>
      </w:r>
      <w:r w:rsidRPr="00333C7B">
        <w:rPr>
          <w:rFonts w:eastAsia="SimSun" w:cs="Times New Roman"/>
          <w:color w:val="000000"/>
          <w:sz w:val="22"/>
          <w:szCs w:val="20"/>
        </w:rPr>
        <w:t xml:space="preserve">sectors. The </w:t>
      </w:r>
      <w:r>
        <w:rPr>
          <w:rFonts w:eastAsia="SimSun" w:cs="Times New Roman"/>
          <w:color w:val="000000"/>
          <w:sz w:val="22"/>
          <w:szCs w:val="20"/>
        </w:rPr>
        <w:t xml:space="preserve">emission </w:t>
      </w:r>
      <w:r w:rsidRPr="00333C7B">
        <w:rPr>
          <w:rFonts w:eastAsia="SimSun" w:cs="Times New Roman"/>
          <w:color w:val="000000"/>
          <w:sz w:val="22"/>
          <w:szCs w:val="20"/>
        </w:rPr>
        <w:t xml:space="preserve">data only covers a subset of the whole sector. For example, data on the cement sector covers 57% of China’s cement production. We scale the emissions data up by the share of coverage for each of the </w:t>
      </w:r>
      <w:r w:rsidRPr="00193295">
        <w:rPr>
          <w:rFonts w:eastAsia="SimSun" w:cs="Times New Roman"/>
          <w:color w:val="000000"/>
          <w:sz w:val="22"/>
          <w:szCs w:val="20"/>
        </w:rPr>
        <w:t>four</w:t>
      </w:r>
      <w:r w:rsidRPr="00333C7B">
        <w:rPr>
          <w:rFonts w:eastAsia="SimSun" w:cs="Times New Roman"/>
          <w:color w:val="000000"/>
          <w:sz w:val="22"/>
          <w:szCs w:val="20"/>
        </w:rPr>
        <w:t xml:space="preserve"> sectors. Then, for the electricity, cement, aluminum</w:t>
      </w:r>
      <w:r>
        <w:rPr>
          <w:rFonts w:eastAsia="SimSun" w:cs="Times New Roman"/>
          <w:color w:val="000000"/>
          <w:sz w:val="22"/>
          <w:szCs w:val="20"/>
        </w:rPr>
        <w:t xml:space="preserve">, and </w:t>
      </w:r>
      <w:r w:rsidRPr="00333C7B">
        <w:rPr>
          <w:rFonts w:eastAsia="SimSun" w:cs="Times New Roman"/>
          <w:color w:val="000000"/>
          <w:sz w:val="22"/>
          <w:szCs w:val="20"/>
        </w:rPr>
        <w:t>iron&amp;steel sectors, the emission data at the sector level are split into subsectors in the same way as we split energy inputs. Note that the cement sector, in addition to emissions from consuming energy inputs, also emits CO</w:t>
      </w:r>
      <w:r w:rsidRPr="00333C7B">
        <w:rPr>
          <w:rFonts w:eastAsia="SimSun" w:cs="Times New Roman"/>
          <w:color w:val="000000"/>
          <w:sz w:val="22"/>
          <w:szCs w:val="20"/>
          <w:vertAlign w:val="subscript"/>
        </w:rPr>
        <w:t>2</w:t>
      </w:r>
      <w:r w:rsidRPr="00333C7B">
        <w:rPr>
          <w:rFonts w:eastAsia="SimSun" w:cs="Times New Roman"/>
          <w:color w:val="000000"/>
          <w:sz w:val="22"/>
          <w:szCs w:val="20"/>
        </w:rPr>
        <w:t xml:space="preserve"> in the process of carbonate decomposition (CaCO</w:t>
      </w:r>
      <w:r w:rsidRPr="00333C7B">
        <w:rPr>
          <w:rFonts w:eastAsia="SimSun" w:cs="Times New Roman"/>
          <w:color w:val="000000"/>
          <w:sz w:val="22"/>
          <w:szCs w:val="20"/>
          <w:vertAlign w:val="subscript"/>
        </w:rPr>
        <w:t>3</w:t>
      </w:r>
      <w:r w:rsidRPr="00333C7B">
        <w:rPr>
          <w:rFonts w:eastAsia="SimSun" w:cs="Times New Roman"/>
          <w:color w:val="000000"/>
          <w:sz w:val="22"/>
          <w:szCs w:val="20"/>
        </w:rPr>
        <w:t xml:space="preserve"> decomposed to CaO and CO</w:t>
      </w:r>
      <w:r w:rsidRPr="00333C7B">
        <w:rPr>
          <w:rFonts w:eastAsia="SimSun" w:cs="Times New Roman"/>
          <w:color w:val="000000"/>
          <w:sz w:val="22"/>
          <w:szCs w:val="20"/>
          <w:vertAlign w:val="subscript"/>
        </w:rPr>
        <w:t>2</w:t>
      </w:r>
      <w:r w:rsidRPr="00333C7B">
        <w:rPr>
          <w:rFonts w:eastAsia="SimSun" w:cs="Times New Roman"/>
          <w:color w:val="000000"/>
          <w:sz w:val="22"/>
          <w:szCs w:val="20"/>
        </w:rPr>
        <w:t>).</w:t>
      </w:r>
    </w:p>
    <w:p w14:paraId="48037F7A" w14:textId="77777777" w:rsidR="008F30F4" w:rsidRDefault="008F30F4" w:rsidP="008F30F4">
      <w:pPr>
        <w:ind w:firstLine="0"/>
        <w:rPr>
          <w:rFonts w:eastAsia="SimSun" w:cs="Times New Roman"/>
          <w:b/>
          <w:bCs/>
          <w:i/>
          <w:iCs/>
          <w:color w:val="000000"/>
          <w:szCs w:val="21"/>
        </w:rPr>
      </w:pPr>
    </w:p>
    <w:p w14:paraId="493E5126" w14:textId="77777777" w:rsidR="008F30F4" w:rsidRPr="00333C7B" w:rsidRDefault="008F30F4" w:rsidP="008F30F4">
      <w:pPr>
        <w:ind w:firstLine="0"/>
        <w:rPr>
          <w:rFonts w:eastAsia="SimSun" w:cs="Times New Roman"/>
          <w:b/>
          <w:bCs/>
          <w:i/>
          <w:iCs/>
          <w:color w:val="000000"/>
          <w:szCs w:val="20"/>
        </w:rPr>
      </w:pPr>
      <w:r w:rsidRPr="00333C7B">
        <w:rPr>
          <w:rFonts w:eastAsia="SimSun" w:cs="Times New Roman"/>
          <w:b/>
          <w:bCs/>
          <w:i/>
          <w:iCs/>
          <w:color w:val="000000"/>
          <w:szCs w:val="21"/>
        </w:rPr>
        <w:t>Input-Output Table Re</w:t>
      </w:r>
      <w:r>
        <w:rPr>
          <w:rFonts w:eastAsia="SimSun" w:cs="Times New Roman"/>
          <w:b/>
          <w:bCs/>
          <w:i/>
          <w:iCs/>
          <w:color w:val="000000"/>
          <w:szCs w:val="21"/>
        </w:rPr>
        <w:t>-</w:t>
      </w:r>
      <w:r w:rsidRPr="00333C7B">
        <w:rPr>
          <w:rFonts w:eastAsia="SimSun" w:cs="Times New Roman"/>
          <w:b/>
          <w:bCs/>
          <w:i/>
          <w:iCs/>
          <w:color w:val="000000"/>
          <w:szCs w:val="21"/>
        </w:rPr>
        <w:t>balance</w:t>
      </w:r>
      <w:r w:rsidRPr="00333C7B">
        <w:rPr>
          <w:rFonts w:eastAsia="SimSun" w:cs="Times New Roman"/>
          <w:b/>
          <w:bCs/>
          <w:i/>
          <w:iCs/>
          <w:color w:val="000000"/>
          <w:szCs w:val="20"/>
        </w:rPr>
        <w:t xml:space="preserve"> </w:t>
      </w:r>
    </w:p>
    <w:p w14:paraId="76BBF2DF" w14:textId="77777777" w:rsidR="008F30F4" w:rsidRPr="00EE796D" w:rsidRDefault="008F30F4" w:rsidP="008F30F4">
      <w:pPr>
        <w:ind w:firstLine="720"/>
        <w:rPr>
          <w:rFonts w:eastAsia="SimSun" w:cs="Times New Roman"/>
          <w:color w:val="000000"/>
          <w:sz w:val="22"/>
          <w:szCs w:val="22"/>
        </w:rPr>
      </w:pPr>
      <w:r w:rsidRPr="00EE796D">
        <w:rPr>
          <w:rFonts w:eastAsia="SimSun" w:cs="Times New Roman"/>
          <w:color w:val="000000"/>
          <w:sz w:val="22"/>
          <w:szCs w:val="22"/>
        </w:rPr>
        <w:t xml:space="preserve">After data processing described above, the original input-output table becomes unbalanced – the total inputs of a sector differ from the sector’s total outputs. We thus apply a least-square optimization method to obtain a balanced input-output table following </w:t>
      </w:r>
      <w:r w:rsidRPr="00EE796D">
        <w:rPr>
          <w:rFonts w:eastAsia="SimSun" w:cs="Times New Roman"/>
          <w:color w:val="000000"/>
          <w:sz w:val="22"/>
          <w:szCs w:val="22"/>
        </w:rPr>
        <w:fldChar w:fldCharType="begin"/>
      </w:r>
      <w:r>
        <w:rPr>
          <w:rFonts w:eastAsia="SimSun" w:cs="Times New Roman"/>
          <w:color w:val="000000"/>
          <w:sz w:val="22"/>
          <w:szCs w:val="22"/>
        </w:rPr>
        <w:instrText xml:space="preserve"> ADDIN ZOTERO_ITEM CSL_CITATION {"citationID":"2FSzkyQL","properties":{"formattedCitation":"(Zhang et al., 2013)","plainCitation":"(Zhang et al., 2013)","dontUpdate":true,"noteIndex":0},"citationItems":[{"id":"VlUszWYZ/LEnsaIKU","uris":["http://zotero.org/users/7551265/items/S9J2XCAU"],"itemData":{"id":704,"type":"article-journal","abstract":"To address rising energy use and CO2 emissions, China's leadership has enacted energy and CO2 intensity targets under the Twelfth Five-Year Plan (2011–2015), which are deﬁned at both the national and provincial levels. We develop a computable general equilibrium (CGE) model with global coverage that disaggregates China's 30 provinces and includes energy system detail, and apply it to assess the impact of the current binding provincial CO2 emissions intensity targets. We compare the impact of the provincial targets approach to a single target for China that achieves the same reduction in CO2 emissions intensity at the national level. The national target assumes trading of emissions allowances across provinces, resulting in the least-cost reductions nationwide. We ﬁnd that the national target results in about 20% lower welfare loss in China relative to the provincial targets approach. Given that the regional distribution of impacts has been an important consideration in the target-setting process, we focus on the changes in provincial-level CO2 emissions intensity, CO2 emissions, energy consumption, and economic welfare. We observe signiﬁcant heterogeneity across provinces in terms of the energy system response as well as the magnitude of welfare impacts. We further model the current policy of ﬁxed end-use electricity prices in China and ﬁnd that national welfare losses increase. Assumptions about capital mobility have a substantial impact on national welfare loss, while changing assumptions about the future availability of domestic natural gas resources does not have a large effect.","container-title":"Energy Economics","DOI":"10.1016/j.eneco.2013.08.018","ISSN":"01409883","journalAbbreviation":"Energy Economics","language":"en","page":"687-701","source":"DOI.org (Crossref)","title":"Quantifying regional economic impacts of CO2 intensity targets in China","volume":"40","author":[{"family":"Zhang","given":"Da"},{"family":"Rausch","given":"Sebastian"},{"family":"Karplus","given":"Valerie J."},{"family":"Zhang","given":"Xiliang"}],"issued":{"date-parts":[["2013",11]]}}}],"schema":"https://github.com/citation-style-language/schema/raw/master/csl-citation.json"} </w:instrText>
      </w:r>
      <w:r w:rsidRPr="00EE796D">
        <w:rPr>
          <w:rFonts w:eastAsia="SimSun" w:cs="Times New Roman"/>
          <w:color w:val="000000"/>
          <w:sz w:val="22"/>
          <w:szCs w:val="22"/>
        </w:rPr>
        <w:fldChar w:fldCharType="separate"/>
      </w:r>
      <w:r w:rsidRPr="00EE796D">
        <w:rPr>
          <w:rFonts w:eastAsia="SimSun" w:cs="Times New Roman"/>
          <w:color w:val="000000"/>
          <w:sz w:val="22"/>
          <w:szCs w:val="22"/>
        </w:rPr>
        <w:t xml:space="preserve">Zhang </w:t>
      </w:r>
      <w:r w:rsidRPr="00EE796D">
        <w:rPr>
          <w:rFonts w:eastAsia="SimSun" w:cs="Times New Roman"/>
          <w:i/>
          <w:iCs/>
          <w:color w:val="000000"/>
          <w:sz w:val="22"/>
          <w:szCs w:val="22"/>
        </w:rPr>
        <w:t>et al.</w:t>
      </w:r>
      <w:r w:rsidRPr="00EE796D">
        <w:rPr>
          <w:rFonts w:eastAsia="SimSun" w:cs="Times New Roman"/>
          <w:color w:val="000000"/>
          <w:sz w:val="22"/>
          <w:szCs w:val="22"/>
        </w:rPr>
        <w:t>(2013)</w:t>
      </w:r>
      <w:r w:rsidRPr="00EE796D">
        <w:rPr>
          <w:rFonts w:eastAsia="SimSun" w:cs="Times New Roman"/>
          <w:color w:val="000000"/>
          <w:sz w:val="22"/>
          <w:szCs w:val="22"/>
        </w:rPr>
        <w:fldChar w:fldCharType="end"/>
      </w:r>
      <w:r w:rsidRPr="00EE796D">
        <w:rPr>
          <w:rFonts w:eastAsia="SimSun" w:cs="Times New Roman"/>
          <w:color w:val="000000"/>
          <w:sz w:val="22"/>
          <w:szCs w:val="22"/>
        </w:rPr>
        <w:t xml:space="preserve">: </w:t>
      </w:r>
    </w:p>
    <w:p w14:paraId="23614D93" w14:textId="77777777" w:rsidR="008F30F4" w:rsidRPr="00EE796D" w:rsidRDefault="008F30F4" w:rsidP="008F30F4">
      <w:pPr>
        <w:pStyle w:val="a2"/>
      </w:pPr>
      <w:r w:rsidRPr="00EE796D">
        <w:lastRenderedPageBreak/>
        <w:tab/>
      </w:r>
      <w:r w:rsidR="0038014B" w:rsidRPr="00623B4F">
        <w:rPr>
          <w:noProof/>
          <w:position w:val="-180"/>
        </w:rPr>
        <w:object w:dxaOrig="6320" w:dyaOrig="3960" w14:anchorId="4C87EB20">
          <v:shape id="_x0000_i1117" type="#_x0000_t75" alt="" style="width:314.8pt;height:199.75pt;mso-width-percent:0;mso-height-percent:0;mso-width-percent:0;mso-height-percent:0" o:ole="">
            <v:imagedata r:id="rId228" o:title=""/>
          </v:shape>
          <o:OLEObject Type="Embed" ProgID="Equation.DSMT4" ShapeID="_x0000_i1117" DrawAspect="Content" ObjectID="_1758969514" r:id="rId229"/>
        </w:object>
      </w:r>
      <w:r w:rsidRPr="00EE796D">
        <w:tab/>
      </w:r>
      <w:r w:rsidRPr="00EE796D">
        <w:fldChar w:fldCharType="begin"/>
      </w:r>
      <w:r w:rsidRPr="00EE796D">
        <w:instrText xml:space="preserve"> MACROBUTTON MTPlaceRef \* MERGEFORMAT </w:instrText>
      </w:r>
      <w:r w:rsidRPr="00EE796D">
        <w:fldChar w:fldCharType="begin"/>
      </w:r>
      <w:r w:rsidRPr="00EE796D">
        <w:instrText xml:space="preserve"> SEQ MTEqn \h \* MERGEFORMAT </w:instrText>
      </w:r>
      <w:r w:rsidRPr="00EE796D">
        <w:fldChar w:fldCharType="end"/>
      </w:r>
      <w:r w:rsidRPr="00EE796D">
        <w:instrText>(</w:instrText>
      </w:r>
      <w:fldSimple w:instr=" SEQ MTSec \c \* Alphabetic \* MERGEFORMAT ">
        <w:r>
          <w:rPr>
            <w:noProof/>
          </w:rPr>
          <w:instrText>A</w:instrText>
        </w:r>
      </w:fldSimple>
      <w:fldSimple w:instr=" SEQ MTEqn \c \* Arabic \* MERGEFORMAT ">
        <w:r>
          <w:rPr>
            <w:noProof/>
          </w:rPr>
          <w:instrText>19</w:instrText>
        </w:r>
      </w:fldSimple>
      <w:r w:rsidRPr="00EE796D">
        <w:instrText>)</w:instrText>
      </w:r>
      <w:r w:rsidRPr="00EE796D">
        <w:fldChar w:fldCharType="end"/>
      </w:r>
    </w:p>
    <w:p w14:paraId="66E9BDEB" w14:textId="77777777" w:rsidR="008F30F4" w:rsidRPr="00EE796D" w:rsidRDefault="008F30F4" w:rsidP="008F30F4">
      <w:pPr>
        <w:ind w:firstLine="720"/>
        <w:rPr>
          <w:rFonts w:eastAsia="SimSun" w:cs="Times New Roman"/>
          <w:color w:val="000000"/>
          <w:sz w:val="22"/>
          <w:szCs w:val="22"/>
        </w:rPr>
      </w:pPr>
    </w:p>
    <w:p w14:paraId="3027BF15" w14:textId="77777777" w:rsidR="008F30F4" w:rsidRDefault="008F30F4" w:rsidP="008F30F4">
      <w:pPr>
        <w:ind w:firstLine="0"/>
        <w:rPr>
          <w:rFonts w:ascii="Times" w:eastAsia="DengXian" w:hAnsi="Times" w:cs="Times New Roman"/>
          <w:sz w:val="22"/>
        </w:rPr>
      </w:pPr>
      <w:r w:rsidRPr="00EE796D">
        <w:rPr>
          <w:rFonts w:eastAsia="SimSun" w:cs="Times New Roman"/>
          <w:color w:val="000000"/>
          <w:sz w:val="22"/>
          <w:szCs w:val="22"/>
        </w:rPr>
        <w:t xml:space="preserve">where </w:t>
      </w:r>
      <w:r w:rsidR="0038014B" w:rsidRPr="00623B4F">
        <w:rPr>
          <w:noProof/>
          <w:position w:val="-16"/>
        </w:rPr>
        <w:object w:dxaOrig="380" w:dyaOrig="380" w14:anchorId="55B75E52">
          <v:shape id="_x0000_i1116" type="#_x0000_t75" alt="" style="width:19.75pt;height:19.75pt;mso-width-percent:0;mso-height-percent:0;mso-width-percent:0;mso-height-percent:0" o:ole="">
            <v:imagedata r:id="rId230" o:title=""/>
          </v:shape>
          <o:OLEObject Type="Embed" ProgID="Equation.DSMT4" ShapeID="_x0000_i1116" DrawAspect="Content" ObjectID="_1758969515" r:id="rId231"/>
        </w:object>
      </w:r>
      <w:r w:rsidRPr="00EE796D">
        <w:rPr>
          <w:rFonts w:eastAsia="SimSun" w:cs="Times New Roman"/>
          <w:noProof/>
          <w:color w:val="000000"/>
          <w:sz w:val="22"/>
          <w:szCs w:val="22"/>
        </w:rPr>
        <w:t xml:space="preserve"> </w:t>
      </w:r>
      <w:r w:rsidRPr="00EE796D">
        <w:rPr>
          <w:rFonts w:eastAsia="SimSun" w:cs="Times New Roman"/>
          <w:color w:val="000000"/>
          <w:sz w:val="22"/>
          <w:szCs w:val="22"/>
        </w:rPr>
        <w:t xml:space="preserve">represent the adjusted </w:t>
      </w:r>
      <w:r w:rsidRPr="00EE796D">
        <w:rPr>
          <w:rFonts w:eastAsia="SimSun" w:cs="Times New Roman" w:hint="eastAsia"/>
          <w:color w:val="000000"/>
          <w:sz w:val="22"/>
          <w:szCs w:val="22"/>
        </w:rPr>
        <w:t>domestic</w:t>
      </w:r>
      <w:r w:rsidRPr="00EE796D">
        <w:rPr>
          <w:rFonts w:eastAsia="SimSun" w:cs="Times New Roman"/>
          <w:color w:val="000000"/>
          <w:sz w:val="22"/>
          <w:szCs w:val="22"/>
        </w:rPr>
        <w:t xml:space="preserve"> material input </w:t>
      </w:r>
      <w:r>
        <w:rPr>
          <w:rFonts w:eastAsia="SimSun" w:cs="Times New Roman"/>
          <w:i/>
          <w:iCs/>
          <w:color w:val="000000"/>
          <w:sz w:val="22"/>
          <w:szCs w:val="22"/>
        </w:rPr>
        <w:t xml:space="preserve">i </w:t>
      </w:r>
      <w:r w:rsidRPr="00EE796D">
        <w:rPr>
          <w:rFonts w:eastAsia="SimSun" w:cs="Times New Roman"/>
          <w:color w:val="000000"/>
          <w:sz w:val="22"/>
          <w:szCs w:val="22"/>
        </w:rPr>
        <w:t xml:space="preserve">of sector </w:t>
      </w:r>
      <w:r w:rsidRPr="00EE796D">
        <w:rPr>
          <w:rFonts w:eastAsia="SimSun" w:cs="Times New Roman"/>
          <w:i/>
          <w:iCs/>
          <w:color w:val="000000"/>
          <w:sz w:val="22"/>
          <w:szCs w:val="22"/>
        </w:rPr>
        <w:t>j</w:t>
      </w:r>
      <w:r w:rsidRPr="00EE796D">
        <w:rPr>
          <w:rFonts w:eastAsia="SimSun" w:cs="Times New Roman"/>
          <w:color w:val="000000"/>
          <w:sz w:val="22"/>
          <w:szCs w:val="22"/>
        </w:rPr>
        <w:t xml:space="preserve">, subsector </w:t>
      </w:r>
      <w:r w:rsidRPr="00EE796D">
        <w:rPr>
          <w:rFonts w:eastAsia="SimSun" w:cs="Times New Roman"/>
          <w:i/>
          <w:iCs/>
          <w:color w:val="000000"/>
          <w:sz w:val="22"/>
          <w:szCs w:val="22"/>
        </w:rPr>
        <w:t>k</w:t>
      </w:r>
      <w:r w:rsidRPr="00EE796D">
        <w:rPr>
          <w:rFonts w:eastAsia="SimSun" w:cs="Times New Roman"/>
          <w:color w:val="000000"/>
          <w:sz w:val="22"/>
          <w:szCs w:val="22"/>
        </w:rPr>
        <w:t xml:space="preserve">, </w:t>
      </w:r>
      <w:r w:rsidR="0038014B" w:rsidRPr="00623B4F">
        <w:rPr>
          <w:noProof/>
          <w:position w:val="-14"/>
        </w:rPr>
        <w:object w:dxaOrig="300" w:dyaOrig="360" w14:anchorId="7F4486BB">
          <v:shape id="_x0000_i1115" type="#_x0000_t75" alt="" style="width:14.8pt;height:19.75pt;mso-width-percent:0;mso-height-percent:0;mso-width-percent:0;mso-height-percent:0" o:ole="">
            <v:imagedata r:id="rId232" o:title=""/>
          </v:shape>
          <o:OLEObject Type="Embed" ProgID="Equation.DSMT4" ShapeID="_x0000_i1115" DrawAspect="Content" ObjectID="_1758969516" r:id="rId233"/>
        </w:object>
      </w:r>
      <w:r w:rsidRPr="00EE796D">
        <w:rPr>
          <w:sz w:val="22"/>
          <w:szCs w:val="22"/>
        </w:rPr>
        <w:t xml:space="preserve"> the </w:t>
      </w:r>
      <w:r w:rsidRPr="00EE796D">
        <w:rPr>
          <w:rFonts w:eastAsia="SimSun" w:cs="Times New Roman"/>
          <w:color w:val="000000"/>
          <w:sz w:val="22"/>
          <w:szCs w:val="22"/>
        </w:rPr>
        <w:t xml:space="preserve">energy input </w:t>
      </w:r>
      <w:r w:rsidRPr="00EE796D">
        <w:rPr>
          <w:rFonts w:eastAsia="SimSun" w:cs="Times New Roman"/>
          <w:i/>
          <w:iCs/>
          <w:color w:val="000000"/>
          <w:sz w:val="22"/>
          <w:szCs w:val="22"/>
        </w:rPr>
        <w:t>l</w:t>
      </w:r>
      <w:r w:rsidRPr="00EE796D">
        <w:rPr>
          <w:rFonts w:eastAsia="SimSun" w:cs="Times New Roman"/>
          <w:color w:val="000000"/>
          <w:sz w:val="22"/>
          <w:szCs w:val="22"/>
        </w:rPr>
        <w:t xml:space="preserve">, </w:t>
      </w:r>
      <w:r w:rsidR="0038014B" w:rsidRPr="00623B4F">
        <w:rPr>
          <w:noProof/>
          <w:position w:val="-14"/>
        </w:rPr>
        <w:object w:dxaOrig="340" w:dyaOrig="360" w14:anchorId="0F981D72">
          <v:shape id="_x0000_i1114" type="#_x0000_t75" alt="" style="width:15.55pt;height:19.75pt;mso-width-percent:0;mso-height-percent:0;mso-width-percent:0;mso-height-percent:0" o:ole="">
            <v:imagedata r:id="rId234" o:title=""/>
          </v:shape>
          <o:OLEObject Type="Embed" ProgID="Equation.DSMT4" ShapeID="_x0000_i1114" DrawAspect="Content" ObjectID="_1758969517" r:id="rId235"/>
        </w:object>
      </w:r>
      <w:r w:rsidRPr="00EE796D">
        <w:rPr>
          <w:sz w:val="22"/>
          <w:szCs w:val="22"/>
        </w:rPr>
        <w:t xml:space="preserve"> the </w:t>
      </w:r>
      <w:r w:rsidRPr="00EE796D">
        <w:rPr>
          <w:rFonts w:eastAsia="SimSun" w:cs="Times New Roman"/>
          <w:color w:val="000000"/>
          <w:sz w:val="22"/>
          <w:szCs w:val="22"/>
        </w:rPr>
        <w:t xml:space="preserve">capital input, and </w:t>
      </w:r>
      <w:r w:rsidR="0038014B" w:rsidRPr="00623B4F">
        <w:rPr>
          <w:noProof/>
          <w:position w:val="-14"/>
        </w:rPr>
        <w:object w:dxaOrig="360" w:dyaOrig="360" w14:anchorId="0FD05D46">
          <v:shape id="_x0000_i1113" type="#_x0000_t75" alt="" style="width:19.75pt;height:19.75pt;mso-width-percent:0;mso-height-percent:0;mso-width-percent:0;mso-height-percent:0" o:ole="">
            <v:imagedata r:id="rId236" o:title=""/>
          </v:shape>
          <o:OLEObject Type="Embed" ProgID="Equation.DSMT4" ShapeID="_x0000_i1113" DrawAspect="Content" ObjectID="_1758969518" r:id="rId237"/>
        </w:object>
      </w:r>
      <w:r w:rsidRPr="00EE796D">
        <w:rPr>
          <w:sz w:val="22"/>
          <w:szCs w:val="22"/>
        </w:rPr>
        <w:t xml:space="preserve"> the </w:t>
      </w:r>
      <w:r w:rsidRPr="00EE796D">
        <w:rPr>
          <w:rFonts w:eastAsia="SimSun" w:cs="Times New Roman"/>
          <w:color w:val="000000"/>
          <w:sz w:val="22"/>
          <w:szCs w:val="22"/>
        </w:rPr>
        <w:t xml:space="preserve">labor input. </w:t>
      </w:r>
      <w:r w:rsidR="0038014B" w:rsidRPr="00623B4F">
        <w:rPr>
          <w:noProof/>
          <w:position w:val="-16"/>
        </w:rPr>
        <w:object w:dxaOrig="400" w:dyaOrig="420" w14:anchorId="065FC68F">
          <v:shape id="_x0000_i1112" type="#_x0000_t75" alt="" style="width:20.45pt;height:19.75pt;mso-width-percent:0;mso-height-percent:0;mso-width-percent:0;mso-height-percent:0" o:ole="">
            <v:imagedata r:id="rId238" o:title=""/>
          </v:shape>
          <o:OLEObject Type="Embed" ProgID="Equation.DSMT4" ShapeID="_x0000_i1112" DrawAspect="Content" ObjectID="_1758969519" r:id="rId239"/>
        </w:object>
      </w:r>
      <w:r>
        <w:rPr>
          <w:rFonts w:eastAsia="SimSun" w:cs="Times New Roman"/>
          <w:noProof/>
          <w:color w:val="000000"/>
          <w:sz w:val="22"/>
          <w:szCs w:val="22"/>
        </w:rPr>
        <w:t xml:space="preserve">, </w:t>
      </w:r>
      <w:r w:rsidR="0038014B" w:rsidRPr="00623B4F">
        <w:rPr>
          <w:noProof/>
          <w:position w:val="-14"/>
        </w:rPr>
        <w:object w:dxaOrig="320" w:dyaOrig="400" w14:anchorId="79B80406">
          <v:shape id="_x0000_i1111" type="#_x0000_t75" alt="" style="width:15.55pt;height:20.45pt;mso-width-percent:0;mso-height-percent:0;mso-width-percent:0;mso-height-percent:0" o:ole="">
            <v:imagedata r:id="rId240" o:title=""/>
          </v:shape>
          <o:OLEObject Type="Embed" ProgID="Equation.DSMT4" ShapeID="_x0000_i1111" DrawAspect="Content" ObjectID="_1758969520" r:id="rId241"/>
        </w:object>
      </w:r>
      <w:r>
        <w:rPr>
          <w:rFonts w:eastAsia="SimSun" w:cs="Times New Roman"/>
          <w:noProof/>
          <w:color w:val="000000"/>
          <w:sz w:val="22"/>
          <w:szCs w:val="22"/>
        </w:rPr>
        <w:t xml:space="preserve">, </w:t>
      </w:r>
      <w:r w:rsidR="0038014B" w:rsidRPr="00623B4F">
        <w:rPr>
          <w:noProof/>
          <w:position w:val="-14"/>
        </w:rPr>
        <w:object w:dxaOrig="360" w:dyaOrig="400" w14:anchorId="64EC93AE">
          <v:shape id="_x0000_i1110" type="#_x0000_t75" alt="" style="width:19.75pt;height:20.45pt;mso-width-percent:0;mso-height-percent:0;mso-width-percent:0;mso-height-percent:0" o:ole="">
            <v:imagedata r:id="rId242" o:title=""/>
          </v:shape>
          <o:OLEObject Type="Embed" ProgID="Equation.DSMT4" ShapeID="_x0000_i1110" DrawAspect="Content" ObjectID="_1758969521" r:id="rId243"/>
        </w:object>
      </w:r>
      <w:r>
        <w:rPr>
          <w:rFonts w:eastAsia="SimSun" w:cs="Times New Roman"/>
          <w:noProof/>
          <w:color w:val="000000"/>
          <w:sz w:val="22"/>
          <w:szCs w:val="22"/>
        </w:rPr>
        <w:t xml:space="preserve">, </w:t>
      </w:r>
      <w:r w:rsidR="0038014B" w:rsidRPr="00623B4F">
        <w:rPr>
          <w:noProof/>
          <w:position w:val="-14"/>
        </w:rPr>
        <w:object w:dxaOrig="380" w:dyaOrig="400" w14:anchorId="52CCA6B6">
          <v:shape id="_x0000_i1109" type="#_x0000_t75" alt="" style="width:19.75pt;height:20.45pt;mso-width-percent:0;mso-height-percent:0;mso-width-percent:0;mso-height-percent:0" o:ole="">
            <v:imagedata r:id="rId244" o:title=""/>
          </v:shape>
          <o:OLEObject Type="Embed" ProgID="Equation.DSMT4" ShapeID="_x0000_i1109" DrawAspect="Content" ObjectID="_1758969522" r:id="rId245"/>
        </w:object>
      </w:r>
      <w:r>
        <w:rPr>
          <w:rFonts w:eastAsia="SimSun" w:cs="Times New Roman"/>
          <w:noProof/>
          <w:color w:val="000000"/>
          <w:sz w:val="22"/>
          <w:szCs w:val="22"/>
        </w:rPr>
        <w:t xml:space="preserve"> </w:t>
      </w:r>
      <w:r w:rsidRPr="00EE796D">
        <w:rPr>
          <w:rFonts w:eastAsia="SimSun" w:cs="Times New Roman"/>
          <w:color w:val="000000"/>
          <w:sz w:val="22"/>
          <w:szCs w:val="22"/>
        </w:rPr>
        <w:t>represent the corresponding accounts before the re</w:t>
      </w:r>
      <w:r>
        <w:rPr>
          <w:rFonts w:eastAsia="SimSun" w:cs="Times New Roman"/>
          <w:color w:val="000000"/>
          <w:sz w:val="22"/>
          <w:szCs w:val="22"/>
        </w:rPr>
        <w:t>-</w:t>
      </w:r>
      <w:r w:rsidRPr="00EE796D">
        <w:rPr>
          <w:rFonts w:eastAsia="SimSun" w:cs="Times New Roman"/>
          <w:color w:val="000000"/>
          <w:sz w:val="22"/>
          <w:szCs w:val="22"/>
        </w:rPr>
        <w:t xml:space="preserve">balance. </w:t>
      </w:r>
      <w:r w:rsidR="0038014B" w:rsidRPr="00623B4F">
        <w:rPr>
          <w:noProof/>
          <w:position w:val="-16"/>
        </w:rPr>
        <w:object w:dxaOrig="460" w:dyaOrig="420" w14:anchorId="64021A7D">
          <v:shape id="_x0000_i1108" type="#_x0000_t75" alt="" style="width:23.3pt;height:19.75pt;mso-width-percent:0;mso-height-percent:0;mso-width-percent:0;mso-height-percent:0" o:ole="">
            <v:imagedata r:id="rId246" o:title=""/>
          </v:shape>
          <o:OLEObject Type="Embed" ProgID="Equation.DSMT4" ShapeID="_x0000_i1108" DrawAspect="Content" ObjectID="_1758969523" r:id="rId247"/>
        </w:object>
      </w:r>
      <w:r w:rsidRPr="00EE796D">
        <w:rPr>
          <w:rFonts w:eastAsia="SimSun" w:cs="Times New Roman"/>
          <w:color w:val="000000"/>
          <w:sz w:val="22"/>
          <w:szCs w:val="22"/>
        </w:rPr>
        <w:t xml:space="preserve"> is the share of natural resources for low-carbon electricity production subsectors. The objective function is to minimize the difference between the adjusted and unadjusted original value. </w:t>
      </w:r>
      <w:r w:rsidRPr="00EE796D">
        <w:rPr>
          <w:rFonts w:eastAsia="SimSun" w:cs="Times New Roman" w:hint="eastAsia"/>
          <w:color w:val="000000"/>
          <w:sz w:val="22"/>
          <w:szCs w:val="22"/>
        </w:rPr>
        <w:t>In</w:t>
      </w:r>
      <w:r w:rsidRPr="00EE796D">
        <w:rPr>
          <w:rFonts w:eastAsia="SimSun" w:cs="Times New Roman"/>
          <w:color w:val="000000"/>
          <w:sz w:val="22"/>
          <w:szCs w:val="22"/>
        </w:rPr>
        <w:t xml:space="preserve"> </w:t>
      </w:r>
      <w:r w:rsidRPr="00EE796D">
        <w:rPr>
          <w:rFonts w:eastAsia="SimSun" w:cs="Times New Roman" w:hint="eastAsia"/>
          <w:color w:val="000000"/>
          <w:sz w:val="22"/>
          <w:szCs w:val="22"/>
        </w:rPr>
        <w:t>the</w:t>
      </w:r>
      <w:r w:rsidRPr="00EE796D">
        <w:rPr>
          <w:rFonts w:eastAsia="SimSun" w:cs="Times New Roman"/>
          <w:color w:val="000000"/>
          <w:sz w:val="22"/>
          <w:szCs w:val="22"/>
        </w:rPr>
        <w:t xml:space="preserve"> first constraint, the left-hand side represents the total inputs of sector </w:t>
      </w:r>
      <w:r w:rsidRPr="00EE796D">
        <w:rPr>
          <w:rFonts w:eastAsia="SimSun" w:cs="Times New Roman"/>
          <w:i/>
          <w:iCs/>
          <w:color w:val="000000"/>
          <w:sz w:val="22"/>
          <w:szCs w:val="22"/>
        </w:rPr>
        <w:t>j</w:t>
      </w:r>
      <w:r w:rsidRPr="00EE796D">
        <w:rPr>
          <w:rFonts w:eastAsia="SimSun" w:cs="Times New Roman"/>
          <w:color w:val="000000"/>
          <w:sz w:val="22"/>
          <w:szCs w:val="22"/>
        </w:rPr>
        <w:t xml:space="preserve">, subsector </w:t>
      </w:r>
      <w:r w:rsidRPr="00EE796D">
        <w:rPr>
          <w:rFonts w:eastAsia="SimSun" w:cs="Times New Roman"/>
          <w:i/>
          <w:iCs/>
          <w:color w:val="000000"/>
          <w:sz w:val="22"/>
          <w:szCs w:val="22"/>
        </w:rPr>
        <w:t>k</w:t>
      </w:r>
      <w:r w:rsidRPr="00EE796D">
        <w:rPr>
          <w:rFonts w:eastAsia="SimSun" w:cs="Times New Roman"/>
          <w:color w:val="000000"/>
          <w:sz w:val="22"/>
          <w:szCs w:val="22"/>
        </w:rPr>
        <w:t xml:space="preserve">. The right-hand side is the total output of sector </w:t>
      </w:r>
      <w:r w:rsidRPr="00EE796D">
        <w:rPr>
          <w:rFonts w:eastAsia="SimSun" w:cs="Times New Roman"/>
          <w:i/>
          <w:iCs/>
          <w:color w:val="000000"/>
          <w:sz w:val="22"/>
          <w:szCs w:val="22"/>
        </w:rPr>
        <w:t>j</w:t>
      </w:r>
      <w:r w:rsidRPr="00EE796D">
        <w:rPr>
          <w:rFonts w:eastAsia="SimSun" w:cs="Times New Roman"/>
          <w:color w:val="000000"/>
          <w:sz w:val="22"/>
          <w:szCs w:val="22"/>
        </w:rPr>
        <w:t xml:space="preserve">, subsector </w:t>
      </w:r>
      <w:r w:rsidRPr="00EE796D">
        <w:rPr>
          <w:rFonts w:eastAsia="SimSun" w:cs="Times New Roman"/>
          <w:i/>
          <w:iCs/>
          <w:color w:val="000000"/>
          <w:sz w:val="22"/>
          <w:szCs w:val="22"/>
        </w:rPr>
        <w:t>k</w:t>
      </w:r>
      <w:r w:rsidRPr="0005297D">
        <w:rPr>
          <w:rFonts w:eastAsia="SimSun" w:cs="Times New Roman"/>
          <w:color w:val="000000"/>
          <w:sz w:val="22"/>
          <w:szCs w:val="22"/>
        </w:rPr>
        <w:t>,</w:t>
      </w:r>
      <w:r w:rsidRPr="00EE796D">
        <w:rPr>
          <w:rFonts w:eastAsia="SimSun" w:cs="Times New Roman"/>
          <w:color w:val="000000"/>
          <w:sz w:val="22"/>
          <w:szCs w:val="22"/>
        </w:rPr>
        <w:t xml:space="preserve"> where </w:t>
      </w:r>
      <w:r w:rsidR="0038014B" w:rsidRPr="00623B4F">
        <w:rPr>
          <w:noProof/>
          <w:position w:val="-14"/>
        </w:rPr>
        <w:object w:dxaOrig="360" w:dyaOrig="360" w14:anchorId="210CB6D3">
          <v:shape id="_x0000_i1107" type="#_x0000_t75" alt="" style="width:19.75pt;height:19.75pt;mso-width-percent:0;mso-height-percent:0;mso-width-percent:0;mso-height-percent:0" o:ole="">
            <v:imagedata r:id="rId248" o:title=""/>
          </v:shape>
          <o:OLEObject Type="Embed" ProgID="Equation.DSMT4" ShapeID="_x0000_i1107" DrawAspect="Content" ObjectID="_1758969524" r:id="rId249"/>
        </w:object>
      </w:r>
      <w:r w:rsidRPr="00EE796D">
        <w:rPr>
          <w:rFonts w:eastAsia="SimSun" w:cs="Times New Roman"/>
          <w:color w:val="000000"/>
          <w:sz w:val="22"/>
          <w:szCs w:val="22"/>
        </w:rPr>
        <w:t xml:space="preserve"> represents the subsector </w:t>
      </w:r>
      <w:r w:rsidRPr="00EE796D">
        <w:rPr>
          <w:rFonts w:eastAsia="SimSun" w:cs="Times New Roman"/>
          <w:i/>
          <w:iCs/>
          <w:color w:val="000000"/>
          <w:sz w:val="22"/>
          <w:szCs w:val="22"/>
        </w:rPr>
        <w:t>k</w:t>
      </w:r>
      <w:r w:rsidRPr="00EE796D">
        <w:rPr>
          <w:rFonts w:eastAsia="SimSun" w:cs="Times New Roman"/>
          <w:color w:val="000000"/>
          <w:sz w:val="22"/>
          <w:szCs w:val="22"/>
        </w:rPr>
        <w:t>’s output share in sector</w:t>
      </w:r>
      <w:r w:rsidRPr="00EE796D">
        <w:rPr>
          <w:rFonts w:eastAsia="SimSun" w:cs="Times New Roman"/>
          <w:i/>
          <w:iCs/>
          <w:color w:val="000000"/>
          <w:sz w:val="22"/>
          <w:szCs w:val="22"/>
        </w:rPr>
        <w:t xml:space="preserve"> j</w:t>
      </w:r>
      <w:r w:rsidRPr="00EE796D">
        <w:rPr>
          <w:rFonts w:eastAsia="SimSun" w:cs="Times New Roman"/>
          <w:color w:val="000000"/>
          <w:sz w:val="22"/>
          <w:szCs w:val="22"/>
        </w:rPr>
        <w:t>.</w:t>
      </w:r>
    </w:p>
    <w:p w14:paraId="7FDA52E1" w14:textId="77777777" w:rsidR="008F30F4" w:rsidRDefault="008F30F4" w:rsidP="008F30F4">
      <w:pPr>
        <w:spacing w:before="0" w:line="240" w:lineRule="auto"/>
        <w:ind w:firstLine="0"/>
        <w:rPr>
          <w:rFonts w:eastAsiaTheme="minorHAnsi" w:cs="Times New Roman"/>
          <w:b/>
          <w:bCs/>
          <w:sz w:val="28"/>
          <w:szCs w:val="28"/>
          <w:lang w:eastAsia="en-US"/>
        </w:rPr>
      </w:pPr>
      <w:r>
        <w:rPr>
          <w:sz w:val="28"/>
          <w:szCs w:val="28"/>
        </w:rPr>
        <w:br w:type="page"/>
      </w:r>
    </w:p>
    <w:p w14:paraId="75AA822A" w14:textId="77777777" w:rsidR="008F30F4" w:rsidRPr="0096493C" w:rsidRDefault="008F30F4" w:rsidP="008F30F4">
      <w:pPr>
        <w:pStyle w:val="Heading2"/>
        <w:rPr>
          <w:szCs w:val="28"/>
        </w:rPr>
      </w:pPr>
      <w:r w:rsidRPr="00C72B86">
        <w:rPr>
          <w:szCs w:val="28"/>
        </w:rPr>
        <w:lastRenderedPageBreak/>
        <w:t>Data on Import and Export and Emission Intensity by Sector</w:t>
      </w:r>
    </w:p>
    <w:p w14:paraId="29506BFC" w14:textId="77777777" w:rsidR="008F30F4" w:rsidRPr="007C10A5" w:rsidRDefault="008F30F4" w:rsidP="008F30F4">
      <w:pPr>
        <w:ind w:firstLine="0"/>
        <w:jc w:val="center"/>
        <w:rPr>
          <w:rFonts w:eastAsia="DengXian" w:cs="Times New Roman"/>
          <w:b/>
          <w:bCs/>
          <w:sz w:val="22"/>
          <w:szCs w:val="22"/>
          <w:lang w:eastAsia="en-US"/>
        </w:rPr>
      </w:pPr>
      <w:r w:rsidRPr="007C10A5">
        <w:rPr>
          <w:rFonts w:eastAsia="DengXian" w:cs="Times New Roman"/>
          <w:b/>
          <w:bCs/>
          <w:sz w:val="22"/>
          <w:szCs w:val="22"/>
        </w:rPr>
        <w:t>Table</w:t>
      </w:r>
      <w:r w:rsidRPr="007C10A5">
        <w:rPr>
          <w:rFonts w:eastAsia="DengXian" w:cs="Times New Roman"/>
          <w:b/>
          <w:bCs/>
          <w:sz w:val="22"/>
          <w:szCs w:val="22"/>
          <w:lang w:eastAsia="en-US"/>
        </w:rPr>
        <w:t xml:space="preserve"> </w:t>
      </w:r>
      <w:r>
        <w:rPr>
          <w:rFonts w:eastAsia="DengXian" w:cs="Times New Roman"/>
          <w:b/>
          <w:bCs/>
          <w:sz w:val="22"/>
          <w:szCs w:val="22"/>
        </w:rPr>
        <w:t>B5</w:t>
      </w:r>
      <w:r w:rsidRPr="007C10A5">
        <w:rPr>
          <w:rFonts w:eastAsia="DengXian" w:cs="Times New Roman"/>
          <w:b/>
          <w:bCs/>
          <w:sz w:val="22"/>
          <w:szCs w:val="22"/>
          <w:lang w:eastAsia="en-US"/>
        </w:rPr>
        <w:t>. Import and Export as Ratios to Sectors’ Total Output</w:t>
      </w:r>
    </w:p>
    <w:tbl>
      <w:tblPr>
        <w:tblStyle w:val="TableGrid1"/>
        <w:tblW w:w="4129"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2489"/>
        <w:gridCol w:w="2489"/>
      </w:tblGrid>
      <w:tr w:rsidR="008F30F4" w:rsidRPr="00333C7B" w14:paraId="703204C6" w14:textId="77777777" w:rsidTr="001F21E7">
        <w:trPr>
          <w:trHeight w:val="418"/>
          <w:jc w:val="center"/>
        </w:trPr>
        <w:tc>
          <w:tcPr>
            <w:tcW w:w="1787" w:type="pct"/>
            <w:tcBorders>
              <w:top w:val="single" w:sz="4" w:space="0" w:color="auto"/>
              <w:bottom w:val="single" w:sz="4" w:space="0" w:color="auto"/>
            </w:tcBorders>
            <w:noWrap/>
            <w:vAlign w:val="center"/>
            <w:hideMark/>
          </w:tcPr>
          <w:p w14:paraId="0D4B7D97" w14:textId="77777777" w:rsidR="008F30F4" w:rsidRPr="00AA1822" w:rsidRDefault="008F30F4" w:rsidP="001F21E7">
            <w:pPr>
              <w:spacing w:before="0" w:line="240" w:lineRule="auto"/>
              <w:ind w:firstLine="0"/>
              <w:contextualSpacing/>
              <w:jc w:val="center"/>
              <w:rPr>
                <w:rFonts w:cs="Times New Roman"/>
                <w:sz w:val="22"/>
                <w:szCs w:val="22"/>
              </w:rPr>
            </w:pPr>
            <w:r w:rsidRPr="00AA1822">
              <w:rPr>
                <w:rFonts w:cs="Times New Roman" w:hint="eastAsia"/>
                <w:sz w:val="22"/>
                <w:szCs w:val="22"/>
              </w:rPr>
              <w:t>S</w:t>
            </w:r>
            <w:r w:rsidRPr="00AA1822">
              <w:rPr>
                <w:rFonts w:cs="Times New Roman"/>
                <w:sz w:val="22"/>
                <w:szCs w:val="22"/>
              </w:rPr>
              <w:t>ector</w:t>
            </w:r>
          </w:p>
        </w:tc>
        <w:tc>
          <w:tcPr>
            <w:tcW w:w="1603" w:type="pct"/>
            <w:tcBorders>
              <w:top w:val="single" w:sz="4" w:space="0" w:color="auto"/>
              <w:bottom w:val="single" w:sz="4" w:space="0" w:color="auto"/>
            </w:tcBorders>
            <w:noWrap/>
            <w:vAlign w:val="center"/>
            <w:hideMark/>
          </w:tcPr>
          <w:p w14:paraId="241DB192" w14:textId="77777777" w:rsidR="008F30F4" w:rsidRPr="00AA1822" w:rsidRDefault="008F30F4" w:rsidP="001F21E7">
            <w:pPr>
              <w:spacing w:before="0" w:line="240" w:lineRule="auto"/>
              <w:ind w:firstLine="0"/>
              <w:contextualSpacing/>
              <w:jc w:val="center"/>
              <w:rPr>
                <w:rFonts w:cs="Times New Roman"/>
                <w:color w:val="000000"/>
                <w:sz w:val="22"/>
                <w:szCs w:val="22"/>
              </w:rPr>
            </w:pPr>
            <w:r w:rsidRPr="00AA1822">
              <w:rPr>
                <w:rFonts w:cs="Times New Roman"/>
                <w:color w:val="000000"/>
                <w:sz w:val="22"/>
                <w:szCs w:val="22"/>
              </w:rPr>
              <w:t>Export to total output (%)</w:t>
            </w:r>
          </w:p>
        </w:tc>
        <w:tc>
          <w:tcPr>
            <w:tcW w:w="1610" w:type="pct"/>
            <w:tcBorders>
              <w:top w:val="single" w:sz="4" w:space="0" w:color="auto"/>
              <w:bottom w:val="single" w:sz="4" w:space="0" w:color="auto"/>
            </w:tcBorders>
            <w:noWrap/>
            <w:vAlign w:val="center"/>
            <w:hideMark/>
          </w:tcPr>
          <w:p w14:paraId="2231EBDB" w14:textId="77777777" w:rsidR="008F30F4" w:rsidRPr="00AA1822" w:rsidRDefault="008F30F4" w:rsidP="001F21E7">
            <w:pPr>
              <w:spacing w:before="0" w:line="240" w:lineRule="auto"/>
              <w:ind w:firstLine="0"/>
              <w:contextualSpacing/>
              <w:jc w:val="center"/>
              <w:rPr>
                <w:rFonts w:cs="Times New Roman"/>
                <w:color w:val="000000"/>
                <w:sz w:val="22"/>
                <w:szCs w:val="22"/>
              </w:rPr>
            </w:pPr>
            <w:r w:rsidRPr="00AA1822">
              <w:rPr>
                <w:rFonts w:cs="Times New Roman"/>
                <w:color w:val="000000"/>
                <w:sz w:val="22"/>
                <w:szCs w:val="22"/>
              </w:rPr>
              <w:t>Import to total output (%)</w:t>
            </w:r>
          </w:p>
        </w:tc>
      </w:tr>
      <w:tr w:rsidR="008F30F4" w:rsidRPr="00333C7B" w14:paraId="6845272F" w14:textId="77777777" w:rsidTr="001F21E7">
        <w:trPr>
          <w:trHeight w:val="278"/>
          <w:jc w:val="center"/>
        </w:trPr>
        <w:tc>
          <w:tcPr>
            <w:tcW w:w="1787" w:type="pct"/>
            <w:tcBorders>
              <w:top w:val="single" w:sz="4" w:space="0" w:color="auto"/>
            </w:tcBorders>
            <w:noWrap/>
            <w:vAlign w:val="center"/>
            <w:hideMark/>
          </w:tcPr>
          <w:p w14:paraId="49EE266D"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Cement</w:t>
            </w:r>
          </w:p>
        </w:tc>
        <w:tc>
          <w:tcPr>
            <w:tcW w:w="1603" w:type="pct"/>
            <w:tcBorders>
              <w:top w:val="single" w:sz="4" w:space="0" w:color="auto"/>
            </w:tcBorders>
            <w:noWrap/>
            <w:vAlign w:val="center"/>
            <w:hideMark/>
          </w:tcPr>
          <w:p w14:paraId="5044FF3C"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c>
          <w:tcPr>
            <w:tcW w:w="1610" w:type="pct"/>
            <w:tcBorders>
              <w:top w:val="single" w:sz="4" w:space="0" w:color="auto"/>
            </w:tcBorders>
            <w:noWrap/>
            <w:vAlign w:val="center"/>
            <w:hideMark/>
          </w:tcPr>
          <w:p w14:paraId="02008042"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r>
      <w:tr w:rsidR="008F30F4" w:rsidRPr="00333C7B" w14:paraId="440DC866" w14:textId="77777777" w:rsidTr="001F21E7">
        <w:trPr>
          <w:trHeight w:val="278"/>
          <w:jc w:val="center"/>
        </w:trPr>
        <w:tc>
          <w:tcPr>
            <w:tcW w:w="1787" w:type="pct"/>
            <w:noWrap/>
            <w:vAlign w:val="center"/>
            <w:hideMark/>
          </w:tcPr>
          <w:p w14:paraId="3FFD33A8"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Iron &amp; steel</w:t>
            </w:r>
          </w:p>
        </w:tc>
        <w:tc>
          <w:tcPr>
            <w:tcW w:w="1603" w:type="pct"/>
            <w:noWrap/>
            <w:vAlign w:val="center"/>
            <w:hideMark/>
          </w:tcPr>
          <w:p w14:paraId="6FB38EFE"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5</w:t>
            </w:r>
          </w:p>
        </w:tc>
        <w:tc>
          <w:tcPr>
            <w:tcW w:w="1610" w:type="pct"/>
            <w:noWrap/>
            <w:vAlign w:val="center"/>
            <w:hideMark/>
          </w:tcPr>
          <w:p w14:paraId="568193BE"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4</w:t>
            </w:r>
          </w:p>
        </w:tc>
      </w:tr>
      <w:tr w:rsidR="008F30F4" w:rsidRPr="00333C7B" w14:paraId="1D542CDC" w14:textId="77777777" w:rsidTr="001F21E7">
        <w:trPr>
          <w:trHeight w:val="278"/>
          <w:jc w:val="center"/>
        </w:trPr>
        <w:tc>
          <w:tcPr>
            <w:tcW w:w="1787" w:type="pct"/>
            <w:noWrap/>
            <w:vAlign w:val="center"/>
            <w:hideMark/>
          </w:tcPr>
          <w:p w14:paraId="5FCDCBDE"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Aluminum</w:t>
            </w:r>
          </w:p>
        </w:tc>
        <w:tc>
          <w:tcPr>
            <w:tcW w:w="1603" w:type="pct"/>
            <w:noWrap/>
            <w:vAlign w:val="center"/>
            <w:hideMark/>
          </w:tcPr>
          <w:p w14:paraId="7512E32E"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8</w:t>
            </w:r>
          </w:p>
        </w:tc>
        <w:tc>
          <w:tcPr>
            <w:tcW w:w="1610" w:type="pct"/>
            <w:noWrap/>
            <w:vAlign w:val="center"/>
            <w:hideMark/>
          </w:tcPr>
          <w:p w14:paraId="70A24C40"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w:t>
            </w:r>
          </w:p>
        </w:tc>
      </w:tr>
      <w:tr w:rsidR="008F30F4" w:rsidRPr="00333C7B" w14:paraId="37484422" w14:textId="77777777" w:rsidTr="001F21E7">
        <w:trPr>
          <w:trHeight w:val="278"/>
          <w:jc w:val="center"/>
        </w:trPr>
        <w:tc>
          <w:tcPr>
            <w:tcW w:w="1787" w:type="pct"/>
            <w:noWrap/>
            <w:vAlign w:val="center"/>
            <w:hideMark/>
          </w:tcPr>
          <w:p w14:paraId="4149C645"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Pulp &amp; paper</w:t>
            </w:r>
          </w:p>
        </w:tc>
        <w:tc>
          <w:tcPr>
            <w:tcW w:w="1603" w:type="pct"/>
            <w:noWrap/>
            <w:vAlign w:val="center"/>
            <w:hideMark/>
          </w:tcPr>
          <w:p w14:paraId="46481072"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4</w:t>
            </w:r>
          </w:p>
        </w:tc>
        <w:tc>
          <w:tcPr>
            <w:tcW w:w="1610" w:type="pct"/>
            <w:noWrap/>
            <w:vAlign w:val="center"/>
            <w:hideMark/>
          </w:tcPr>
          <w:p w14:paraId="55ABB4E9"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6</w:t>
            </w:r>
          </w:p>
        </w:tc>
      </w:tr>
      <w:tr w:rsidR="008F30F4" w:rsidRPr="00333C7B" w14:paraId="45DDAF17" w14:textId="77777777" w:rsidTr="001F21E7">
        <w:trPr>
          <w:trHeight w:val="278"/>
          <w:jc w:val="center"/>
        </w:trPr>
        <w:tc>
          <w:tcPr>
            <w:tcW w:w="1787" w:type="pct"/>
            <w:noWrap/>
            <w:vAlign w:val="center"/>
            <w:hideMark/>
          </w:tcPr>
          <w:p w14:paraId="6A6A9EFF"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Other non-metal products</w:t>
            </w:r>
          </w:p>
        </w:tc>
        <w:tc>
          <w:tcPr>
            <w:tcW w:w="1603" w:type="pct"/>
            <w:noWrap/>
            <w:vAlign w:val="center"/>
            <w:hideMark/>
          </w:tcPr>
          <w:p w14:paraId="176283E4"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5</w:t>
            </w:r>
          </w:p>
        </w:tc>
        <w:tc>
          <w:tcPr>
            <w:tcW w:w="1610" w:type="pct"/>
            <w:noWrap/>
            <w:vAlign w:val="center"/>
            <w:hideMark/>
          </w:tcPr>
          <w:p w14:paraId="396A80D8"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2</w:t>
            </w:r>
          </w:p>
        </w:tc>
      </w:tr>
      <w:tr w:rsidR="008F30F4" w:rsidRPr="00333C7B" w14:paraId="499815E2" w14:textId="77777777" w:rsidTr="001F21E7">
        <w:trPr>
          <w:trHeight w:val="278"/>
          <w:jc w:val="center"/>
        </w:trPr>
        <w:tc>
          <w:tcPr>
            <w:tcW w:w="1787" w:type="pct"/>
            <w:noWrap/>
            <w:vAlign w:val="center"/>
            <w:hideMark/>
          </w:tcPr>
          <w:p w14:paraId="6492F047"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Other non-ferrous metals</w:t>
            </w:r>
          </w:p>
        </w:tc>
        <w:tc>
          <w:tcPr>
            <w:tcW w:w="1603" w:type="pct"/>
            <w:noWrap/>
            <w:vAlign w:val="center"/>
            <w:hideMark/>
          </w:tcPr>
          <w:p w14:paraId="7418B559"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3</w:t>
            </w:r>
          </w:p>
        </w:tc>
        <w:tc>
          <w:tcPr>
            <w:tcW w:w="1610" w:type="pct"/>
            <w:noWrap/>
            <w:vAlign w:val="center"/>
            <w:hideMark/>
          </w:tcPr>
          <w:p w14:paraId="72F20433"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14</w:t>
            </w:r>
          </w:p>
        </w:tc>
      </w:tr>
      <w:tr w:rsidR="008F30F4" w:rsidRPr="00333C7B" w14:paraId="6BC0148B" w14:textId="77777777" w:rsidTr="001F21E7">
        <w:trPr>
          <w:trHeight w:val="278"/>
          <w:jc w:val="center"/>
        </w:trPr>
        <w:tc>
          <w:tcPr>
            <w:tcW w:w="1787" w:type="pct"/>
            <w:noWrap/>
            <w:vAlign w:val="center"/>
            <w:hideMark/>
          </w:tcPr>
          <w:p w14:paraId="6A8C5498"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Raw chemicals</w:t>
            </w:r>
          </w:p>
        </w:tc>
        <w:tc>
          <w:tcPr>
            <w:tcW w:w="1603" w:type="pct"/>
            <w:noWrap/>
            <w:vAlign w:val="center"/>
            <w:hideMark/>
          </w:tcPr>
          <w:p w14:paraId="24962EBA"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7</w:t>
            </w:r>
          </w:p>
        </w:tc>
        <w:tc>
          <w:tcPr>
            <w:tcW w:w="1610" w:type="pct"/>
            <w:noWrap/>
            <w:vAlign w:val="center"/>
            <w:hideMark/>
          </w:tcPr>
          <w:p w14:paraId="308B5170"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14</w:t>
            </w:r>
          </w:p>
        </w:tc>
      </w:tr>
      <w:tr w:rsidR="008F30F4" w:rsidRPr="00333C7B" w14:paraId="651F1486" w14:textId="77777777" w:rsidTr="001F21E7">
        <w:trPr>
          <w:trHeight w:val="278"/>
          <w:jc w:val="center"/>
        </w:trPr>
        <w:tc>
          <w:tcPr>
            <w:tcW w:w="1787" w:type="pct"/>
            <w:noWrap/>
            <w:vAlign w:val="center"/>
            <w:hideMark/>
          </w:tcPr>
          <w:p w14:paraId="42E1170D"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 xml:space="preserve">Agriculture </w:t>
            </w:r>
          </w:p>
        </w:tc>
        <w:tc>
          <w:tcPr>
            <w:tcW w:w="1603" w:type="pct"/>
            <w:noWrap/>
            <w:vAlign w:val="center"/>
            <w:hideMark/>
          </w:tcPr>
          <w:p w14:paraId="503E1F9E"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w:t>
            </w:r>
          </w:p>
        </w:tc>
        <w:tc>
          <w:tcPr>
            <w:tcW w:w="1610" w:type="pct"/>
            <w:noWrap/>
            <w:vAlign w:val="center"/>
            <w:hideMark/>
          </w:tcPr>
          <w:p w14:paraId="7A4FDEB1"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7</w:t>
            </w:r>
          </w:p>
        </w:tc>
      </w:tr>
      <w:tr w:rsidR="008F30F4" w:rsidRPr="00333C7B" w14:paraId="5C9464E1" w14:textId="77777777" w:rsidTr="001F21E7">
        <w:trPr>
          <w:trHeight w:val="278"/>
          <w:jc w:val="center"/>
        </w:trPr>
        <w:tc>
          <w:tcPr>
            <w:tcW w:w="1787" w:type="pct"/>
            <w:noWrap/>
            <w:vAlign w:val="center"/>
            <w:hideMark/>
          </w:tcPr>
          <w:p w14:paraId="74634BFE"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Mining</w:t>
            </w:r>
          </w:p>
        </w:tc>
        <w:tc>
          <w:tcPr>
            <w:tcW w:w="1603" w:type="pct"/>
            <w:noWrap/>
            <w:vAlign w:val="center"/>
            <w:hideMark/>
          </w:tcPr>
          <w:p w14:paraId="20673E05"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w:t>
            </w:r>
          </w:p>
        </w:tc>
        <w:tc>
          <w:tcPr>
            <w:tcW w:w="1610" w:type="pct"/>
            <w:noWrap/>
            <w:vAlign w:val="center"/>
            <w:hideMark/>
          </w:tcPr>
          <w:p w14:paraId="33C30B47"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63</w:t>
            </w:r>
          </w:p>
        </w:tc>
      </w:tr>
      <w:tr w:rsidR="008F30F4" w:rsidRPr="00333C7B" w14:paraId="53C88CFC" w14:textId="77777777" w:rsidTr="001F21E7">
        <w:trPr>
          <w:trHeight w:val="278"/>
          <w:jc w:val="center"/>
        </w:trPr>
        <w:tc>
          <w:tcPr>
            <w:tcW w:w="1787" w:type="pct"/>
            <w:noWrap/>
            <w:vAlign w:val="center"/>
            <w:hideMark/>
          </w:tcPr>
          <w:p w14:paraId="43EEED85"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Food</w:t>
            </w:r>
          </w:p>
        </w:tc>
        <w:tc>
          <w:tcPr>
            <w:tcW w:w="1603" w:type="pct"/>
            <w:noWrap/>
            <w:vAlign w:val="center"/>
            <w:hideMark/>
          </w:tcPr>
          <w:p w14:paraId="401AE2BB"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3</w:t>
            </w:r>
          </w:p>
        </w:tc>
        <w:tc>
          <w:tcPr>
            <w:tcW w:w="1610" w:type="pct"/>
            <w:noWrap/>
            <w:vAlign w:val="center"/>
            <w:hideMark/>
          </w:tcPr>
          <w:p w14:paraId="6278EA7C"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4</w:t>
            </w:r>
          </w:p>
        </w:tc>
      </w:tr>
      <w:tr w:rsidR="008F30F4" w:rsidRPr="00333C7B" w14:paraId="37DF4865" w14:textId="77777777" w:rsidTr="001F21E7">
        <w:trPr>
          <w:trHeight w:val="278"/>
          <w:jc w:val="center"/>
        </w:trPr>
        <w:tc>
          <w:tcPr>
            <w:tcW w:w="1787" w:type="pct"/>
            <w:noWrap/>
            <w:vAlign w:val="center"/>
            <w:hideMark/>
          </w:tcPr>
          <w:p w14:paraId="4FD575A4"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Textile</w:t>
            </w:r>
          </w:p>
        </w:tc>
        <w:tc>
          <w:tcPr>
            <w:tcW w:w="1603" w:type="pct"/>
            <w:noWrap/>
            <w:vAlign w:val="center"/>
            <w:hideMark/>
          </w:tcPr>
          <w:p w14:paraId="4B0EE31A"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16</w:t>
            </w:r>
          </w:p>
        </w:tc>
        <w:tc>
          <w:tcPr>
            <w:tcW w:w="1610" w:type="pct"/>
            <w:noWrap/>
            <w:vAlign w:val="center"/>
            <w:hideMark/>
          </w:tcPr>
          <w:p w14:paraId="152B4413"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5</w:t>
            </w:r>
          </w:p>
        </w:tc>
      </w:tr>
      <w:tr w:rsidR="008F30F4" w:rsidRPr="00333C7B" w14:paraId="2A58E960" w14:textId="77777777" w:rsidTr="001F21E7">
        <w:trPr>
          <w:trHeight w:val="278"/>
          <w:jc w:val="center"/>
        </w:trPr>
        <w:tc>
          <w:tcPr>
            <w:tcW w:w="1787" w:type="pct"/>
            <w:noWrap/>
            <w:vAlign w:val="center"/>
            <w:hideMark/>
          </w:tcPr>
          <w:p w14:paraId="0BE92D13"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Clothing</w:t>
            </w:r>
          </w:p>
        </w:tc>
        <w:tc>
          <w:tcPr>
            <w:tcW w:w="1603" w:type="pct"/>
            <w:noWrap/>
            <w:vAlign w:val="center"/>
            <w:hideMark/>
          </w:tcPr>
          <w:p w14:paraId="0B72F857"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36</w:t>
            </w:r>
          </w:p>
        </w:tc>
        <w:tc>
          <w:tcPr>
            <w:tcW w:w="1610" w:type="pct"/>
            <w:noWrap/>
            <w:vAlign w:val="center"/>
            <w:hideMark/>
          </w:tcPr>
          <w:p w14:paraId="54ADCB31"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4</w:t>
            </w:r>
          </w:p>
        </w:tc>
      </w:tr>
      <w:tr w:rsidR="008F30F4" w:rsidRPr="00333C7B" w14:paraId="3F5125CC" w14:textId="77777777" w:rsidTr="001F21E7">
        <w:trPr>
          <w:trHeight w:val="278"/>
          <w:jc w:val="center"/>
        </w:trPr>
        <w:tc>
          <w:tcPr>
            <w:tcW w:w="1787" w:type="pct"/>
            <w:noWrap/>
            <w:vAlign w:val="center"/>
            <w:hideMark/>
          </w:tcPr>
          <w:p w14:paraId="2FFDC1CC"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Log &amp; furniture</w:t>
            </w:r>
          </w:p>
        </w:tc>
        <w:tc>
          <w:tcPr>
            <w:tcW w:w="1603" w:type="pct"/>
            <w:noWrap/>
            <w:vAlign w:val="center"/>
            <w:hideMark/>
          </w:tcPr>
          <w:p w14:paraId="3500723F"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19</w:t>
            </w:r>
          </w:p>
        </w:tc>
        <w:tc>
          <w:tcPr>
            <w:tcW w:w="1610" w:type="pct"/>
            <w:noWrap/>
            <w:vAlign w:val="center"/>
            <w:hideMark/>
          </w:tcPr>
          <w:p w14:paraId="6D2BAB22"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4</w:t>
            </w:r>
          </w:p>
        </w:tc>
      </w:tr>
      <w:tr w:rsidR="008F30F4" w:rsidRPr="00333C7B" w14:paraId="6B6E0994" w14:textId="77777777" w:rsidTr="001F21E7">
        <w:trPr>
          <w:trHeight w:val="278"/>
          <w:jc w:val="center"/>
        </w:trPr>
        <w:tc>
          <w:tcPr>
            <w:tcW w:w="1787" w:type="pct"/>
            <w:noWrap/>
            <w:vAlign w:val="center"/>
            <w:hideMark/>
          </w:tcPr>
          <w:p w14:paraId="2723D30F"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Printing &amp; stationery</w:t>
            </w:r>
          </w:p>
        </w:tc>
        <w:tc>
          <w:tcPr>
            <w:tcW w:w="1603" w:type="pct"/>
            <w:noWrap/>
            <w:vAlign w:val="center"/>
            <w:hideMark/>
          </w:tcPr>
          <w:p w14:paraId="2464B906"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25</w:t>
            </w:r>
          </w:p>
        </w:tc>
        <w:tc>
          <w:tcPr>
            <w:tcW w:w="1610" w:type="pct"/>
            <w:noWrap/>
            <w:vAlign w:val="center"/>
            <w:hideMark/>
          </w:tcPr>
          <w:p w14:paraId="471AD519"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3</w:t>
            </w:r>
          </w:p>
        </w:tc>
      </w:tr>
      <w:tr w:rsidR="008F30F4" w:rsidRPr="00333C7B" w14:paraId="3FC46A54" w14:textId="77777777" w:rsidTr="001F21E7">
        <w:trPr>
          <w:trHeight w:val="278"/>
          <w:jc w:val="center"/>
        </w:trPr>
        <w:tc>
          <w:tcPr>
            <w:tcW w:w="1787" w:type="pct"/>
            <w:noWrap/>
            <w:vAlign w:val="center"/>
            <w:hideMark/>
          </w:tcPr>
          <w:p w14:paraId="77726960"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Daily chemical products</w:t>
            </w:r>
          </w:p>
        </w:tc>
        <w:tc>
          <w:tcPr>
            <w:tcW w:w="1603" w:type="pct"/>
            <w:noWrap/>
            <w:vAlign w:val="center"/>
            <w:hideMark/>
          </w:tcPr>
          <w:p w14:paraId="7B417664"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9</w:t>
            </w:r>
          </w:p>
        </w:tc>
        <w:tc>
          <w:tcPr>
            <w:tcW w:w="1610" w:type="pct"/>
            <w:noWrap/>
            <w:vAlign w:val="center"/>
            <w:hideMark/>
          </w:tcPr>
          <w:p w14:paraId="1967D789"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7</w:t>
            </w:r>
          </w:p>
        </w:tc>
      </w:tr>
      <w:tr w:rsidR="008F30F4" w:rsidRPr="00333C7B" w14:paraId="6E1667E4" w14:textId="77777777" w:rsidTr="001F21E7">
        <w:trPr>
          <w:trHeight w:val="278"/>
          <w:jc w:val="center"/>
        </w:trPr>
        <w:tc>
          <w:tcPr>
            <w:tcW w:w="1787" w:type="pct"/>
            <w:noWrap/>
            <w:vAlign w:val="center"/>
            <w:hideMark/>
          </w:tcPr>
          <w:p w14:paraId="6D2FDDE6"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Metal products</w:t>
            </w:r>
          </w:p>
        </w:tc>
        <w:tc>
          <w:tcPr>
            <w:tcW w:w="1603" w:type="pct"/>
            <w:noWrap/>
            <w:vAlign w:val="center"/>
            <w:hideMark/>
          </w:tcPr>
          <w:p w14:paraId="6060A209"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12</w:t>
            </w:r>
          </w:p>
        </w:tc>
        <w:tc>
          <w:tcPr>
            <w:tcW w:w="1610" w:type="pct"/>
            <w:noWrap/>
            <w:vAlign w:val="center"/>
            <w:hideMark/>
          </w:tcPr>
          <w:p w14:paraId="7635193E"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4</w:t>
            </w:r>
          </w:p>
        </w:tc>
      </w:tr>
      <w:tr w:rsidR="008F30F4" w:rsidRPr="00333C7B" w14:paraId="06214889" w14:textId="77777777" w:rsidTr="001F21E7">
        <w:trPr>
          <w:trHeight w:val="278"/>
          <w:jc w:val="center"/>
        </w:trPr>
        <w:tc>
          <w:tcPr>
            <w:tcW w:w="1787" w:type="pct"/>
            <w:noWrap/>
            <w:vAlign w:val="center"/>
            <w:hideMark/>
          </w:tcPr>
          <w:p w14:paraId="6C9C8625"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General equipment</w:t>
            </w:r>
          </w:p>
        </w:tc>
        <w:tc>
          <w:tcPr>
            <w:tcW w:w="1603" w:type="pct"/>
            <w:noWrap/>
            <w:vAlign w:val="center"/>
            <w:hideMark/>
          </w:tcPr>
          <w:p w14:paraId="4BD31E12"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16</w:t>
            </w:r>
          </w:p>
        </w:tc>
        <w:tc>
          <w:tcPr>
            <w:tcW w:w="1610" w:type="pct"/>
            <w:noWrap/>
            <w:vAlign w:val="center"/>
            <w:hideMark/>
          </w:tcPr>
          <w:p w14:paraId="7D357047"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16</w:t>
            </w:r>
          </w:p>
        </w:tc>
      </w:tr>
      <w:tr w:rsidR="008F30F4" w:rsidRPr="00333C7B" w14:paraId="022D63E9" w14:textId="77777777" w:rsidTr="001F21E7">
        <w:trPr>
          <w:trHeight w:val="278"/>
          <w:jc w:val="center"/>
        </w:trPr>
        <w:tc>
          <w:tcPr>
            <w:tcW w:w="1787" w:type="pct"/>
            <w:noWrap/>
            <w:vAlign w:val="center"/>
            <w:hideMark/>
          </w:tcPr>
          <w:p w14:paraId="45E8633F"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Transport equipment</w:t>
            </w:r>
          </w:p>
        </w:tc>
        <w:tc>
          <w:tcPr>
            <w:tcW w:w="1603" w:type="pct"/>
            <w:noWrap/>
            <w:vAlign w:val="center"/>
            <w:hideMark/>
          </w:tcPr>
          <w:p w14:paraId="7F34398E"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7</w:t>
            </w:r>
          </w:p>
        </w:tc>
        <w:tc>
          <w:tcPr>
            <w:tcW w:w="1610" w:type="pct"/>
            <w:noWrap/>
            <w:vAlign w:val="center"/>
            <w:hideMark/>
          </w:tcPr>
          <w:p w14:paraId="1190FC58"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17</w:t>
            </w:r>
          </w:p>
        </w:tc>
      </w:tr>
      <w:tr w:rsidR="008F30F4" w:rsidRPr="00333C7B" w14:paraId="0D34123E" w14:textId="77777777" w:rsidTr="001F21E7">
        <w:trPr>
          <w:trHeight w:val="278"/>
          <w:jc w:val="center"/>
        </w:trPr>
        <w:tc>
          <w:tcPr>
            <w:tcW w:w="1787" w:type="pct"/>
            <w:noWrap/>
            <w:vAlign w:val="center"/>
            <w:hideMark/>
          </w:tcPr>
          <w:p w14:paraId="225E8E01"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Electronic equipment</w:t>
            </w:r>
          </w:p>
        </w:tc>
        <w:tc>
          <w:tcPr>
            <w:tcW w:w="1603" w:type="pct"/>
            <w:noWrap/>
            <w:vAlign w:val="center"/>
            <w:hideMark/>
          </w:tcPr>
          <w:p w14:paraId="207A8439"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36</w:t>
            </w:r>
          </w:p>
        </w:tc>
        <w:tc>
          <w:tcPr>
            <w:tcW w:w="1610" w:type="pct"/>
            <w:noWrap/>
            <w:vAlign w:val="center"/>
            <w:hideMark/>
          </w:tcPr>
          <w:p w14:paraId="172F509B"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22</w:t>
            </w:r>
          </w:p>
        </w:tc>
      </w:tr>
      <w:tr w:rsidR="008F30F4" w:rsidRPr="00333C7B" w14:paraId="5A080A9B" w14:textId="77777777" w:rsidTr="001F21E7">
        <w:trPr>
          <w:trHeight w:val="278"/>
          <w:jc w:val="center"/>
        </w:trPr>
        <w:tc>
          <w:tcPr>
            <w:tcW w:w="1787" w:type="pct"/>
            <w:noWrap/>
            <w:vAlign w:val="center"/>
            <w:hideMark/>
          </w:tcPr>
          <w:p w14:paraId="21AC9663"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Other manufacturing</w:t>
            </w:r>
          </w:p>
        </w:tc>
        <w:tc>
          <w:tcPr>
            <w:tcW w:w="1603" w:type="pct"/>
            <w:noWrap/>
            <w:vAlign w:val="center"/>
            <w:hideMark/>
          </w:tcPr>
          <w:p w14:paraId="751220D7"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11</w:t>
            </w:r>
          </w:p>
        </w:tc>
        <w:tc>
          <w:tcPr>
            <w:tcW w:w="1610" w:type="pct"/>
            <w:noWrap/>
            <w:vAlign w:val="center"/>
            <w:hideMark/>
          </w:tcPr>
          <w:p w14:paraId="5382BFE1"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27</w:t>
            </w:r>
          </w:p>
        </w:tc>
      </w:tr>
      <w:tr w:rsidR="008F30F4" w:rsidRPr="00333C7B" w14:paraId="2D71E97A" w14:textId="77777777" w:rsidTr="001F21E7">
        <w:trPr>
          <w:trHeight w:val="278"/>
          <w:jc w:val="center"/>
        </w:trPr>
        <w:tc>
          <w:tcPr>
            <w:tcW w:w="1787" w:type="pct"/>
            <w:noWrap/>
            <w:vAlign w:val="center"/>
            <w:hideMark/>
          </w:tcPr>
          <w:p w14:paraId="018BBD6B"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Water</w:t>
            </w:r>
          </w:p>
        </w:tc>
        <w:tc>
          <w:tcPr>
            <w:tcW w:w="1603" w:type="pct"/>
            <w:noWrap/>
            <w:vAlign w:val="center"/>
            <w:hideMark/>
          </w:tcPr>
          <w:p w14:paraId="68EE74EE"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c>
          <w:tcPr>
            <w:tcW w:w="1610" w:type="pct"/>
            <w:noWrap/>
            <w:vAlign w:val="center"/>
            <w:hideMark/>
          </w:tcPr>
          <w:p w14:paraId="1F08BE1C"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r>
      <w:tr w:rsidR="008F30F4" w:rsidRPr="00333C7B" w14:paraId="27AD1586" w14:textId="77777777" w:rsidTr="001F21E7">
        <w:trPr>
          <w:trHeight w:val="278"/>
          <w:jc w:val="center"/>
        </w:trPr>
        <w:tc>
          <w:tcPr>
            <w:tcW w:w="1787" w:type="pct"/>
            <w:noWrap/>
            <w:vAlign w:val="center"/>
            <w:hideMark/>
          </w:tcPr>
          <w:p w14:paraId="0616B4BB"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Construction</w:t>
            </w:r>
          </w:p>
        </w:tc>
        <w:tc>
          <w:tcPr>
            <w:tcW w:w="1603" w:type="pct"/>
            <w:noWrap/>
            <w:vAlign w:val="center"/>
            <w:hideMark/>
          </w:tcPr>
          <w:p w14:paraId="30202162"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c>
          <w:tcPr>
            <w:tcW w:w="1610" w:type="pct"/>
            <w:noWrap/>
            <w:vAlign w:val="center"/>
            <w:hideMark/>
          </w:tcPr>
          <w:p w14:paraId="5BAD6FF6"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r>
      <w:tr w:rsidR="008F30F4" w:rsidRPr="00333C7B" w14:paraId="65B3FFC2" w14:textId="77777777" w:rsidTr="001F21E7">
        <w:trPr>
          <w:trHeight w:val="278"/>
          <w:jc w:val="center"/>
        </w:trPr>
        <w:tc>
          <w:tcPr>
            <w:tcW w:w="1787" w:type="pct"/>
            <w:noWrap/>
            <w:vAlign w:val="center"/>
            <w:hideMark/>
          </w:tcPr>
          <w:p w14:paraId="361F7166"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Transport</w:t>
            </w:r>
          </w:p>
        </w:tc>
        <w:tc>
          <w:tcPr>
            <w:tcW w:w="1603" w:type="pct"/>
            <w:noWrap/>
            <w:vAlign w:val="center"/>
            <w:hideMark/>
          </w:tcPr>
          <w:p w14:paraId="6F4E26FA"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14</w:t>
            </w:r>
          </w:p>
        </w:tc>
        <w:tc>
          <w:tcPr>
            <w:tcW w:w="1610" w:type="pct"/>
            <w:noWrap/>
            <w:vAlign w:val="center"/>
            <w:hideMark/>
          </w:tcPr>
          <w:p w14:paraId="243A2541"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6</w:t>
            </w:r>
          </w:p>
        </w:tc>
      </w:tr>
      <w:tr w:rsidR="008F30F4" w:rsidRPr="00333C7B" w14:paraId="3F544A99" w14:textId="77777777" w:rsidTr="001F21E7">
        <w:trPr>
          <w:trHeight w:val="278"/>
          <w:jc w:val="center"/>
        </w:trPr>
        <w:tc>
          <w:tcPr>
            <w:tcW w:w="1787" w:type="pct"/>
            <w:noWrap/>
            <w:vAlign w:val="center"/>
            <w:hideMark/>
          </w:tcPr>
          <w:p w14:paraId="4567AAD0"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Services</w:t>
            </w:r>
          </w:p>
        </w:tc>
        <w:tc>
          <w:tcPr>
            <w:tcW w:w="1603" w:type="pct"/>
            <w:noWrap/>
            <w:vAlign w:val="center"/>
            <w:hideMark/>
          </w:tcPr>
          <w:p w14:paraId="3510D8A3"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4</w:t>
            </w:r>
          </w:p>
        </w:tc>
        <w:tc>
          <w:tcPr>
            <w:tcW w:w="1610" w:type="pct"/>
            <w:noWrap/>
            <w:vAlign w:val="center"/>
            <w:hideMark/>
          </w:tcPr>
          <w:p w14:paraId="6253AE58"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3</w:t>
            </w:r>
          </w:p>
        </w:tc>
      </w:tr>
      <w:tr w:rsidR="008F30F4" w:rsidRPr="00333C7B" w14:paraId="3DA1D4D4" w14:textId="77777777" w:rsidTr="001F21E7">
        <w:trPr>
          <w:trHeight w:val="278"/>
          <w:jc w:val="center"/>
        </w:trPr>
        <w:tc>
          <w:tcPr>
            <w:tcW w:w="1787" w:type="pct"/>
            <w:noWrap/>
            <w:vAlign w:val="center"/>
            <w:hideMark/>
          </w:tcPr>
          <w:p w14:paraId="1FBEA740"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Electricity</w:t>
            </w:r>
          </w:p>
        </w:tc>
        <w:tc>
          <w:tcPr>
            <w:tcW w:w="1603" w:type="pct"/>
            <w:noWrap/>
            <w:vAlign w:val="center"/>
            <w:hideMark/>
          </w:tcPr>
          <w:p w14:paraId="702309A7"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c>
          <w:tcPr>
            <w:tcW w:w="1610" w:type="pct"/>
            <w:noWrap/>
            <w:vAlign w:val="center"/>
            <w:hideMark/>
          </w:tcPr>
          <w:p w14:paraId="0B364FD8"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r>
      <w:tr w:rsidR="008F30F4" w:rsidRPr="00333C7B" w14:paraId="4C15D07F" w14:textId="77777777" w:rsidTr="001F21E7">
        <w:trPr>
          <w:trHeight w:val="278"/>
          <w:jc w:val="center"/>
        </w:trPr>
        <w:tc>
          <w:tcPr>
            <w:tcW w:w="1787" w:type="pct"/>
            <w:noWrap/>
            <w:vAlign w:val="center"/>
            <w:hideMark/>
          </w:tcPr>
          <w:p w14:paraId="046EAE2C"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Petroleum refining</w:t>
            </w:r>
          </w:p>
        </w:tc>
        <w:tc>
          <w:tcPr>
            <w:tcW w:w="1603" w:type="pct"/>
            <w:noWrap/>
            <w:vAlign w:val="center"/>
            <w:hideMark/>
          </w:tcPr>
          <w:p w14:paraId="251C89B4"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2</w:t>
            </w:r>
          </w:p>
        </w:tc>
        <w:tc>
          <w:tcPr>
            <w:tcW w:w="1610" w:type="pct"/>
            <w:noWrap/>
            <w:vAlign w:val="center"/>
            <w:hideMark/>
          </w:tcPr>
          <w:p w14:paraId="52DB8F50"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5</w:t>
            </w:r>
          </w:p>
        </w:tc>
      </w:tr>
      <w:tr w:rsidR="008F30F4" w:rsidRPr="00333C7B" w14:paraId="2206FDA2" w14:textId="77777777" w:rsidTr="001F21E7">
        <w:trPr>
          <w:trHeight w:val="278"/>
          <w:jc w:val="center"/>
        </w:trPr>
        <w:tc>
          <w:tcPr>
            <w:tcW w:w="1787" w:type="pct"/>
            <w:noWrap/>
            <w:vAlign w:val="center"/>
            <w:hideMark/>
          </w:tcPr>
          <w:p w14:paraId="7BEC6935"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Heat</w:t>
            </w:r>
          </w:p>
        </w:tc>
        <w:tc>
          <w:tcPr>
            <w:tcW w:w="1603" w:type="pct"/>
            <w:noWrap/>
            <w:vAlign w:val="center"/>
            <w:hideMark/>
          </w:tcPr>
          <w:p w14:paraId="378D04A0"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c>
          <w:tcPr>
            <w:tcW w:w="1610" w:type="pct"/>
            <w:noWrap/>
            <w:vAlign w:val="center"/>
            <w:hideMark/>
          </w:tcPr>
          <w:p w14:paraId="37F73708"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r>
      <w:tr w:rsidR="008F30F4" w:rsidRPr="00333C7B" w14:paraId="7CBDF351" w14:textId="77777777" w:rsidTr="001F21E7">
        <w:trPr>
          <w:trHeight w:val="278"/>
          <w:jc w:val="center"/>
        </w:trPr>
        <w:tc>
          <w:tcPr>
            <w:tcW w:w="1787" w:type="pct"/>
            <w:tcBorders>
              <w:bottom w:val="nil"/>
            </w:tcBorders>
            <w:noWrap/>
            <w:vAlign w:val="center"/>
            <w:hideMark/>
          </w:tcPr>
          <w:p w14:paraId="013CED86"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Coal</w:t>
            </w:r>
          </w:p>
        </w:tc>
        <w:tc>
          <w:tcPr>
            <w:tcW w:w="1603" w:type="pct"/>
            <w:tcBorders>
              <w:bottom w:val="nil"/>
            </w:tcBorders>
            <w:noWrap/>
            <w:vAlign w:val="center"/>
            <w:hideMark/>
          </w:tcPr>
          <w:p w14:paraId="1970CD9A"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w:t>
            </w:r>
          </w:p>
        </w:tc>
        <w:tc>
          <w:tcPr>
            <w:tcW w:w="1610" w:type="pct"/>
            <w:tcBorders>
              <w:bottom w:val="nil"/>
            </w:tcBorders>
            <w:noWrap/>
            <w:vAlign w:val="center"/>
            <w:hideMark/>
          </w:tcPr>
          <w:p w14:paraId="178C4EF6"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12</w:t>
            </w:r>
          </w:p>
        </w:tc>
      </w:tr>
      <w:tr w:rsidR="008F30F4" w:rsidRPr="00333C7B" w14:paraId="5B445ED0" w14:textId="77777777" w:rsidTr="001F21E7">
        <w:trPr>
          <w:trHeight w:val="278"/>
          <w:jc w:val="center"/>
        </w:trPr>
        <w:tc>
          <w:tcPr>
            <w:tcW w:w="1787" w:type="pct"/>
            <w:tcBorders>
              <w:top w:val="nil"/>
              <w:bottom w:val="nil"/>
            </w:tcBorders>
            <w:noWrap/>
            <w:vAlign w:val="center"/>
          </w:tcPr>
          <w:p w14:paraId="1E2C589C"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Crude oil</w:t>
            </w:r>
          </w:p>
        </w:tc>
        <w:tc>
          <w:tcPr>
            <w:tcW w:w="1603" w:type="pct"/>
            <w:tcBorders>
              <w:top w:val="nil"/>
              <w:bottom w:val="nil"/>
            </w:tcBorders>
            <w:noWrap/>
            <w:vAlign w:val="center"/>
          </w:tcPr>
          <w:p w14:paraId="26502361"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1</w:t>
            </w:r>
          </w:p>
        </w:tc>
        <w:tc>
          <w:tcPr>
            <w:tcW w:w="1610" w:type="pct"/>
            <w:tcBorders>
              <w:top w:val="nil"/>
              <w:bottom w:val="nil"/>
            </w:tcBorders>
            <w:noWrap/>
            <w:vAlign w:val="center"/>
          </w:tcPr>
          <w:p w14:paraId="6B69F762"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238</w:t>
            </w:r>
          </w:p>
        </w:tc>
      </w:tr>
      <w:tr w:rsidR="008F30F4" w:rsidRPr="00333C7B" w14:paraId="19AE180B" w14:textId="77777777" w:rsidTr="001F21E7">
        <w:trPr>
          <w:trHeight w:val="278"/>
          <w:jc w:val="center"/>
        </w:trPr>
        <w:tc>
          <w:tcPr>
            <w:tcW w:w="1787" w:type="pct"/>
            <w:tcBorders>
              <w:top w:val="nil"/>
              <w:bottom w:val="single" w:sz="4" w:space="0" w:color="auto"/>
            </w:tcBorders>
            <w:noWrap/>
            <w:vAlign w:val="center"/>
          </w:tcPr>
          <w:p w14:paraId="68F64746" w14:textId="77777777" w:rsidR="008F30F4" w:rsidRPr="00320E19" w:rsidRDefault="008F30F4" w:rsidP="001F21E7">
            <w:pPr>
              <w:spacing w:before="0" w:line="240" w:lineRule="auto"/>
              <w:ind w:firstLine="0"/>
              <w:contextualSpacing/>
              <w:rPr>
                <w:rFonts w:cs="Times New Roman"/>
                <w:color w:val="000000"/>
                <w:sz w:val="22"/>
                <w:szCs w:val="22"/>
              </w:rPr>
            </w:pPr>
            <w:r w:rsidRPr="00320E19">
              <w:rPr>
                <w:rFonts w:cs="Times New Roman"/>
                <w:color w:val="000000"/>
                <w:sz w:val="22"/>
                <w:szCs w:val="22"/>
              </w:rPr>
              <w:t xml:space="preserve">Natural gas </w:t>
            </w:r>
          </w:p>
        </w:tc>
        <w:tc>
          <w:tcPr>
            <w:tcW w:w="1603" w:type="pct"/>
            <w:tcBorders>
              <w:top w:val="nil"/>
              <w:bottom w:val="single" w:sz="4" w:space="0" w:color="auto"/>
            </w:tcBorders>
            <w:noWrap/>
            <w:vAlign w:val="center"/>
          </w:tcPr>
          <w:p w14:paraId="4B192FFB"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c>
          <w:tcPr>
            <w:tcW w:w="1610" w:type="pct"/>
            <w:tcBorders>
              <w:top w:val="nil"/>
              <w:bottom w:val="single" w:sz="4" w:space="0" w:color="auto"/>
            </w:tcBorders>
            <w:noWrap/>
            <w:vAlign w:val="center"/>
          </w:tcPr>
          <w:p w14:paraId="20528B13" w14:textId="77777777" w:rsidR="008F30F4" w:rsidRPr="00083582" w:rsidRDefault="008F30F4" w:rsidP="001F21E7">
            <w:pPr>
              <w:spacing w:before="0" w:line="240" w:lineRule="auto"/>
              <w:ind w:firstLine="0"/>
              <w:contextualSpacing/>
              <w:jc w:val="center"/>
              <w:rPr>
                <w:rFonts w:cs="Times New Roman"/>
                <w:color w:val="000000"/>
                <w:sz w:val="22"/>
                <w:szCs w:val="22"/>
              </w:rPr>
            </w:pPr>
            <w:r w:rsidRPr="00083582">
              <w:rPr>
                <w:sz w:val="22"/>
                <w:szCs w:val="22"/>
              </w:rPr>
              <w:t>0</w:t>
            </w:r>
          </w:p>
        </w:tc>
      </w:tr>
    </w:tbl>
    <w:p w14:paraId="46DD240E" w14:textId="77777777" w:rsidR="008F30F4" w:rsidRDefault="008F30F4" w:rsidP="008F30F4">
      <w:pPr>
        <w:ind w:firstLine="0"/>
        <w:jc w:val="center"/>
        <w:rPr>
          <w:rFonts w:eastAsia="DengXian" w:cs="Times New Roman"/>
          <w:b/>
          <w:bCs/>
          <w:sz w:val="22"/>
          <w:szCs w:val="22"/>
        </w:rPr>
      </w:pPr>
    </w:p>
    <w:p w14:paraId="2CBD008F" w14:textId="77777777" w:rsidR="008F30F4" w:rsidRDefault="008F30F4" w:rsidP="008F30F4">
      <w:pPr>
        <w:spacing w:before="0" w:line="240" w:lineRule="auto"/>
        <w:ind w:firstLine="0"/>
        <w:rPr>
          <w:rFonts w:eastAsia="DengXian" w:cs="Times New Roman"/>
          <w:b/>
          <w:bCs/>
          <w:sz w:val="22"/>
          <w:szCs w:val="22"/>
        </w:rPr>
      </w:pPr>
      <w:r>
        <w:rPr>
          <w:rFonts w:eastAsia="DengXian" w:cs="Times New Roman"/>
          <w:b/>
          <w:bCs/>
          <w:sz w:val="22"/>
          <w:szCs w:val="22"/>
        </w:rPr>
        <w:br w:type="page"/>
      </w:r>
    </w:p>
    <w:p w14:paraId="69CB2EC3" w14:textId="77777777" w:rsidR="008F30F4" w:rsidRPr="00F13FF2" w:rsidRDefault="008F30F4" w:rsidP="008F30F4">
      <w:pPr>
        <w:ind w:firstLine="0"/>
        <w:jc w:val="center"/>
        <w:rPr>
          <w:rFonts w:eastAsia="DengXian" w:cs="Times New Roman"/>
          <w:b/>
          <w:bCs/>
          <w:sz w:val="22"/>
          <w:szCs w:val="22"/>
        </w:rPr>
      </w:pPr>
      <w:r w:rsidRPr="00F13FF2">
        <w:rPr>
          <w:rFonts w:eastAsia="DengXian" w:cs="Times New Roman"/>
          <w:b/>
          <w:bCs/>
          <w:sz w:val="22"/>
          <w:szCs w:val="22"/>
        </w:rPr>
        <w:lastRenderedPageBreak/>
        <w:t xml:space="preserve">Table </w:t>
      </w:r>
      <w:r>
        <w:rPr>
          <w:rFonts w:eastAsia="DengXian" w:cs="Times New Roman"/>
          <w:b/>
          <w:bCs/>
          <w:sz w:val="22"/>
          <w:szCs w:val="22"/>
        </w:rPr>
        <w:t>B6</w:t>
      </w:r>
      <w:r w:rsidRPr="0096493C">
        <w:rPr>
          <w:rFonts w:eastAsia="DengXian" w:cs="Times New Roman"/>
          <w:b/>
          <w:bCs/>
          <w:sz w:val="22"/>
          <w:szCs w:val="22"/>
        </w:rPr>
        <w:t>. Sect</w:t>
      </w:r>
      <w:r w:rsidRPr="00F13FF2">
        <w:rPr>
          <w:rFonts w:eastAsia="DengXian" w:cs="Times New Roman"/>
          <w:b/>
          <w:bCs/>
          <w:sz w:val="22"/>
          <w:szCs w:val="22"/>
        </w:rPr>
        <w:t>or Emissions Intensities</w:t>
      </w:r>
    </w:p>
    <w:tbl>
      <w:tblPr>
        <w:tblStyle w:val="10"/>
        <w:tblW w:w="640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8"/>
        <w:gridCol w:w="3113"/>
      </w:tblGrid>
      <w:tr w:rsidR="008F30F4" w:rsidRPr="00F13FF2" w14:paraId="0D28CED3" w14:textId="77777777" w:rsidTr="001F21E7">
        <w:trPr>
          <w:trHeight w:val="460"/>
          <w:jc w:val="center"/>
        </w:trPr>
        <w:tc>
          <w:tcPr>
            <w:tcW w:w="0" w:type="auto"/>
            <w:tcBorders>
              <w:top w:val="single" w:sz="4" w:space="0" w:color="auto"/>
              <w:bottom w:val="single" w:sz="4" w:space="0" w:color="auto"/>
            </w:tcBorders>
            <w:noWrap/>
            <w:vAlign w:val="center"/>
            <w:hideMark/>
          </w:tcPr>
          <w:p w14:paraId="32CDCD40" w14:textId="77777777" w:rsidR="008F30F4" w:rsidRPr="00AA1822" w:rsidRDefault="008F30F4" w:rsidP="001F21E7">
            <w:pPr>
              <w:keepLines/>
              <w:spacing w:before="0" w:line="240" w:lineRule="auto"/>
              <w:ind w:firstLine="0"/>
              <w:contextualSpacing/>
              <w:jc w:val="center"/>
              <w:rPr>
                <w:rFonts w:eastAsia="Times New Roman" w:cs="Times New Roman"/>
              </w:rPr>
            </w:pPr>
            <w:r w:rsidRPr="00AA1822">
              <w:rPr>
                <w:rFonts w:eastAsia="Times New Roman" w:cs="Times New Roman"/>
              </w:rPr>
              <w:t>Sector</w:t>
            </w:r>
          </w:p>
        </w:tc>
        <w:tc>
          <w:tcPr>
            <w:tcW w:w="0" w:type="auto"/>
            <w:tcBorders>
              <w:top w:val="single" w:sz="4" w:space="0" w:color="auto"/>
              <w:bottom w:val="single" w:sz="4" w:space="0" w:color="auto"/>
            </w:tcBorders>
            <w:noWrap/>
            <w:vAlign w:val="center"/>
            <w:hideMark/>
          </w:tcPr>
          <w:p w14:paraId="1C47E4FF" w14:textId="77777777" w:rsidR="008F30F4" w:rsidRPr="00AA1822" w:rsidRDefault="008F30F4" w:rsidP="001F21E7">
            <w:pPr>
              <w:keepLines/>
              <w:spacing w:before="0" w:line="240" w:lineRule="auto"/>
              <w:ind w:firstLine="4"/>
              <w:contextualSpacing/>
              <w:jc w:val="right"/>
              <w:rPr>
                <w:rFonts w:eastAsia="Times New Roman" w:cs="Times New Roman"/>
                <w:color w:val="000000"/>
              </w:rPr>
            </w:pPr>
            <w:r w:rsidRPr="00AA1822">
              <w:rPr>
                <w:rFonts w:eastAsia="DengXian" w:cs="Times New Roman"/>
                <w:lang w:eastAsia="en-US"/>
              </w:rPr>
              <w:t>Emissions intensity (</w:t>
            </w:r>
            <w:r w:rsidRPr="00AA1822">
              <w:rPr>
                <w:rFonts w:eastAsia="Times New Roman" w:cs="Times New Roman"/>
                <w:color w:val="000000"/>
              </w:rPr>
              <w:t>t/</w:t>
            </w:r>
            <w:r w:rsidRPr="00AA1822">
              <w:rPr>
                <w:rFonts w:cs="Times New Roman"/>
                <w:i/>
                <w:iCs/>
                <w:color w:val="000000"/>
              </w:rPr>
              <w:t>k</w:t>
            </w:r>
            <w:r w:rsidRPr="00AA1822">
              <w:rPr>
                <w:rFonts w:eastAsia="Times New Roman" w:cs="Times New Roman"/>
                <w:color w:val="000000"/>
              </w:rPr>
              <w:t>RMB)</w:t>
            </w:r>
          </w:p>
        </w:tc>
      </w:tr>
      <w:tr w:rsidR="008F30F4" w:rsidRPr="00F13FF2" w14:paraId="59E07762" w14:textId="77777777" w:rsidTr="001F21E7">
        <w:trPr>
          <w:trHeight w:val="287"/>
          <w:jc w:val="center"/>
        </w:trPr>
        <w:tc>
          <w:tcPr>
            <w:tcW w:w="0" w:type="auto"/>
            <w:tcBorders>
              <w:top w:val="single" w:sz="4" w:space="0" w:color="auto"/>
            </w:tcBorders>
            <w:noWrap/>
            <w:vAlign w:val="center"/>
            <w:hideMark/>
          </w:tcPr>
          <w:p w14:paraId="7193335D"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Cement</w:t>
            </w:r>
            <w:r w:rsidRPr="00AA1822">
              <w:rPr>
                <w:vertAlign w:val="superscript"/>
              </w:rPr>
              <w:t>*</w:t>
            </w:r>
          </w:p>
        </w:tc>
        <w:tc>
          <w:tcPr>
            <w:tcW w:w="0" w:type="auto"/>
            <w:tcBorders>
              <w:top w:val="single" w:sz="4" w:space="0" w:color="auto"/>
            </w:tcBorders>
            <w:noWrap/>
            <w:vAlign w:val="center"/>
            <w:hideMark/>
          </w:tcPr>
          <w:p w14:paraId="37267843"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1.944</w:t>
            </w:r>
          </w:p>
        </w:tc>
      </w:tr>
      <w:tr w:rsidR="008F30F4" w:rsidRPr="00F13FF2" w14:paraId="27698B86" w14:textId="77777777" w:rsidTr="001F21E7">
        <w:trPr>
          <w:trHeight w:val="287"/>
          <w:jc w:val="center"/>
        </w:trPr>
        <w:tc>
          <w:tcPr>
            <w:tcW w:w="0" w:type="auto"/>
            <w:noWrap/>
            <w:vAlign w:val="center"/>
            <w:hideMark/>
          </w:tcPr>
          <w:p w14:paraId="1350CAAA"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Iron &amp; steel</w:t>
            </w:r>
          </w:p>
        </w:tc>
        <w:tc>
          <w:tcPr>
            <w:tcW w:w="0" w:type="auto"/>
            <w:noWrap/>
            <w:vAlign w:val="center"/>
            <w:hideMark/>
          </w:tcPr>
          <w:p w14:paraId="1D7B89FE"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0.235</w:t>
            </w:r>
          </w:p>
        </w:tc>
      </w:tr>
      <w:tr w:rsidR="008F30F4" w:rsidRPr="00F13FF2" w14:paraId="3E5A7EDA" w14:textId="77777777" w:rsidTr="001F21E7">
        <w:trPr>
          <w:trHeight w:val="287"/>
          <w:jc w:val="center"/>
        </w:trPr>
        <w:tc>
          <w:tcPr>
            <w:tcW w:w="0" w:type="auto"/>
            <w:noWrap/>
            <w:vAlign w:val="center"/>
            <w:hideMark/>
          </w:tcPr>
          <w:p w14:paraId="171A5AA4"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Aluminum</w:t>
            </w:r>
          </w:p>
        </w:tc>
        <w:tc>
          <w:tcPr>
            <w:tcW w:w="0" w:type="auto"/>
            <w:noWrap/>
            <w:vAlign w:val="center"/>
            <w:hideMark/>
          </w:tcPr>
          <w:p w14:paraId="6913F994"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0.446</w:t>
            </w:r>
          </w:p>
        </w:tc>
      </w:tr>
      <w:tr w:rsidR="008F30F4" w:rsidRPr="00F13FF2" w14:paraId="19FD28B7" w14:textId="77777777" w:rsidTr="001F21E7">
        <w:trPr>
          <w:trHeight w:val="287"/>
          <w:jc w:val="center"/>
        </w:trPr>
        <w:tc>
          <w:tcPr>
            <w:tcW w:w="0" w:type="auto"/>
            <w:noWrap/>
            <w:vAlign w:val="center"/>
            <w:hideMark/>
          </w:tcPr>
          <w:p w14:paraId="30C1541A"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Pulp &amp; paper</w:t>
            </w:r>
          </w:p>
        </w:tc>
        <w:tc>
          <w:tcPr>
            <w:tcW w:w="0" w:type="auto"/>
            <w:noWrap/>
            <w:vAlign w:val="center"/>
            <w:hideMark/>
          </w:tcPr>
          <w:p w14:paraId="03C43A4C"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0.053</w:t>
            </w:r>
          </w:p>
        </w:tc>
      </w:tr>
      <w:tr w:rsidR="008F30F4" w:rsidRPr="00F13FF2" w14:paraId="74DCA803" w14:textId="77777777" w:rsidTr="001F21E7">
        <w:trPr>
          <w:trHeight w:val="287"/>
          <w:jc w:val="center"/>
        </w:trPr>
        <w:tc>
          <w:tcPr>
            <w:tcW w:w="0" w:type="auto"/>
            <w:noWrap/>
            <w:vAlign w:val="center"/>
            <w:hideMark/>
          </w:tcPr>
          <w:p w14:paraId="200FA350"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Other non-metal products</w:t>
            </w:r>
          </w:p>
        </w:tc>
        <w:tc>
          <w:tcPr>
            <w:tcW w:w="0" w:type="auto"/>
            <w:noWrap/>
            <w:vAlign w:val="center"/>
            <w:hideMark/>
          </w:tcPr>
          <w:p w14:paraId="12F8FBB2"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0.062</w:t>
            </w:r>
          </w:p>
        </w:tc>
      </w:tr>
      <w:tr w:rsidR="008F30F4" w:rsidRPr="00F13FF2" w14:paraId="5FF9EA5D" w14:textId="77777777" w:rsidTr="001F21E7">
        <w:trPr>
          <w:trHeight w:val="287"/>
          <w:jc w:val="center"/>
        </w:trPr>
        <w:tc>
          <w:tcPr>
            <w:tcW w:w="0" w:type="auto"/>
            <w:noWrap/>
            <w:vAlign w:val="center"/>
            <w:hideMark/>
          </w:tcPr>
          <w:p w14:paraId="50267ED0"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Other non-ferrous metals</w:t>
            </w:r>
          </w:p>
        </w:tc>
        <w:tc>
          <w:tcPr>
            <w:tcW w:w="0" w:type="auto"/>
            <w:noWrap/>
            <w:vAlign w:val="center"/>
            <w:hideMark/>
          </w:tcPr>
          <w:p w14:paraId="6FDBD7FD"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0.054</w:t>
            </w:r>
          </w:p>
        </w:tc>
      </w:tr>
      <w:tr w:rsidR="008F30F4" w:rsidRPr="00F13FF2" w14:paraId="6015F88F" w14:textId="77777777" w:rsidTr="001F21E7">
        <w:trPr>
          <w:trHeight w:val="287"/>
          <w:jc w:val="center"/>
        </w:trPr>
        <w:tc>
          <w:tcPr>
            <w:tcW w:w="0" w:type="auto"/>
            <w:noWrap/>
            <w:vAlign w:val="center"/>
            <w:hideMark/>
          </w:tcPr>
          <w:p w14:paraId="11A0C988"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Raw chemicals</w:t>
            </w:r>
          </w:p>
        </w:tc>
        <w:tc>
          <w:tcPr>
            <w:tcW w:w="0" w:type="auto"/>
            <w:noWrap/>
            <w:vAlign w:val="center"/>
            <w:hideMark/>
          </w:tcPr>
          <w:p w14:paraId="60600E6B"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0.098</w:t>
            </w:r>
          </w:p>
        </w:tc>
      </w:tr>
      <w:tr w:rsidR="008F30F4" w:rsidRPr="00F13FF2" w14:paraId="6052A6BF" w14:textId="77777777" w:rsidTr="001F21E7">
        <w:trPr>
          <w:trHeight w:val="287"/>
          <w:jc w:val="center"/>
        </w:trPr>
        <w:tc>
          <w:tcPr>
            <w:tcW w:w="0" w:type="auto"/>
            <w:noWrap/>
            <w:vAlign w:val="center"/>
            <w:hideMark/>
          </w:tcPr>
          <w:p w14:paraId="45ED700C"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 xml:space="preserve">Agriculture </w:t>
            </w:r>
          </w:p>
        </w:tc>
        <w:tc>
          <w:tcPr>
            <w:tcW w:w="0" w:type="auto"/>
            <w:noWrap/>
            <w:vAlign w:val="center"/>
            <w:hideMark/>
          </w:tcPr>
          <w:p w14:paraId="40F05DFE"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0.013</w:t>
            </w:r>
          </w:p>
        </w:tc>
      </w:tr>
      <w:tr w:rsidR="008F30F4" w:rsidRPr="00F13FF2" w14:paraId="3070B1B6" w14:textId="77777777" w:rsidTr="001F21E7">
        <w:trPr>
          <w:trHeight w:val="287"/>
          <w:jc w:val="center"/>
        </w:trPr>
        <w:tc>
          <w:tcPr>
            <w:tcW w:w="0" w:type="auto"/>
            <w:noWrap/>
            <w:vAlign w:val="center"/>
            <w:hideMark/>
          </w:tcPr>
          <w:p w14:paraId="5DD3E68B"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Mining</w:t>
            </w:r>
          </w:p>
        </w:tc>
        <w:tc>
          <w:tcPr>
            <w:tcW w:w="0" w:type="auto"/>
            <w:noWrap/>
            <w:vAlign w:val="center"/>
            <w:hideMark/>
          </w:tcPr>
          <w:p w14:paraId="254057B0"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0.018</w:t>
            </w:r>
          </w:p>
        </w:tc>
      </w:tr>
      <w:tr w:rsidR="008F30F4" w:rsidRPr="00F13FF2" w14:paraId="1B1F3CAB" w14:textId="77777777" w:rsidTr="001F21E7">
        <w:trPr>
          <w:trHeight w:val="287"/>
          <w:jc w:val="center"/>
        </w:trPr>
        <w:tc>
          <w:tcPr>
            <w:tcW w:w="0" w:type="auto"/>
            <w:noWrap/>
            <w:vAlign w:val="center"/>
            <w:hideMark/>
          </w:tcPr>
          <w:p w14:paraId="6E5E647D"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Food</w:t>
            </w:r>
          </w:p>
        </w:tc>
        <w:tc>
          <w:tcPr>
            <w:tcW w:w="0" w:type="auto"/>
            <w:noWrap/>
            <w:vAlign w:val="center"/>
            <w:hideMark/>
          </w:tcPr>
          <w:p w14:paraId="3641F34A"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0.008</w:t>
            </w:r>
          </w:p>
        </w:tc>
      </w:tr>
      <w:tr w:rsidR="008F30F4" w:rsidRPr="00F13FF2" w14:paraId="34798799" w14:textId="77777777" w:rsidTr="001F21E7">
        <w:trPr>
          <w:trHeight w:val="287"/>
          <w:jc w:val="center"/>
        </w:trPr>
        <w:tc>
          <w:tcPr>
            <w:tcW w:w="0" w:type="auto"/>
            <w:noWrap/>
            <w:vAlign w:val="center"/>
            <w:hideMark/>
          </w:tcPr>
          <w:p w14:paraId="18673D59"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Textile</w:t>
            </w:r>
          </w:p>
        </w:tc>
        <w:tc>
          <w:tcPr>
            <w:tcW w:w="0" w:type="auto"/>
            <w:noWrap/>
            <w:vAlign w:val="center"/>
            <w:hideMark/>
          </w:tcPr>
          <w:p w14:paraId="4BA92EE9"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0.007</w:t>
            </w:r>
          </w:p>
        </w:tc>
      </w:tr>
      <w:tr w:rsidR="008F30F4" w:rsidRPr="00F13FF2" w14:paraId="499C5382" w14:textId="77777777" w:rsidTr="001F21E7">
        <w:trPr>
          <w:trHeight w:val="287"/>
          <w:jc w:val="center"/>
        </w:trPr>
        <w:tc>
          <w:tcPr>
            <w:tcW w:w="0" w:type="auto"/>
            <w:noWrap/>
            <w:vAlign w:val="center"/>
            <w:hideMark/>
          </w:tcPr>
          <w:p w14:paraId="3553C216"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Clothing</w:t>
            </w:r>
          </w:p>
        </w:tc>
        <w:tc>
          <w:tcPr>
            <w:tcW w:w="0" w:type="auto"/>
            <w:noWrap/>
            <w:vAlign w:val="center"/>
            <w:hideMark/>
          </w:tcPr>
          <w:p w14:paraId="6949A719"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0.002</w:t>
            </w:r>
          </w:p>
        </w:tc>
      </w:tr>
      <w:tr w:rsidR="008F30F4" w:rsidRPr="00F13FF2" w14:paraId="14D01963" w14:textId="77777777" w:rsidTr="001F21E7">
        <w:trPr>
          <w:trHeight w:val="287"/>
          <w:jc w:val="center"/>
        </w:trPr>
        <w:tc>
          <w:tcPr>
            <w:tcW w:w="0" w:type="auto"/>
            <w:noWrap/>
            <w:vAlign w:val="center"/>
            <w:hideMark/>
          </w:tcPr>
          <w:p w14:paraId="0D3C6B83"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Log &amp; furniture</w:t>
            </w:r>
          </w:p>
        </w:tc>
        <w:tc>
          <w:tcPr>
            <w:tcW w:w="0" w:type="auto"/>
            <w:noWrap/>
            <w:vAlign w:val="center"/>
            <w:hideMark/>
          </w:tcPr>
          <w:p w14:paraId="61F5266D"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0.003</w:t>
            </w:r>
          </w:p>
        </w:tc>
      </w:tr>
      <w:tr w:rsidR="008F30F4" w:rsidRPr="00F13FF2" w14:paraId="2DBD8A6C" w14:textId="77777777" w:rsidTr="001F21E7">
        <w:trPr>
          <w:trHeight w:val="287"/>
          <w:jc w:val="center"/>
        </w:trPr>
        <w:tc>
          <w:tcPr>
            <w:tcW w:w="0" w:type="auto"/>
            <w:noWrap/>
            <w:vAlign w:val="center"/>
            <w:hideMark/>
          </w:tcPr>
          <w:p w14:paraId="0E6AB320"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Printing &amp; stationery</w:t>
            </w:r>
          </w:p>
        </w:tc>
        <w:tc>
          <w:tcPr>
            <w:tcW w:w="0" w:type="auto"/>
            <w:noWrap/>
            <w:vAlign w:val="center"/>
            <w:hideMark/>
          </w:tcPr>
          <w:p w14:paraId="2E668308"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0.001</w:t>
            </w:r>
          </w:p>
        </w:tc>
      </w:tr>
      <w:tr w:rsidR="008F30F4" w:rsidRPr="00F13FF2" w14:paraId="7279C1CB" w14:textId="77777777" w:rsidTr="001F21E7">
        <w:trPr>
          <w:trHeight w:val="287"/>
          <w:jc w:val="center"/>
        </w:trPr>
        <w:tc>
          <w:tcPr>
            <w:tcW w:w="0" w:type="auto"/>
            <w:noWrap/>
            <w:vAlign w:val="center"/>
            <w:hideMark/>
          </w:tcPr>
          <w:p w14:paraId="5B7413C5"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Daily chemical products</w:t>
            </w:r>
          </w:p>
        </w:tc>
        <w:tc>
          <w:tcPr>
            <w:tcW w:w="0" w:type="auto"/>
            <w:noWrap/>
            <w:vAlign w:val="center"/>
            <w:hideMark/>
          </w:tcPr>
          <w:p w14:paraId="0F2751CC"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0.003</w:t>
            </w:r>
          </w:p>
        </w:tc>
      </w:tr>
      <w:tr w:rsidR="008F30F4" w:rsidRPr="00F13FF2" w14:paraId="7D3B618F" w14:textId="77777777" w:rsidTr="001F21E7">
        <w:trPr>
          <w:trHeight w:val="287"/>
          <w:jc w:val="center"/>
        </w:trPr>
        <w:tc>
          <w:tcPr>
            <w:tcW w:w="0" w:type="auto"/>
            <w:noWrap/>
            <w:vAlign w:val="center"/>
            <w:hideMark/>
          </w:tcPr>
          <w:p w14:paraId="440C7BE9"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Metal products</w:t>
            </w:r>
          </w:p>
        </w:tc>
        <w:tc>
          <w:tcPr>
            <w:tcW w:w="0" w:type="auto"/>
            <w:noWrap/>
            <w:vAlign w:val="center"/>
            <w:hideMark/>
          </w:tcPr>
          <w:p w14:paraId="2DFA7A87"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0.003</w:t>
            </w:r>
          </w:p>
        </w:tc>
      </w:tr>
      <w:tr w:rsidR="008F30F4" w:rsidRPr="00F13FF2" w14:paraId="2AD56F7D" w14:textId="77777777" w:rsidTr="001F21E7">
        <w:trPr>
          <w:trHeight w:val="287"/>
          <w:jc w:val="center"/>
        </w:trPr>
        <w:tc>
          <w:tcPr>
            <w:tcW w:w="0" w:type="auto"/>
            <w:noWrap/>
            <w:vAlign w:val="center"/>
            <w:hideMark/>
          </w:tcPr>
          <w:p w14:paraId="6A1AA6F4"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General equipment</w:t>
            </w:r>
          </w:p>
        </w:tc>
        <w:tc>
          <w:tcPr>
            <w:tcW w:w="0" w:type="auto"/>
            <w:noWrap/>
            <w:vAlign w:val="center"/>
            <w:hideMark/>
          </w:tcPr>
          <w:p w14:paraId="1B83D029"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0.005</w:t>
            </w:r>
          </w:p>
        </w:tc>
      </w:tr>
      <w:tr w:rsidR="008F30F4" w:rsidRPr="00F13FF2" w14:paraId="198140B9" w14:textId="77777777" w:rsidTr="001F21E7">
        <w:trPr>
          <w:trHeight w:val="287"/>
          <w:jc w:val="center"/>
        </w:trPr>
        <w:tc>
          <w:tcPr>
            <w:tcW w:w="0" w:type="auto"/>
            <w:noWrap/>
            <w:vAlign w:val="center"/>
            <w:hideMark/>
          </w:tcPr>
          <w:p w14:paraId="5922E9E5"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Transport equipment</w:t>
            </w:r>
          </w:p>
        </w:tc>
        <w:tc>
          <w:tcPr>
            <w:tcW w:w="0" w:type="auto"/>
            <w:noWrap/>
            <w:vAlign w:val="center"/>
            <w:hideMark/>
          </w:tcPr>
          <w:p w14:paraId="2B73EE14"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0.002</w:t>
            </w:r>
          </w:p>
        </w:tc>
      </w:tr>
      <w:tr w:rsidR="008F30F4" w:rsidRPr="00F13FF2" w14:paraId="5985B832" w14:textId="77777777" w:rsidTr="001F21E7">
        <w:trPr>
          <w:trHeight w:val="287"/>
          <w:jc w:val="center"/>
        </w:trPr>
        <w:tc>
          <w:tcPr>
            <w:tcW w:w="0" w:type="auto"/>
            <w:noWrap/>
            <w:vAlign w:val="center"/>
            <w:hideMark/>
          </w:tcPr>
          <w:p w14:paraId="0E9CA950"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Electronic equipment</w:t>
            </w:r>
          </w:p>
        </w:tc>
        <w:tc>
          <w:tcPr>
            <w:tcW w:w="0" w:type="auto"/>
            <w:noWrap/>
            <w:vAlign w:val="center"/>
            <w:hideMark/>
          </w:tcPr>
          <w:p w14:paraId="2B182D11"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0.001</w:t>
            </w:r>
          </w:p>
        </w:tc>
      </w:tr>
      <w:tr w:rsidR="008F30F4" w:rsidRPr="00F13FF2" w14:paraId="07309461" w14:textId="77777777" w:rsidTr="001F21E7">
        <w:trPr>
          <w:trHeight w:val="287"/>
          <w:jc w:val="center"/>
        </w:trPr>
        <w:tc>
          <w:tcPr>
            <w:tcW w:w="0" w:type="auto"/>
            <w:noWrap/>
            <w:vAlign w:val="center"/>
            <w:hideMark/>
          </w:tcPr>
          <w:p w14:paraId="79F839E4"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Other manufacturing</w:t>
            </w:r>
          </w:p>
        </w:tc>
        <w:tc>
          <w:tcPr>
            <w:tcW w:w="0" w:type="auto"/>
            <w:noWrap/>
            <w:vAlign w:val="center"/>
            <w:hideMark/>
          </w:tcPr>
          <w:p w14:paraId="42D1D6F7"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0.004</w:t>
            </w:r>
          </w:p>
        </w:tc>
      </w:tr>
      <w:tr w:rsidR="008F30F4" w:rsidRPr="00F13FF2" w14:paraId="48624210" w14:textId="77777777" w:rsidTr="001F21E7">
        <w:trPr>
          <w:trHeight w:val="287"/>
          <w:jc w:val="center"/>
        </w:trPr>
        <w:tc>
          <w:tcPr>
            <w:tcW w:w="0" w:type="auto"/>
            <w:noWrap/>
            <w:vAlign w:val="center"/>
          </w:tcPr>
          <w:p w14:paraId="6DB90E20" w14:textId="77777777" w:rsidR="008F30F4" w:rsidRPr="009C0DE4" w:rsidRDefault="008F30F4" w:rsidP="001F21E7">
            <w:pPr>
              <w:keepLines/>
              <w:adjustRightInd w:val="0"/>
              <w:spacing w:before="0" w:line="240" w:lineRule="auto"/>
              <w:ind w:firstLine="0"/>
              <w:contextualSpacing/>
              <w:jc w:val="both"/>
              <w:rPr>
                <w:rFonts w:eastAsia="DengXian" w:cs="Times New Roman"/>
                <w:color w:val="000000"/>
              </w:rPr>
            </w:pPr>
            <w:r w:rsidRPr="005A18C3">
              <w:t>Water</w:t>
            </w:r>
          </w:p>
        </w:tc>
        <w:tc>
          <w:tcPr>
            <w:tcW w:w="0" w:type="auto"/>
            <w:noWrap/>
            <w:vAlign w:val="center"/>
          </w:tcPr>
          <w:p w14:paraId="6F5FC700" w14:textId="77777777" w:rsidR="008F30F4" w:rsidRPr="009C0DE4" w:rsidRDefault="008F30F4" w:rsidP="001F21E7">
            <w:pPr>
              <w:keepLines/>
              <w:adjustRightInd w:val="0"/>
              <w:spacing w:before="0" w:line="240" w:lineRule="auto"/>
              <w:ind w:firstLine="0"/>
              <w:contextualSpacing/>
              <w:jc w:val="center"/>
              <w:rPr>
                <w:rFonts w:eastAsia="DengXian" w:cs="Times New Roman"/>
                <w:color w:val="000000"/>
              </w:rPr>
            </w:pPr>
            <w:r>
              <w:rPr>
                <w:rFonts w:eastAsia="DengXian" w:cs="Times New Roman"/>
                <w:color w:val="000000"/>
              </w:rPr>
              <w:t>0.038</w:t>
            </w:r>
          </w:p>
        </w:tc>
      </w:tr>
      <w:tr w:rsidR="008F30F4" w:rsidRPr="00F13FF2" w14:paraId="529D84C5" w14:textId="77777777" w:rsidTr="001F21E7">
        <w:trPr>
          <w:trHeight w:val="287"/>
          <w:jc w:val="center"/>
        </w:trPr>
        <w:tc>
          <w:tcPr>
            <w:tcW w:w="0" w:type="auto"/>
            <w:noWrap/>
            <w:vAlign w:val="center"/>
          </w:tcPr>
          <w:p w14:paraId="7C8D2B69" w14:textId="77777777" w:rsidR="008F30F4" w:rsidRPr="009C0DE4" w:rsidRDefault="008F30F4" w:rsidP="001F21E7">
            <w:pPr>
              <w:keepLines/>
              <w:adjustRightInd w:val="0"/>
              <w:spacing w:before="0" w:line="240" w:lineRule="auto"/>
              <w:ind w:firstLine="0"/>
              <w:contextualSpacing/>
              <w:jc w:val="both"/>
              <w:rPr>
                <w:rFonts w:eastAsia="DengXian" w:cs="Times New Roman"/>
                <w:color w:val="000000"/>
              </w:rPr>
            </w:pPr>
            <w:r w:rsidRPr="005A18C3">
              <w:t>Construction</w:t>
            </w:r>
          </w:p>
        </w:tc>
        <w:tc>
          <w:tcPr>
            <w:tcW w:w="0" w:type="auto"/>
            <w:noWrap/>
            <w:vAlign w:val="center"/>
          </w:tcPr>
          <w:p w14:paraId="4EC765E9" w14:textId="77777777" w:rsidR="008F30F4" w:rsidRPr="009C0DE4" w:rsidRDefault="008F30F4" w:rsidP="001F21E7">
            <w:pPr>
              <w:keepLines/>
              <w:adjustRightInd w:val="0"/>
              <w:spacing w:before="0" w:line="240" w:lineRule="auto"/>
              <w:ind w:firstLine="0"/>
              <w:contextualSpacing/>
              <w:jc w:val="center"/>
              <w:rPr>
                <w:rFonts w:eastAsia="DengXian" w:cs="Times New Roman"/>
                <w:color w:val="000000"/>
              </w:rPr>
            </w:pPr>
            <w:r>
              <w:rPr>
                <w:rFonts w:eastAsia="DengXian" w:cs="Times New Roman"/>
                <w:color w:val="000000"/>
              </w:rPr>
              <w:t>0.003</w:t>
            </w:r>
          </w:p>
        </w:tc>
      </w:tr>
      <w:tr w:rsidR="008F30F4" w:rsidRPr="00F13FF2" w14:paraId="3D0D5076" w14:textId="77777777" w:rsidTr="001F21E7">
        <w:trPr>
          <w:trHeight w:val="287"/>
          <w:jc w:val="center"/>
        </w:trPr>
        <w:tc>
          <w:tcPr>
            <w:tcW w:w="0" w:type="auto"/>
            <w:noWrap/>
            <w:vAlign w:val="center"/>
            <w:hideMark/>
          </w:tcPr>
          <w:p w14:paraId="7FFB4D55"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Transport</w:t>
            </w:r>
          </w:p>
        </w:tc>
        <w:tc>
          <w:tcPr>
            <w:tcW w:w="0" w:type="auto"/>
            <w:noWrap/>
            <w:vAlign w:val="center"/>
            <w:hideMark/>
          </w:tcPr>
          <w:p w14:paraId="66D2B8ED"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0.072</w:t>
            </w:r>
          </w:p>
        </w:tc>
      </w:tr>
      <w:tr w:rsidR="008F30F4" w:rsidRPr="00F13FF2" w14:paraId="1DE9B112" w14:textId="77777777" w:rsidTr="001F21E7">
        <w:trPr>
          <w:trHeight w:val="287"/>
          <w:jc w:val="center"/>
        </w:trPr>
        <w:tc>
          <w:tcPr>
            <w:tcW w:w="0" w:type="auto"/>
            <w:noWrap/>
            <w:vAlign w:val="center"/>
            <w:hideMark/>
          </w:tcPr>
          <w:p w14:paraId="42D49C14"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Services</w:t>
            </w:r>
          </w:p>
        </w:tc>
        <w:tc>
          <w:tcPr>
            <w:tcW w:w="0" w:type="auto"/>
            <w:noWrap/>
            <w:vAlign w:val="center"/>
            <w:hideMark/>
          </w:tcPr>
          <w:p w14:paraId="7174839A"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0.001</w:t>
            </w:r>
          </w:p>
        </w:tc>
      </w:tr>
      <w:tr w:rsidR="008F30F4" w:rsidRPr="00F13FF2" w14:paraId="32DED725" w14:textId="77777777" w:rsidTr="001F21E7">
        <w:trPr>
          <w:trHeight w:val="287"/>
          <w:jc w:val="center"/>
        </w:trPr>
        <w:tc>
          <w:tcPr>
            <w:tcW w:w="0" w:type="auto"/>
            <w:noWrap/>
            <w:vAlign w:val="center"/>
            <w:hideMark/>
          </w:tcPr>
          <w:p w14:paraId="293AB869"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Electricity</w:t>
            </w:r>
          </w:p>
        </w:tc>
        <w:tc>
          <w:tcPr>
            <w:tcW w:w="0" w:type="auto"/>
            <w:noWrap/>
            <w:vAlign w:val="center"/>
            <w:hideMark/>
          </w:tcPr>
          <w:p w14:paraId="4CC168D0"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0.858</w:t>
            </w:r>
          </w:p>
        </w:tc>
      </w:tr>
      <w:tr w:rsidR="008F30F4" w:rsidRPr="00F13FF2" w14:paraId="31A570F9" w14:textId="77777777" w:rsidTr="001F21E7">
        <w:trPr>
          <w:trHeight w:val="287"/>
          <w:jc w:val="center"/>
        </w:trPr>
        <w:tc>
          <w:tcPr>
            <w:tcW w:w="0" w:type="auto"/>
            <w:noWrap/>
            <w:vAlign w:val="center"/>
            <w:hideMark/>
          </w:tcPr>
          <w:p w14:paraId="29F06947"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Petroleum refining</w:t>
            </w:r>
          </w:p>
        </w:tc>
        <w:tc>
          <w:tcPr>
            <w:tcW w:w="0" w:type="auto"/>
            <w:noWrap/>
            <w:vAlign w:val="center"/>
            <w:hideMark/>
          </w:tcPr>
          <w:p w14:paraId="0703A389"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0.041</w:t>
            </w:r>
          </w:p>
        </w:tc>
      </w:tr>
      <w:tr w:rsidR="008F30F4" w:rsidRPr="00F13FF2" w14:paraId="75855B61" w14:textId="77777777" w:rsidTr="001F21E7">
        <w:trPr>
          <w:trHeight w:val="287"/>
          <w:jc w:val="center"/>
        </w:trPr>
        <w:tc>
          <w:tcPr>
            <w:tcW w:w="0" w:type="auto"/>
            <w:noWrap/>
            <w:vAlign w:val="center"/>
            <w:hideMark/>
          </w:tcPr>
          <w:p w14:paraId="32EBCEC2"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Heat</w:t>
            </w:r>
          </w:p>
        </w:tc>
        <w:tc>
          <w:tcPr>
            <w:tcW w:w="0" w:type="auto"/>
            <w:noWrap/>
            <w:vAlign w:val="center"/>
            <w:hideMark/>
          </w:tcPr>
          <w:p w14:paraId="1B67BB33"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0.756</w:t>
            </w:r>
          </w:p>
        </w:tc>
      </w:tr>
      <w:tr w:rsidR="008F30F4" w:rsidRPr="00F13FF2" w14:paraId="542E5D83" w14:textId="77777777" w:rsidTr="001F21E7">
        <w:trPr>
          <w:trHeight w:val="287"/>
          <w:jc w:val="center"/>
        </w:trPr>
        <w:tc>
          <w:tcPr>
            <w:tcW w:w="0" w:type="auto"/>
            <w:noWrap/>
            <w:vAlign w:val="center"/>
            <w:hideMark/>
          </w:tcPr>
          <w:p w14:paraId="180F9FDC"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Coal</w:t>
            </w:r>
          </w:p>
        </w:tc>
        <w:tc>
          <w:tcPr>
            <w:tcW w:w="0" w:type="auto"/>
            <w:noWrap/>
            <w:vAlign w:val="center"/>
            <w:hideMark/>
          </w:tcPr>
          <w:p w14:paraId="2A748C12"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0.029</w:t>
            </w:r>
          </w:p>
        </w:tc>
      </w:tr>
      <w:tr w:rsidR="008F30F4" w:rsidRPr="00F13FF2" w14:paraId="725AA017" w14:textId="77777777" w:rsidTr="001F21E7">
        <w:trPr>
          <w:trHeight w:val="287"/>
          <w:jc w:val="center"/>
        </w:trPr>
        <w:tc>
          <w:tcPr>
            <w:tcW w:w="0" w:type="auto"/>
            <w:noWrap/>
            <w:vAlign w:val="center"/>
            <w:hideMark/>
          </w:tcPr>
          <w:p w14:paraId="11C655AA"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Crude oil</w:t>
            </w:r>
          </w:p>
        </w:tc>
        <w:tc>
          <w:tcPr>
            <w:tcW w:w="0" w:type="auto"/>
            <w:noWrap/>
            <w:vAlign w:val="center"/>
            <w:hideMark/>
          </w:tcPr>
          <w:p w14:paraId="00D123E4"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0.043</w:t>
            </w:r>
          </w:p>
        </w:tc>
      </w:tr>
      <w:tr w:rsidR="008F30F4" w:rsidRPr="00F13FF2" w14:paraId="6A88DF67" w14:textId="77777777" w:rsidTr="001F21E7">
        <w:trPr>
          <w:trHeight w:val="287"/>
          <w:jc w:val="center"/>
        </w:trPr>
        <w:tc>
          <w:tcPr>
            <w:tcW w:w="0" w:type="auto"/>
            <w:noWrap/>
            <w:vAlign w:val="center"/>
            <w:hideMark/>
          </w:tcPr>
          <w:p w14:paraId="19BC9064"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 xml:space="preserve">Natural gas </w:t>
            </w:r>
          </w:p>
        </w:tc>
        <w:tc>
          <w:tcPr>
            <w:tcW w:w="0" w:type="auto"/>
            <w:noWrap/>
            <w:vAlign w:val="center"/>
            <w:hideMark/>
          </w:tcPr>
          <w:p w14:paraId="71FBF8E8"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0.007</w:t>
            </w:r>
          </w:p>
        </w:tc>
      </w:tr>
      <w:tr w:rsidR="008F30F4" w:rsidRPr="00F13FF2" w14:paraId="3E7B75B6" w14:textId="77777777" w:rsidTr="001F21E7">
        <w:trPr>
          <w:trHeight w:val="287"/>
          <w:jc w:val="center"/>
        </w:trPr>
        <w:tc>
          <w:tcPr>
            <w:tcW w:w="0" w:type="auto"/>
            <w:tcBorders>
              <w:bottom w:val="single" w:sz="4" w:space="0" w:color="auto"/>
            </w:tcBorders>
            <w:noWrap/>
            <w:vAlign w:val="center"/>
            <w:hideMark/>
          </w:tcPr>
          <w:p w14:paraId="1FEF6DD4" w14:textId="77777777" w:rsidR="008F30F4" w:rsidRPr="009C0DE4" w:rsidRDefault="008F30F4" w:rsidP="001F21E7">
            <w:pPr>
              <w:keepLines/>
              <w:adjustRightInd w:val="0"/>
              <w:spacing w:before="0" w:line="240" w:lineRule="auto"/>
              <w:ind w:firstLine="0"/>
              <w:contextualSpacing/>
              <w:jc w:val="both"/>
              <w:rPr>
                <w:rFonts w:eastAsia="Times New Roman" w:cs="Times New Roman"/>
                <w:color w:val="000000"/>
              </w:rPr>
            </w:pPr>
            <w:r w:rsidRPr="005A18C3">
              <w:t>Gas manufacture &amp; distribution</w:t>
            </w:r>
          </w:p>
        </w:tc>
        <w:tc>
          <w:tcPr>
            <w:tcW w:w="0" w:type="auto"/>
            <w:tcBorders>
              <w:bottom w:val="single" w:sz="4" w:space="0" w:color="auto"/>
            </w:tcBorders>
            <w:noWrap/>
            <w:vAlign w:val="center"/>
            <w:hideMark/>
          </w:tcPr>
          <w:p w14:paraId="3F5517B6" w14:textId="77777777" w:rsidR="008F30F4" w:rsidRPr="009C0DE4" w:rsidRDefault="008F30F4" w:rsidP="001F21E7">
            <w:pPr>
              <w:keepLines/>
              <w:adjustRightInd w:val="0"/>
              <w:spacing w:before="0" w:line="240" w:lineRule="auto"/>
              <w:ind w:firstLine="0"/>
              <w:contextualSpacing/>
              <w:jc w:val="center"/>
              <w:rPr>
                <w:rFonts w:eastAsia="Times New Roman" w:cs="Times New Roman"/>
                <w:color w:val="000000"/>
              </w:rPr>
            </w:pPr>
            <w:r>
              <w:rPr>
                <w:rFonts w:eastAsia="DengXian" w:cs="Times New Roman"/>
                <w:color w:val="000000"/>
              </w:rPr>
              <w:t>0.003</w:t>
            </w:r>
          </w:p>
        </w:tc>
      </w:tr>
    </w:tbl>
    <w:p w14:paraId="215FA3BB" w14:textId="77777777" w:rsidR="008F30F4" w:rsidRPr="0005297D" w:rsidRDefault="008F30F4" w:rsidP="008F30F4">
      <w:pPr>
        <w:keepLines/>
        <w:spacing w:line="240" w:lineRule="auto"/>
        <w:ind w:left="1080" w:right="926" w:firstLine="0"/>
        <w:rPr>
          <w:rFonts w:ascii="Times" w:eastAsia="DengXian" w:hAnsi="Times" w:cs="Times New Roman"/>
          <w:sz w:val="20"/>
          <w:szCs w:val="21"/>
        </w:rPr>
      </w:pPr>
      <w:r>
        <w:rPr>
          <w:rFonts w:eastAsia="DengXian" w:cs="Times New Roman"/>
          <w:color w:val="000000"/>
          <w:sz w:val="20"/>
          <w:szCs w:val="20"/>
          <w:vertAlign w:val="superscript"/>
        </w:rPr>
        <w:t>*</w:t>
      </w:r>
      <w:r w:rsidRPr="0005297D">
        <w:rPr>
          <w:rFonts w:eastAsia="DengXian" w:cs="Times New Roman"/>
          <w:sz w:val="20"/>
          <w:szCs w:val="20"/>
        </w:rPr>
        <w:t xml:space="preserve"> Cement has a higher emissions intensity in value terms than that of electricity. However, it has not been covered by the TPS until the second phase, so their benchmarks are relatively less stringent than those of electricity. Also, it has a lower demand elasticity than electricity. Therefore, in section 6.2, the output quantity reduction of cement is less significant than that of electricity.</w:t>
      </w:r>
    </w:p>
    <w:p w14:paraId="6D1903E3" w14:textId="77777777" w:rsidR="008F30F4" w:rsidRDefault="008F30F4" w:rsidP="008F30F4">
      <w:pPr>
        <w:ind w:firstLine="0"/>
        <w:rPr>
          <w:rFonts w:ascii="Times" w:eastAsia="DengXian" w:hAnsi="Times" w:cs="Times New Roman"/>
          <w:sz w:val="22"/>
        </w:rPr>
      </w:pPr>
    </w:p>
    <w:p w14:paraId="73B71C30" w14:textId="77777777" w:rsidR="008F30F4" w:rsidRDefault="008F30F4" w:rsidP="008F30F4">
      <w:pPr>
        <w:ind w:firstLine="0"/>
        <w:rPr>
          <w:rFonts w:ascii="Times" w:eastAsia="DengXian" w:hAnsi="Times" w:cs="Times New Roman"/>
          <w:sz w:val="22"/>
        </w:rPr>
      </w:pPr>
    </w:p>
    <w:p w14:paraId="52C16009" w14:textId="77777777" w:rsidR="008F30F4" w:rsidRPr="00333C7B" w:rsidRDefault="008F30F4" w:rsidP="008F30F4">
      <w:pPr>
        <w:ind w:firstLine="0"/>
        <w:rPr>
          <w:rFonts w:ascii="Times" w:eastAsia="DengXian" w:hAnsi="Times" w:cs="Times New Roman"/>
          <w:sz w:val="22"/>
        </w:rPr>
      </w:pPr>
    </w:p>
    <w:p w14:paraId="5F8E2A2F" w14:textId="77777777" w:rsidR="008F30F4" w:rsidRPr="00333C7B" w:rsidRDefault="008F30F4" w:rsidP="008F30F4">
      <w:pPr>
        <w:rPr>
          <w:rFonts w:eastAsia="DengXian" w:cs="Times New Roman"/>
          <w:color w:val="000000"/>
          <w:sz w:val="22"/>
          <w:szCs w:val="21"/>
        </w:rPr>
      </w:pPr>
      <w:r w:rsidRPr="00333C7B">
        <w:rPr>
          <w:rFonts w:eastAsia="DengXian" w:cs="Times New Roman"/>
        </w:rPr>
        <w:br w:type="page"/>
      </w:r>
    </w:p>
    <w:p w14:paraId="6BF54302" w14:textId="77777777" w:rsidR="008F30F4" w:rsidRPr="00C72B86" w:rsidRDefault="008F30F4" w:rsidP="008F30F4">
      <w:pPr>
        <w:pStyle w:val="Heading1"/>
      </w:pPr>
      <w:r w:rsidRPr="00333C7B">
        <w:rPr>
          <w:rFonts w:hint="eastAsia"/>
        </w:rPr>
        <w:lastRenderedPageBreak/>
        <w:t>A</w:t>
      </w:r>
      <w:r w:rsidRPr="00333C7B">
        <w:t xml:space="preserve">ppendix C. Parameters and </w:t>
      </w:r>
      <w:r>
        <w:t>C</w:t>
      </w:r>
      <w:r w:rsidRPr="00333C7B">
        <w:t xml:space="preserve">alibration </w:t>
      </w:r>
      <w:r>
        <w:t>M</w:t>
      </w:r>
      <w:r w:rsidRPr="00333C7B">
        <w:t>ethods</w:t>
      </w:r>
    </w:p>
    <w:p w14:paraId="3B18A02F" w14:textId="77777777" w:rsidR="008F30F4" w:rsidRDefault="008F30F4" w:rsidP="008F30F4">
      <w:pPr>
        <w:pStyle w:val="Heading2"/>
        <w:rPr>
          <w:szCs w:val="28"/>
        </w:rPr>
      </w:pPr>
      <w:r>
        <w:rPr>
          <w:szCs w:val="28"/>
        </w:rPr>
        <w:t>Production P</w:t>
      </w:r>
      <w:r w:rsidRPr="00415D56">
        <w:rPr>
          <w:szCs w:val="28"/>
        </w:rPr>
        <w:t>arameters</w:t>
      </w:r>
    </w:p>
    <w:p w14:paraId="3AC5F9AD" w14:textId="77777777" w:rsidR="008F30F4" w:rsidRPr="00300054" w:rsidRDefault="008F30F4" w:rsidP="008F30F4">
      <w:pPr>
        <w:ind w:firstLine="0"/>
        <w:rPr>
          <w:sz w:val="22"/>
          <w:szCs w:val="22"/>
        </w:rPr>
      </w:pPr>
      <w:r w:rsidRPr="0005297D">
        <w:rPr>
          <w:sz w:val="22"/>
          <w:szCs w:val="22"/>
          <w:lang w:eastAsia="en-US"/>
        </w:rPr>
        <w:tab/>
      </w:r>
      <w:r w:rsidRPr="0005297D">
        <w:rPr>
          <w:sz w:val="22"/>
          <w:szCs w:val="22"/>
        </w:rPr>
        <w:t xml:space="preserve">The balanced input-output table described in Appendix B provides benchmark </w:t>
      </w:r>
      <w:r w:rsidRPr="00300054">
        <w:rPr>
          <w:rFonts w:hint="eastAsia"/>
          <w:sz w:val="22"/>
          <w:szCs w:val="22"/>
        </w:rPr>
        <w:t>data</w:t>
      </w:r>
      <w:r w:rsidRPr="00300054">
        <w:rPr>
          <w:sz w:val="22"/>
          <w:szCs w:val="22"/>
        </w:rPr>
        <w:t xml:space="preserve"> </w:t>
      </w:r>
      <w:r w:rsidRPr="0005297D">
        <w:rPr>
          <w:sz w:val="22"/>
          <w:szCs w:val="22"/>
        </w:rPr>
        <w:t xml:space="preserve">for output, </w:t>
      </w:r>
      <w:r w:rsidRPr="00300054">
        <w:rPr>
          <w:sz w:val="22"/>
          <w:szCs w:val="22"/>
        </w:rPr>
        <w:t>material, energy and factor inputs.</w:t>
      </w:r>
      <w:r w:rsidRPr="0005297D">
        <w:rPr>
          <w:sz w:val="22"/>
          <w:szCs w:val="22"/>
        </w:rPr>
        <w:t xml:space="preserve"> </w:t>
      </w:r>
      <w:r w:rsidRPr="00300054">
        <w:rPr>
          <w:sz w:val="22"/>
          <w:szCs w:val="22"/>
        </w:rPr>
        <w:t>We then</w:t>
      </w:r>
      <w:r w:rsidRPr="0005297D">
        <w:rPr>
          <w:sz w:val="22"/>
          <w:szCs w:val="22"/>
        </w:rPr>
        <w:t xml:space="preserve"> calibrate </w:t>
      </w:r>
      <w:r w:rsidRPr="00300054">
        <w:rPr>
          <w:sz w:val="22"/>
          <w:szCs w:val="22"/>
        </w:rPr>
        <w:t xml:space="preserve">the share parameters </w:t>
      </w:r>
      <w:r w:rsidRPr="00300054">
        <w:rPr>
          <w:rFonts w:hint="eastAsia"/>
          <w:sz w:val="22"/>
          <w:szCs w:val="22"/>
        </w:rPr>
        <w:t>o</w:t>
      </w:r>
      <w:r w:rsidRPr="00300054">
        <w:rPr>
          <w:sz w:val="22"/>
          <w:szCs w:val="22"/>
        </w:rPr>
        <w:t xml:space="preserve">f CES functions that have </w:t>
      </w:r>
      <w:r>
        <w:rPr>
          <w:sz w:val="22"/>
          <w:szCs w:val="22"/>
        </w:rPr>
        <w:t xml:space="preserve">the </w:t>
      </w:r>
      <w:r w:rsidRPr="00300054">
        <w:rPr>
          <w:sz w:val="22"/>
          <w:szCs w:val="22"/>
        </w:rPr>
        <w:t xml:space="preserve">functional form of Equation (A1), </w:t>
      </w:r>
      <w:r w:rsidR="0038014B" w:rsidRPr="00D5099F">
        <w:rPr>
          <w:noProof/>
          <w:position w:val="-10"/>
        </w:rPr>
        <w:object w:dxaOrig="260" w:dyaOrig="320" w14:anchorId="3264DD79">
          <v:shape id="_x0000_i1106" type="#_x0000_t75" alt="" style="width:13.4pt;height:15.55pt;mso-width-percent:0;mso-height-percent:0;mso-width-percent:0;mso-height-percent:0" o:ole="">
            <v:imagedata r:id="rId250" o:title=""/>
          </v:shape>
          <o:OLEObject Type="Embed" ProgID="Equation.DSMT4" ShapeID="_x0000_i1106" DrawAspect="Content" ObjectID="_1758969525" r:id="rId251"/>
        </w:object>
      </w:r>
      <w:r w:rsidRPr="00300054">
        <w:rPr>
          <w:sz w:val="22"/>
          <w:szCs w:val="22"/>
        </w:rPr>
        <w:t>, by inverting the optimal input intensity</w:t>
      </w:r>
      <w:r w:rsidRPr="0005297D">
        <w:rPr>
          <w:sz w:val="22"/>
          <w:szCs w:val="22"/>
        </w:rPr>
        <w:t xml:space="preserve"> function</w:t>
      </w:r>
      <w:r w:rsidRPr="00300054">
        <w:rPr>
          <w:sz w:val="22"/>
          <w:szCs w:val="22"/>
        </w:rPr>
        <w:t>, Equation (A7):</w:t>
      </w:r>
    </w:p>
    <w:p w14:paraId="58082A14" w14:textId="77777777" w:rsidR="008F30F4" w:rsidRPr="00300054" w:rsidRDefault="008F30F4" w:rsidP="008F30F4">
      <w:pPr>
        <w:pStyle w:val="a2"/>
      </w:pPr>
      <w:r w:rsidRPr="00300054">
        <w:tab/>
      </w:r>
      <w:r w:rsidR="0038014B" w:rsidRPr="00D5099F">
        <w:rPr>
          <w:noProof/>
          <w:position w:val="-28"/>
        </w:rPr>
        <w:object w:dxaOrig="1400" w:dyaOrig="639" w14:anchorId="79EC5912">
          <v:shape id="_x0000_i1105" type="#_x0000_t75" alt="" style="width:70.6pt;height:31.75pt;mso-width-percent:0;mso-height-percent:0;mso-width-percent:0;mso-height-percent:0" o:ole="">
            <v:imagedata r:id="rId252" o:title=""/>
          </v:shape>
          <o:OLEObject Type="Embed" ProgID="Equation.DSMT4" ShapeID="_x0000_i1105" DrawAspect="Content" ObjectID="_1758969526" r:id="rId253"/>
        </w:object>
      </w:r>
      <w:r w:rsidRPr="00300054">
        <w:tab/>
      </w:r>
      <w:r w:rsidRPr="003A51D2">
        <w:fldChar w:fldCharType="begin"/>
      </w:r>
      <w:r w:rsidRPr="00300054">
        <w:instrText xml:space="preserve"> MACROBUTTON MTPlaceRef \* MERGEFORMAT </w:instrText>
      </w:r>
      <w:r w:rsidRPr="003A51D2">
        <w:fldChar w:fldCharType="begin"/>
      </w:r>
      <w:r w:rsidRPr="00300054">
        <w:instrText xml:space="preserve"> SEQ MTEqn \h \* MERGEFORMAT </w:instrText>
      </w:r>
      <w:r w:rsidRPr="003A51D2">
        <w:fldChar w:fldCharType="end"/>
      </w:r>
      <w:r w:rsidRPr="00300054">
        <w:instrText>(</w:instrText>
      </w:r>
      <w:r w:rsidRPr="003A51D2">
        <w:fldChar w:fldCharType="begin"/>
      </w:r>
      <w:r w:rsidRPr="00300054">
        <w:instrText xml:space="preserve"> SEQ MTSec \c \* Alphabetic \* MERGEFORMAT </w:instrText>
      </w:r>
      <w:r w:rsidRPr="003A51D2">
        <w:fldChar w:fldCharType="separate"/>
      </w:r>
      <w:r>
        <w:rPr>
          <w:noProof/>
        </w:rPr>
        <w:instrText>A</w:instrText>
      </w:r>
      <w:r w:rsidRPr="003A51D2">
        <w:fldChar w:fldCharType="end"/>
      </w:r>
      <w:r w:rsidRPr="003A51D2">
        <w:fldChar w:fldCharType="begin"/>
      </w:r>
      <w:r w:rsidRPr="00300054">
        <w:instrText xml:space="preserve"> SEQ MTEqn \c \* Arabic \* MERGEFORMAT </w:instrText>
      </w:r>
      <w:r w:rsidRPr="003A51D2">
        <w:fldChar w:fldCharType="separate"/>
      </w:r>
      <w:r>
        <w:rPr>
          <w:noProof/>
        </w:rPr>
        <w:instrText>20</w:instrText>
      </w:r>
      <w:r w:rsidRPr="003A51D2">
        <w:fldChar w:fldCharType="end"/>
      </w:r>
      <w:r w:rsidRPr="00300054">
        <w:instrText>)</w:instrText>
      </w:r>
      <w:r w:rsidRPr="003A51D2">
        <w:fldChar w:fldCharType="end"/>
      </w:r>
    </w:p>
    <w:p w14:paraId="4C431F00" w14:textId="77777777" w:rsidR="008F30F4" w:rsidRPr="0005297D" w:rsidRDefault="008F30F4" w:rsidP="008F30F4">
      <w:pPr>
        <w:ind w:firstLine="0"/>
        <w:rPr>
          <w:sz w:val="22"/>
          <w:szCs w:val="22"/>
        </w:rPr>
      </w:pPr>
      <w:r w:rsidRPr="00300054">
        <w:rPr>
          <w:sz w:val="22"/>
          <w:szCs w:val="22"/>
        </w:rPr>
        <w:t xml:space="preserve">where </w:t>
      </w:r>
      <w:r w:rsidR="0038014B" w:rsidRPr="00D5099F">
        <w:rPr>
          <w:noProof/>
          <w:position w:val="-10"/>
        </w:rPr>
        <w:object w:dxaOrig="260" w:dyaOrig="320" w14:anchorId="63EBD1A1">
          <v:shape id="_x0000_i1104" type="#_x0000_t75" alt="" style="width:13.4pt;height:15.55pt;mso-width-percent:0;mso-height-percent:0;mso-width-percent:0;mso-height-percent:0" o:ole="">
            <v:imagedata r:id="rId254" o:title=""/>
          </v:shape>
          <o:OLEObject Type="Embed" ProgID="Equation.DSMT4" ShapeID="_x0000_i1104" DrawAspect="Content" ObjectID="_1758969527" r:id="rId255"/>
        </w:object>
      </w:r>
      <w:r w:rsidRPr="0005297D">
        <w:rPr>
          <w:sz w:val="22"/>
          <w:szCs w:val="22"/>
        </w:rPr>
        <w:t xml:space="preserve"> is the share parameter of the CES production function, </w:t>
      </w:r>
      <w:r w:rsidR="0038014B" w:rsidRPr="00D5099F">
        <w:rPr>
          <w:noProof/>
          <w:position w:val="-6"/>
        </w:rPr>
        <w:object w:dxaOrig="220" w:dyaOrig="260" w14:anchorId="7551228F">
          <v:shape id="_x0000_i1103" type="#_x0000_t75" alt="" style="width:12.7pt;height:13.4pt;mso-width-percent:0;mso-height-percent:0;mso-width-percent:0;mso-height-percent:0" o:ole="">
            <v:imagedata r:id="rId256" o:title=""/>
          </v:shape>
          <o:OLEObject Type="Embed" ProgID="Equation.DSMT4" ShapeID="_x0000_i1103" DrawAspect="Content" ObjectID="_1758969528" r:id="rId257"/>
        </w:object>
      </w:r>
      <w:r w:rsidRPr="0005297D">
        <w:rPr>
          <w:sz w:val="22"/>
          <w:szCs w:val="22"/>
        </w:rPr>
        <w:t xml:space="preserve">the output quantity, </w:t>
      </w:r>
      <w:r w:rsidR="0038014B" w:rsidRPr="00D5099F">
        <w:rPr>
          <w:noProof/>
          <w:position w:val="-10"/>
        </w:rPr>
        <w:object w:dxaOrig="200" w:dyaOrig="320" w14:anchorId="71662C8E">
          <v:shape id="_x0000_i1102" type="#_x0000_t75" alt="" style="width:8.45pt;height:15.55pt;mso-width-percent:0;mso-height-percent:0;mso-width-percent:0;mso-height-percent:0" o:ole="">
            <v:imagedata r:id="rId258" o:title=""/>
          </v:shape>
          <o:OLEObject Type="Embed" ProgID="Equation.DSMT4" ShapeID="_x0000_i1102" DrawAspect="Content" ObjectID="_1758969529" r:id="rId259"/>
        </w:object>
      </w:r>
      <w:r w:rsidRPr="00300054">
        <w:rPr>
          <w:noProof/>
          <w:sz w:val="22"/>
          <w:szCs w:val="22"/>
        </w:rPr>
        <w:t xml:space="preserve"> </w:t>
      </w:r>
      <w:r w:rsidRPr="0005297D">
        <w:rPr>
          <w:sz w:val="22"/>
          <w:szCs w:val="22"/>
        </w:rPr>
        <w:t>the quantity of input</w:t>
      </w:r>
      <w:r w:rsidRPr="00300054">
        <w:rPr>
          <w:sz w:val="22"/>
          <w:szCs w:val="22"/>
        </w:rPr>
        <w:t xml:space="preserve"> </w:t>
      </w:r>
      <w:r w:rsidRPr="0005297D">
        <w:rPr>
          <w:i/>
          <w:iCs/>
          <w:sz w:val="22"/>
          <w:szCs w:val="22"/>
        </w:rPr>
        <w:t>i</w:t>
      </w:r>
      <w:r w:rsidRPr="0005297D">
        <w:rPr>
          <w:sz w:val="22"/>
          <w:szCs w:val="22"/>
        </w:rPr>
        <w:t xml:space="preserve">, </w:t>
      </w:r>
      <w:r w:rsidR="0038014B" w:rsidRPr="00D5099F">
        <w:rPr>
          <w:noProof/>
          <w:position w:val="-10"/>
        </w:rPr>
        <w:object w:dxaOrig="260" w:dyaOrig="320" w14:anchorId="54D57C7B">
          <v:shape id="_x0000_i1101" type="#_x0000_t75" alt="" style="width:13.4pt;height:15.55pt;mso-width-percent:0;mso-height-percent:0;mso-width-percent:0;mso-height-percent:0" o:ole="">
            <v:imagedata r:id="rId260" o:title=""/>
          </v:shape>
          <o:OLEObject Type="Embed" ProgID="Equation.DSMT4" ShapeID="_x0000_i1101" DrawAspect="Content" ObjectID="_1758969530" r:id="rId261"/>
        </w:object>
      </w:r>
      <w:r w:rsidRPr="0005297D">
        <w:rPr>
          <w:sz w:val="22"/>
          <w:szCs w:val="22"/>
        </w:rPr>
        <w:t xml:space="preserve"> the benchmark price of </w:t>
      </w:r>
      <w:r w:rsidRPr="00300054">
        <w:rPr>
          <w:sz w:val="22"/>
          <w:szCs w:val="22"/>
        </w:rPr>
        <w:t xml:space="preserve">input </w:t>
      </w:r>
      <w:r w:rsidRPr="00300054">
        <w:rPr>
          <w:rFonts w:hint="eastAsia"/>
          <w:i/>
          <w:iCs/>
          <w:sz w:val="22"/>
          <w:szCs w:val="22"/>
        </w:rPr>
        <w:t>i</w:t>
      </w:r>
      <w:r w:rsidRPr="00300054" w:rsidDel="00534D82">
        <w:rPr>
          <w:noProof/>
          <w:sz w:val="22"/>
          <w:szCs w:val="22"/>
        </w:rPr>
        <w:t xml:space="preserve"> </w:t>
      </w:r>
      <w:r w:rsidRPr="0005297D">
        <w:rPr>
          <w:sz w:val="22"/>
          <w:szCs w:val="22"/>
        </w:rPr>
        <w:t xml:space="preserve"> and </w:t>
      </w:r>
      <w:r w:rsidR="0038014B" w:rsidRPr="00D5099F">
        <w:rPr>
          <w:noProof/>
          <w:position w:val="-10"/>
        </w:rPr>
        <w:object w:dxaOrig="220" w:dyaOrig="240" w14:anchorId="5988C59F">
          <v:shape id="_x0000_i1100" type="#_x0000_t75" alt="" style="width:12.7pt;height:13.4pt;mso-width-percent:0;mso-height-percent:0;mso-width-percent:0;mso-height-percent:0" o:ole="">
            <v:imagedata r:id="rId262" o:title=""/>
          </v:shape>
          <o:OLEObject Type="Embed" ProgID="Equation.DSMT4" ShapeID="_x0000_i1100" DrawAspect="Content" ObjectID="_1758969531" r:id="rId263"/>
        </w:object>
      </w:r>
      <w:r w:rsidRPr="0005297D">
        <w:rPr>
          <w:sz w:val="22"/>
          <w:szCs w:val="22"/>
        </w:rPr>
        <w:t xml:space="preserve"> the benchmark price of</w:t>
      </w:r>
      <w:r w:rsidRPr="00300054">
        <w:rPr>
          <w:noProof/>
          <w:sz w:val="22"/>
          <w:szCs w:val="22"/>
        </w:rPr>
        <w:t xml:space="preserve"> output</w:t>
      </w:r>
      <w:r w:rsidRPr="0005297D">
        <w:rPr>
          <w:sz w:val="22"/>
          <w:szCs w:val="22"/>
        </w:rPr>
        <w:t>.</w:t>
      </w:r>
    </w:p>
    <w:p w14:paraId="460925C1" w14:textId="77777777" w:rsidR="008F30F4" w:rsidRPr="0005297D" w:rsidRDefault="008F30F4" w:rsidP="008F30F4">
      <w:pPr>
        <w:ind w:firstLine="0"/>
        <w:rPr>
          <w:sz w:val="22"/>
          <w:szCs w:val="22"/>
        </w:rPr>
      </w:pPr>
      <w:r w:rsidRPr="0005297D">
        <w:rPr>
          <w:sz w:val="22"/>
          <w:szCs w:val="22"/>
        </w:rPr>
        <w:tab/>
      </w:r>
      <w:r w:rsidRPr="00300054">
        <w:rPr>
          <w:sz w:val="22"/>
          <w:szCs w:val="22"/>
        </w:rPr>
        <w:t xml:space="preserve">To calibrate </w:t>
      </w:r>
      <w:r w:rsidR="0038014B" w:rsidRPr="00D5099F">
        <w:rPr>
          <w:noProof/>
          <w:position w:val="-10"/>
        </w:rPr>
        <w:object w:dxaOrig="260" w:dyaOrig="320" w14:anchorId="2CBB8BCE">
          <v:shape id="_x0000_i1099" type="#_x0000_t75" alt="" style="width:13.4pt;height:15.55pt;mso-width-percent:0;mso-height-percent:0;mso-width-percent:0;mso-height-percent:0" o:ole="">
            <v:imagedata r:id="rId264" o:title=""/>
          </v:shape>
          <o:OLEObject Type="Embed" ProgID="Equation.DSMT4" ShapeID="_x0000_i1099" DrawAspect="Content" ObjectID="_1758969532" r:id="rId265"/>
        </w:object>
      </w:r>
      <w:r w:rsidRPr="00300054">
        <w:rPr>
          <w:noProof/>
          <w:sz w:val="22"/>
          <w:szCs w:val="22"/>
        </w:rPr>
        <w:t xml:space="preserve">, we need to obtain </w:t>
      </w:r>
      <w:r w:rsidRPr="00300054">
        <w:rPr>
          <w:sz w:val="22"/>
          <w:szCs w:val="22"/>
        </w:rPr>
        <w:t>the elasticit</w:t>
      </w:r>
      <w:r w:rsidRPr="00300054">
        <w:rPr>
          <w:rFonts w:hint="eastAsia"/>
          <w:sz w:val="22"/>
          <w:szCs w:val="22"/>
        </w:rPr>
        <w:t>ies</w:t>
      </w:r>
      <w:r w:rsidRPr="00300054">
        <w:rPr>
          <w:sz w:val="22"/>
          <w:szCs w:val="22"/>
        </w:rPr>
        <w:t xml:space="preserve"> of substitution (</w:t>
      </w:r>
      <w:r w:rsidR="0038014B" w:rsidRPr="00D5099F">
        <w:rPr>
          <w:noProof/>
          <w:position w:val="-6"/>
        </w:rPr>
        <w:object w:dxaOrig="220" w:dyaOrig="200" w14:anchorId="3EB3D67D">
          <v:shape id="_x0000_i1098" type="#_x0000_t75" alt="" style="width:12.7pt;height:8.45pt;mso-width-percent:0;mso-height-percent:0;mso-width-percent:0;mso-height-percent:0" o:ole="">
            <v:imagedata r:id="rId266" o:title=""/>
          </v:shape>
          <o:OLEObject Type="Embed" ProgID="Equation.DSMT4" ShapeID="_x0000_i1098" DrawAspect="Content" ObjectID="_1758969533" r:id="rId267"/>
        </w:object>
      </w:r>
      <w:r w:rsidRPr="00300054">
        <w:rPr>
          <w:noProof/>
          <w:sz w:val="22"/>
          <w:szCs w:val="22"/>
        </w:rPr>
        <w:t>) at different levels of the nested CES structure.</w:t>
      </w:r>
      <w:r w:rsidRPr="00300054">
        <w:rPr>
          <w:sz w:val="22"/>
          <w:szCs w:val="22"/>
        </w:rPr>
        <w:t xml:space="preserve"> </w:t>
      </w:r>
      <w:r w:rsidRPr="0005297D">
        <w:rPr>
          <w:sz w:val="22"/>
          <w:szCs w:val="22"/>
        </w:rPr>
        <w:t xml:space="preserve">In the </w:t>
      </w:r>
      <w:r w:rsidRPr="00300054">
        <w:rPr>
          <w:sz w:val="22"/>
          <w:szCs w:val="22"/>
        </w:rPr>
        <w:t>sub</w:t>
      </w:r>
      <w:r w:rsidRPr="0005297D">
        <w:rPr>
          <w:sz w:val="22"/>
          <w:szCs w:val="22"/>
        </w:rPr>
        <w:t>section</w:t>
      </w:r>
      <w:r w:rsidRPr="006218BA">
        <w:rPr>
          <w:sz w:val="22"/>
          <w:szCs w:val="22"/>
        </w:rPr>
        <w:t xml:space="preserve">s below, we discuss how we </w:t>
      </w:r>
      <w:r w:rsidRPr="00300054">
        <w:rPr>
          <w:sz w:val="22"/>
          <w:szCs w:val="22"/>
        </w:rPr>
        <w:t>obtain them</w:t>
      </w:r>
      <w:r w:rsidRPr="006218BA">
        <w:rPr>
          <w:sz w:val="22"/>
          <w:szCs w:val="22"/>
        </w:rPr>
        <w:t>.</w:t>
      </w:r>
    </w:p>
    <w:p w14:paraId="67FA4663" w14:textId="77777777" w:rsidR="008F30F4" w:rsidRDefault="008F30F4" w:rsidP="008F30F4">
      <w:pPr>
        <w:spacing w:line="240" w:lineRule="auto"/>
        <w:ind w:firstLine="0"/>
        <w:rPr>
          <w:rFonts w:eastAsia="SimSun" w:cs="Times New Roman"/>
          <w:b/>
          <w:bCs/>
          <w:i/>
          <w:iCs/>
          <w:color w:val="000000"/>
          <w:szCs w:val="21"/>
        </w:rPr>
      </w:pPr>
    </w:p>
    <w:p w14:paraId="076B25AD" w14:textId="77777777" w:rsidR="008F30F4" w:rsidRDefault="008F30F4" w:rsidP="008F30F4">
      <w:pPr>
        <w:spacing w:line="240" w:lineRule="auto"/>
        <w:ind w:firstLine="0"/>
        <w:rPr>
          <w:rFonts w:eastAsia="SimSun" w:cs="Times New Roman"/>
          <w:b/>
          <w:bCs/>
          <w:i/>
          <w:iCs/>
          <w:color w:val="000000"/>
          <w:szCs w:val="21"/>
        </w:rPr>
      </w:pPr>
      <w:r>
        <w:rPr>
          <w:rFonts w:eastAsia="SimSun" w:cs="Times New Roman"/>
          <w:b/>
          <w:bCs/>
          <w:i/>
          <w:iCs/>
          <w:color w:val="000000"/>
          <w:szCs w:val="21"/>
        </w:rPr>
        <w:t>S</w:t>
      </w:r>
      <w:r w:rsidRPr="008C712C">
        <w:rPr>
          <w:rFonts w:eastAsia="SimSun" w:cs="Times New Roman"/>
          <w:b/>
          <w:bCs/>
          <w:i/>
          <w:iCs/>
          <w:color w:val="000000"/>
          <w:szCs w:val="21"/>
        </w:rPr>
        <w:t xml:space="preserve">ubstitution </w:t>
      </w:r>
      <w:r>
        <w:rPr>
          <w:rFonts w:eastAsia="SimSun" w:cs="Times New Roman"/>
          <w:b/>
          <w:bCs/>
          <w:i/>
          <w:iCs/>
          <w:color w:val="000000"/>
          <w:szCs w:val="21"/>
        </w:rPr>
        <w:t>Elasticity b</w:t>
      </w:r>
      <w:r w:rsidRPr="008C712C">
        <w:rPr>
          <w:rFonts w:eastAsia="SimSun" w:cs="Times New Roman"/>
          <w:b/>
          <w:bCs/>
          <w:i/>
          <w:iCs/>
          <w:color w:val="000000"/>
          <w:szCs w:val="21"/>
        </w:rPr>
        <w:t xml:space="preserve">etween Electricity </w:t>
      </w:r>
      <w:r>
        <w:rPr>
          <w:rFonts w:eastAsia="SimSun" w:cs="Times New Roman"/>
          <w:b/>
          <w:bCs/>
          <w:i/>
          <w:iCs/>
          <w:color w:val="000000"/>
          <w:szCs w:val="21"/>
        </w:rPr>
        <w:t>a</w:t>
      </w:r>
      <w:r w:rsidRPr="008C712C">
        <w:rPr>
          <w:rFonts w:eastAsia="SimSun" w:cs="Times New Roman"/>
          <w:b/>
          <w:bCs/>
          <w:i/>
          <w:iCs/>
          <w:color w:val="000000"/>
          <w:szCs w:val="21"/>
        </w:rPr>
        <w:t xml:space="preserve">nd </w:t>
      </w:r>
      <w:r>
        <w:rPr>
          <w:rFonts w:eastAsia="SimSun" w:cs="Times New Roman"/>
          <w:b/>
          <w:bCs/>
          <w:i/>
          <w:iCs/>
          <w:color w:val="000000"/>
          <w:szCs w:val="21"/>
        </w:rPr>
        <w:t>Other Fuels (</w:t>
      </w:r>
      <w:r w:rsidR="0038014B" w:rsidRPr="00D5099F">
        <w:rPr>
          <w:noProof/>
          <w:position w:val="-10"/>
        </w:rPr>
        <w:object w:dxaOrig="279" w:dyaOrig="320" w14:anchorId="50294C8F">
          <v:shape id="_x0000_i1097" type="#_x0000_t75" alt="" style="width:14.1pt;height:15.55pt;mso-width-percent:0;mso-height-percent:0;mso-width-percent:0;mso-height-percent:0" o:ole="">
            <v:imagedata r:id="rId268" o:title=""/>
          </v:shape>
          <o:OLEObject Type="Embed" ProgID="Equation.DSMT4" ShapeID="_x0000_i1097" DrawAspect="Content" ObjectID="_1758969534" r:id="rId269"/>
        </w:object>
      </w:r>
      <w:r>
        <w:rPr>
          <w:rFonts w:eastAsia="SimSun" w:cs="Times New Roman"/>
          <w:b/>
          <w:bCs/>
          <w:i/>
          <w:iCs/>
          <w:color w:val="000000"/>
          <w:szCs w:val="21"/>
        </w:rPr>
        <w:t>)</w:t>
      </w:r>
    </w:p>
    <w:p w14:paraId="34910BEE" w14:textId="77777777" w:rsidR="008F30F4" w:rsidRPr="00A71B9B" w:rsidRDefault="008F30F4" w:rsidP="008F30F4">
      <w:pPr>
        <w:ind w:firstLineChars="327" w:firstLine="719"/>
        <w:rPr>
          <w:rFonts w:cs="Times New Roman"/>
          <w:sz w:val="22"/>
          <w:szCs w:val="22"/>
        </w:rPr>
      </w:pPr>
      <w:r w:rsidRPr="00542EB9">
        <w:rPr>
          <w:sz w:val="22"/>
          <w:szCs w:val="22"/>
        </w:rPr>
        <w:t>One important parameter is</w:t>
      </w:r>
      <w:r w:rsidRPr="00EC5B7E">
        <w:rPr>
          <w:sz w:val="22"/>
          <w:szCs w:val="22"/>
        </w:rPr>
        <w:t xml:space="preserve"> </w:t>
      </w:r>
      <w:r w:rsidRPr="00A71B9B">
        <w:rPr>
          <w:sz w:val="22"/>
          <w:szCs w:val="22"/>
        </w:rPr>
        <w:t xml:space="preserve">the elasticity of substitution between electricity and other fuels </w:t>
      </w:r>
      <w:r w:rsidRPr="00542EB9">
        <w:rPr>
          <w:sz w:val="22"/>
          <w:szCs w:val="22"/>
        </w:rPr>
        <w:t>(</w:t>
      </w:r>
      <w:r w:rsidR="0038014B" w:rsidRPr="00D5099F">
        <w:rPr>
          <w:noProof/>
          <w:position w:val="-10"/>
        </w:rPr>
        <w:object w:dxaOrig="279" w:dyaOrig="320" w14:anchorId="2FD10120">
          <v:shape id="_x0000_i1096" type="#_x0000_t75" alt="" style="width:14.1pt;height:15.55pt;mso-width-percent:0;mso-height-percent:0;mso-width-percent:0;mso-height-percent:0" o:ole="">
            <v:imagedata r:id="rId270" o:title=""/>
          </v:shape>
          <o:OLEObject Type="Embed" ProgID="Equation.DSMT4" ShapeID="_x0000_i1096" DrawAspect="Content" ObjectID="_1758969535" r:id="rId271"/>
        </w:object>
      </w:r>
      <w:r w:rsidRPr="00542EB9">
        <w:rPr>
          <w:sz w:val="22"/>
          <w:szCs w:val="22"/>
        </w:rPr>
        <w:t>)</w:t>
      </w:r>
      <w:r w:rsidRPr="00A71B9B">
        <w:rPr>
          <w:sz w:val="22"/>
          <w:szCs w:val="22"/>
        </w:rPr>
        <w:t xml:space="preserve">. We calibrate this based on data for the price elasticity of demand for </w:t>
      </w:r>
      <w:r w:rsidRPr="00A71B9B">
        <w:rPr>
          <w:rFonts w:cs="Times New Roman"/>
          <w:sz w:val="22"/>
          <w:szCs w:val="22"/>
        </w:rPr>
        <w:t xml:space="preserve">electricity. Estimates for this price elasticity in China range from -0.1 </w:t>
      </w:r>
      <w:r>
        <w:rPr>
          <w:rFonts w:cs="Times New Roman"/>
          <w:sz w:val="22"/>
          <w:szCs w:val="22"/>
        </w:rPr>
        <w:fldChar w:fldCharType="begin"/>
      </w:r>
      <w:r>
        <w:rPr>
          <w:rFonts w:cs="Times New Roman"/>
          <w:sz w:val="22"/>
          <w:szCs w:val="22"/>
        </w:rPr>
        <w:instrText xml:space="preserve"> ADDIN ZOTERO_ITEM CSL_CITATION {"citationID":"SCpqvFLB","properties":{"formattedCitation":"(Shi et al., 2012)","plainCitation":"(Shi et al., 2012)","noteIndex":0},"citationItems":[{"id":1778,"uris":["http://zotero.org/users/local/x9Q64Idg/items/VV6X66Y6"],"itemData":{"id":1778,"type":"article-journal","abstract":"Residential demand for electricity is estimated for China using a unique household level dataset. Household electricity demand is specified as a function of...","container-title":"The Scientific World Journal","DOI":"10.1100/2012/395629","ISSN":"1537-744X","language":"en","note":"publisher: Hindawi Limited","source":"doaj.org","title":"Estimating Elasticity for Residential Electricity Demand in China","URL":"http://dx.doi.org/10.1100/2012/395629","volume":"2012","author":[{"family":"Shi","given":"G."},{"family":"Zheng","given":"X."},{"family":"Song","given":"F."}],"accessed":{"date-parts":[["2023",5,24]]},"issued":{"date-parts":[["2012",1,1]]}}}],"schema":"https://github.com/citation-style-language/schema/raw/master/csl-citation.json"} </w:instrText>
      </w:r>
      <w:r>
        <w:rPr>
          <w:rFonts w:cs="Times New Roman"/>
          <w:sz w:val="22"/>
          <w:szCs w:val="22"/>
        </w:rPr>
        <w:fldChar w:fldCharType="separate"/>
      </w:r>
      <w:r w:rsidRPr="001E172D">
        <w:rPr>
          <w:rFonts w:cs="Times New Roman"/>
          <w:sz w:val="22"/>
        </w:rPr>
        <w:t xml:space="preserve">(Shi </w:t>
      </w:r>
      <w:r w:rsidRPr="0005297D">
        <w:rPr>
          <w:rFonts w:cs="Times New Roman"/>
          <w:i/>
          <w:iCs/>
          <w:sz w:val="22"/>
          <w:szCs w:val="22"/>
        </w:rPr>
        <w:t>et al.</w:t>
      </w:r>
      <w:r w:rsidRPr="001E172D">
        <w:rPr>
          <w:rFonts w:cs="Times New Roman"/>
          <w:sz w:val="22"/>
        </w:rPr>
        <w:t>, 2012)</w:t>
      </w:r>
      <w:r>
        <w:rPr>
          <w:rFonts w:cs="Times New Roman"/>
          <w:sz w:val="22"/>
          <w:szCs w:val="22"/>
        </w:rPr>
        <w:fldChar w:fldCharType="end"/>
      </w:r>
      <w:r>
        <w:rPr>
          <w:rFonts w:cs="Times New Roman"/>
          <w:sz w:val="22"/>
          <w:szCs w:val="22"/>
        </w:rPr>
        <w:t xml:space="preserve"> </w:t>
      </w:r>
      <w:r w:rsidRPr="00542EB9">
        <w:rPr>
          <w:rFonts w:cs="Times New Roman"/>
          <w:sz w:val="22"/>
          <w:szCs w:val="22"/>
        </w:rPr>
        <w:t xml:space="preserve">to </w:t>
      </w:r>
      <w:r w:rsidRPr="00EC5B7E">
        <w:rPr>
          <w:rFonts w:cs="Times New Roman"/>
          <w:sz w:val="22"/>
          <w:szCs w:val="22"/>
        </w:rPr>
        <w:t>-</w:t>
      </w:r>
      <w:r w:rsidRPr="00A71B9B">
        <w:rPr>
          <w:rFonts w:cs="Times New Roman"/>
          <w:sz w:val="22"/>
          <w:szCs w:val="22"/>
        </w:rPr>
        <w:t xml:space="preserve">2.9 </w:t>
      </w:r>
      <w:r>
        <w:rPr>
          <w:rFonts w:cs="Times New Roman"/>
          <w:sz w:val="22"/>
          <w:szCs w:val="22"/>
        </w:rPr>
        <w:fldChar w:fldCharType="begin"/>
      </w:r>
      <w:r>
        <w:rPr>
          <w:rFonts w:cs="Times New Roman"/>
          <w:sz w:val="22"/>
          <w:szCs w:val="22"/>
        </w:rPr>
        <w:instrText xml:space="preserve"> ADDIN ZOTERO_ITEM CSL_CITATION {"citationID":"j3ajiuX5","properties":{"formattedCitation":"(He &amp; Reiner, 2016)","plainCitation":"(He &amp; Reiner, 2016)","noteIndex":0},"citationItems":[{"id":1780,"uris":["http://zotero.org/users/local/x9Q64Idg/items/UECIRH5H"],"itemData":{"id":1780,"type":"article-journal","abstract":"An increasing block tariff (IBT) has been implemented nationwide in the residential sector in China since 2012. However, knowledge about IBT design is still limited, particularly how to determine the electricity volume for the first block of an IBT scheme. Assuming the first block should be set based on some measure of electricity poverty; we attempt to model household electricity demand such that the range of basic needs can be established. We show that in Chinese households there exists a threshold for electricity consumption with respect to income, which could be considered a measure of electricity poverty, and the threshold differs between rural and urban areas. For rural (urban) families, electricity consumption at the level of 7th (5th) income decile households can be considered the threshold for basic needs or a measure of electricity poverty since household electricity demand in rural (urban) areas does not respond to income changes until after 7th (5th) income decile. Accordingly, the first IBT block for some provinces (e.g., Beijing) appears to have been set at a level that is too high. Over time however, given continued rapid growth, the IBT will begin to better reflect actual basic needs.","container-title":"Energy Policy","DOI":"10.1016/j.enpol.2015.12.033","ISSN":"0301-4215","journalAbbreviation":"Energy Policy","language":"en","page":"212-221","source":"ScienceDirect","title":"Electricity demand and basic needs: Empirical evidence from China's households","title-short":"Electricity demand and basic needs","volume":"90","author":[{"family":"He","given":"Xiaoping"},{"family":"Reiner","given":"David"}],"issued":{"date-parts":[["2016",3,1]]}}}],"schema":"https://github.com/citation-style-language/schema/raw/master/csl-citation.json"} </w:instrText>
      </w:r>
      <w:r>
        <w:rPr>
          <w:rFonts w:cs="Times New Roman"/>
          <w:sz w:val="22"/>
          <w:szCs w:val="22"/>
        </w:rPr>
        <w:fldChar w:fldCharType="separate"/>
      </w:r>
      <w:r w:rsidRPr="001E172D">
        <w:rPr>
          <w:rFonts w:cs="Times New Roman"/>
          <w:sz w:val="22"/>
        </w:rPr>
        <w:t>(He &amp; Reiner, 2016)</w:t>
      </w:r>
      <w:r>
        <w:rPr>
          <w:rFonts w:cs="Times New Roman"/>
          <w:sz w:val="22"/>
          <w:szCs w:val="22"/>
        </w:rPr>
        <w:fldChar w:fldCharType="end"/>
      </w:r>
      <w:r w:rsidRPr="00A71B9B">
        <w:rPr>
          <w:rFonts w:cs="Times New Roman"/>
          <w:sz w:val="22"/>
          <w:szCs w:val="22"/>
        </w:rPr>
        <w:t xml:space="preserve">, with most of the long-run values (consistent with the scope of our model) around -0.5. We adopted the estimation by </w:t>
      </w:r>
      <w:r>
        <w:rPr>
          <w:rFonts w:cs="Times New Roman"/>
          <w:sz w:val="22"/>
          <w:szCs w:val="22"/>
        </w:rPr>
        <w:fldChar w:fldCharType="begin"/>
      </w:r>
      <w:r>
        <w:rPr>
          <w:rFonts w:cs="Times New Roman"/>
          <w:sz w:val="22"/>
          <w:szCs w:val="22"/>
        </w:rPr>
        <w:instrText xml:space="preserve"> ADDIN ZOTERO_ITEM CSL_CITATION {"citationID":"SJW9i8L7","properties":{"formattedCitation":"(Hu et al., 2019)","plainCitation":"(Hu et al., 2019)","noteIndex":0},"citationItems":[{"id":1767,"uris":["http://zotero.org/users/local/x9Q64Idg/items/BBPY4GGQ"],"itemData":{"id":1767,"type":"article-journal","abstract":"We estimate China urban household energy demand as part of a complete system of consumption demand so that it can be used in economy-wide models. This allows us to derive cross-price elasticities unlike studies which focus on one type of energy. We implement a two-stage approach and explicitly account for electricity, domestic fuels and transportation demand in the first stage and gasoline, coal, LPG and gas demand in the second stage. We find income inelastic demand for electricity and home energy, but the elasticity is higher than estimates in the rich countries. Demand for total transportation is income elastic. The price elasticity for electricity is estimated to be −0.5 and in the range of other estimates for China, and similar to long-run elasticities estimated for the U.S.","container-title":"China Economic Review","DOI":"10.1016/j.chieco.2019.101343","ISSN":"1043951X","journalAbbreviation":"China Economic Review","language":"en","page":"101343","source":"DOI.org (Crossref)","title":"Energy consumption of urban households in China","volume":"58","author":[{"family":"Hu","given":"Wenhao"},{"family":"Ho","given":"Mun S."},{"family":"Cao","given":"Jing"}],"issued":{"date-parts":[["2019",12]]}}}],"schema":"https://github.com/citation-style-language/schema/raw/master/csl-citation.json"} </w:instrText>
      </w:r>
      <w:r>
        <w:rPr>
          <w:rFonts w:cs="Times New Roman"/>
          <w:sz w:val="22"/>
          <w:szCs w:val="22"/>
        </w:rPr>
        <w:fldChar w:fldCharType="separate"/>
      </w:r>
      <w:r w:rsidRPr="001E172D">
        <w:rPr>
          <w:rFonts w:cs="Times New Roman"/>
          <w:sz w:val="22"/>
        </w:rPr>
        <w:t xml:space="preserve">(Hu </w:t>
      </w:r>
      <w:r w:rsidRPr="0005297D">
        <w:rPr>
          <w:rFonts w:cs="Times New Roman"/>
          <w:i/>
          <w:iCs/>
          <w:sz w:val="22"/>
          <w:szCs w:val="22"/>
        </w:rPr>
        <w:t>et al.</w:t>
      </w:r>
      <w:r w:rsidRPr="001E172D">
        <w:rPr>
          <w:rFonts w:cs="Times New Roman"/>
          <w:sz w:val="22"/>
        </w:rPr>
        <w:t>, 2019)</w:t>
      </w:r>
      <w:r>
        <w:rPr>
          <w:rFonts w:cs="Times New Roman"/>
          <w:sz w:val="22"/>
          <w:szCs w:val="22"/>
        </w:rPr>
        <w:fldChar w:fldCharType="end"/>
      </w:r>
      <w:r w:rsidRPr="00A71B9B">
        <w:rPr>
          <w:rFonts w:cs="Times New Roman"/>
          <w:i/>
          <w:iCs/>
          <w:sz w:val="22"/>
          <w:szCs w:val="22"/>
        </w:rPr>
        <w:t xml:space="preserve"> </w:t>
      </w:r>
      <w:r w:rsidRPr="00A71B9B">
        <w:rPr>
          <w:rFonts w:cs="Times New Roman"/>
          <w:sz w:val="22"/>
          <w:szCs w:val="22"/>
        </w:rPr>
        <w:t>due to its more recent and rich dataset, assuming the price elasticity of electricity to be -0.5.</w:t>
      </w:r>
    </w:p>
    <w:p w14:paraId="3B837823" w14:textId="77777777" w:rsidR="008F30F4" w:rsidRDefault="008F30F4" w:rsidP="008F30F4">
      <w:pPr>
        <w:ind w:firstLine="0"/>
        <w:rPr>
          <w:rFonts w:eastAsia="SimSun" w:cs="Times New Roman"/>
          <w:b/>
          <w:bCs/>
          <w:i/>
          <w:iCs/>
          <w:color w:val="000000"/>
        </w:rPr>
      </w:pPr>
    </w:p>
    <w:p w14:paraId="3DA4A5EA" w14:textId="77777777" w:rsidR="008F30F4" w:rsidRPr="006D416B" w:rsidRDefault="008F30F4" w:rsidP="008F30F4">
      <w:pPr>
        <w:ind w:firstLine="0"/>
        <w:rPr>
          <w:rFonts w:eastAsia="SimSun" w:cs="Times New Roman"/>
          <w:b/>
          <w:bCs/>
          <w:i/>
          <w:iCs/>
          <w:color w:val="000000"/>
        </w:rPr>
      </w:pPr>
      <w:r w:rsidRPr="00F40B79">
        <w:rPr>
          <w:rFonts w:eastAsia="SimSun" w:cs="Times New Roman"/>
          <w:b/>
          <w:bCs/>
          <w:i/>
          <w:iCs/>
          <w:color w:val="000000"/>
        </w:rPr>
        <w:t>S</w:t>
      </w:r>
      <w:r w:rsidRPr="006D416B">
        <w:rPr>
          <w:rFonts w:eastAsia="SimSun" w:cs="Times New Roman"/>
          <w:b/>
          <w:bCs/>
          <w:i/>
          <w:iCs/>
          <w:color w:val="000000"/>
        </w:rPr>
        <w:t>ubstitution Elasticity between the Energy Composite and Factor Composite (</w:t>
      </w:r>
      <w:r w:rsidR="0038014B" w:rsidRPr="00D5099F">
        <w:rPr>
          <w:noProof/>
          <w:position w:val="-10"/>
        </w:rPr>
        <w:object w:dxaOrig="440" w:dyaOrig="320" w14:anchorId="2286D2D3">
          <v:shape id="_x0000_i1095" type="#_x0000_t75" alt="" style="width:23.3pt;height:15.55pt;mso-width-percent:0;mso-height-percent:0;mso-width-percent:0;mso-height-percent:0" o:ole="">
            <v:imagedata r:id="rId272" o:title=""/>
          </v:shape>
          <o:OLEObject Type="Embed" ProgID="Equation.DSMT4" ShapeID="_x0000_i1095" DrawAspect="Content" ObjectID="_1758969536" r:id="rId273"/>
        </w:object>
      </w:r>
      <w:r w:rsidRPr="00F40B79">
        <w:rPr>
          <w:rFonts w:eastAsia="SimSun" w:cs="Times New Roman"/>
          <w:b/>
          <w:bCs/>
          <w:i/>
          <w:iCs/>
          <w:color w:val="000000"/>
        </w:rPr>
        <w:t>)</w:t>
      </w:r>
    </w:p>
    <w:p w14:paraId="707DDB9F" w14:textId="77777777" w:rsidR="008F30F4" w:rsidRPr="00B4429C" w:rsidRDefault="008F30F4" w:rsidP="008F30F4">
      <w:pPr>
        <w:ind w:firstLine="720"/>
        <w:contextualSpacing/>
        <w:rPr>
          <w:rFonts w:cs="Times New Roman"/>
          <w:sz w:val="22"/>
          <w:szCs w:val="22"/>
        </w:rPr>
      </w:pPr>
      <w:r w:rsidRPr="00B4429C">
        <w:rPr>
          <w:rFonts w:cs="Times New Roman"/>
          <w:sz w:val="22"/>
          <w:szCs w:val="22"/>
        </w:rPr>
        <w:t xml:space="preserve">Our aim is to estimate the ease of changing </w:t>
      </w:r>
      <w:r>
        <w:rPr>
          <w:rFonts w:cs="Times New Roman"/>
          <w:sz w:val="22"/>
          <w:szCs w:val="22"/>
        </w:rPr>
        <w:t xml:space="preserve">the </w:t>
      </w:r>
      <w:r w:rsidRPr="00B4429C">
        <w:rPr>
          <w:rFonts w:cs="Times New Roman"/>
          <w:sz w:val="22"/>
          <w:szCs w:val="22"/>
        </w:rPr>
        <w:t xml:space="preserve">heat rate for each of the fossil-based electricity subsectors. Heat rate, which measures the energy used by a power plant to generate one kilowatt-hour (kWh) of electricity, serves as an efficiency indicator for power plants. </w:t>
      </w:r>
    </w:p>
    <w:p w14:paraId="275F45E5" w14:textId="77777777" w:rsidR="008F30F4" w:rsidRPr="00B4429C" w:rsidRDefault="008F30F4" w:rsidP="008F30F4">
      <w:pPr>
        <w:ind w:firstLine="720"/>
        <w:contextualSpacing/>
        <w:rPr>
          <w:rFonts w:cs="Times New Roman"/>
          <w:sz w:val="22"/>
          <w:szCs w:val="22"/>
        </w:rPr>
      </w:pPr>
      <w:r w:rsidRPr="00B4429C">
        <w:rPr>
          <w:rFonts w:cs="Times New Roman"/>
          <w:sz w:val="22"/>
          <w:szCs w:val="22"/>
        </w:rPr>
        <w:t>The NDRC</w:t>
      </w:r>
      <w:r>
        <w:rPr>
          <w:rFonts w:cs="Times New Roman"/>
          <w:sz w:val="22"/>
          <w:szCs w:val="22"/>
        </w:rPr>
        <w:t xml:space="preserve"> </w:t>
      </w:r>
      <w:r>
        <w:rPr>
          <w:rFonts w:cs="Times New Roman" w:hint="eastAsia"/>
          <w:sz w:val="22"/>
          <w:szCs w:val="22"/>
        </w:rPr>
        <w:t>reports</w:t>
      </w:r>
      <w:r w:rsidRPr="00B4429C">
        <w:rPr>
          <w:rFonts w:cs="Times New Roman"/>
          <w:sz w:val="22"/>
          <w:szCs w:val="22"/>
        </w:rPr>
        <w:t xml:space="preserve"> provide estimates on the costs and potential heat rate reductions across different measures for both coal-fired and gas-fired power plants in China.</w:t>
      </w:r>
      <w:r w:rsidRPr="00B4429C">
        <w:rPr>
          <w:rStyle w:val="FootnoteReference"/>
          <w:rFonts w:cs="Times New Roman"/>
          <w:sz w:val="22"/>
          <w:szCs w:val="22"/>
        </w:rPr>
        <w:footnoteReference w:id="7"/>
      </w:r>
      <w:r w:rsidRPr="00B4429C">
        <w:rPr>
          <w:rFonts w:cs="Times New Roman"/>
          <w:sz w:val="22"/>
          <w:szCs w:val="22"/>
        </w:rPr>
        <w:t xml:space="preserve"> The coal-fired power plants data feature 26 measures, and gas-fired power plants feature 11 measures. These </w:t>
      </w:r>
      <w:r w:rsidRPr="00B4429C">
        <w:rPr>
          <w:rFonts w:cs="Times New Roman"/>
          <w:sz w:val="22"/>
          <w:szCs w:val="22"/>
        </w:rPr>
        <w:lastRenderedPageBreak/>
        <w:t xml:space="preserve">measures can be categorized into improvements for the boiler island, turbine island, flue gas system, air pollution controls and water treatment system, etc. We rank these measures by their unit cost, which yields marginal cost curves for heat rate reduction for coal-fired and gas-fired power plants, respectively, as shown in Figure </w:t>
      </w:r>
      <w:r>
        <w:rPr>
          <w:rFonts w:cs="Times New Roman"/>
          <w:sz w:val="22"/>
          <w:szCs w:val="22"/>
        </w:rPr>
        <w:t>C1</w:t>
      </w:r>
      <w:r w:rsidRPr="00B4429C">
        <w:rPr>
          <w:rFonts w:cs="Times New Roman"/>
          <w:sz w:val="22"/>
          <w:szCs w:val="22"/>
        </w:rPr>
        <w:t xml:space="preserve">. </w:t>
      </w:r>
    </w:p>
    <w:p w14:paraId="0D0921A9" w14:textId="77777777" w:rsidR="008F30F4" w:rsidRPr="00CB0B3D" w:rsidRDefault="008F30F4" w:rsidP="008F30F4">
      <w:pPr>
        <w:pStyle w:val="FootnoteText"/>
        <w:ind w:firstLine="0"/>
        <w:contextualSpacing/>
        <w:rPr>
          <w:rFonts w:cs="Times New Roman"/>
          <w:b/>
          <w:bCs/>
          <w:sz w:val="21"/>
          <w:szCs w:val="21"/>
        </w:rPr>
      </w:pPr>
      <w:r>
        <w:rPr>
          <w:rFonts w:cs="Times New Roman"/>
          <w:b/>
          <w:bCs/>
          <w:noProof/>
          <w:sz w:val="21"/>
          <w:szCs w:val="21"/>
        </w:rPr>
        <w:drawing>
          <wp:anchor distT="0" distB="0" distL="114300" distR="114300" simplePos="0" relativeHeight="251683840" behindDoc="0" locked="0" layoutInCell="1" allowOverlap="1" wp14:anchorId="63D7600A" wp14:editId="588C5D96">
            <wp:simplePos x="0" y="0"/>
            <wp:positionH relativeFrom="column">
              <wp:posOffset>524969</wp:posOffset>
            </wp:positionH>
            <wp:positionV relativeFrom="paragraph">
              <wp:posOffset>456892</wp:posOffset>
            </wp:positionV>
            <wp:extent cx="4203700" cy="6255385"/>
            <wp:effectExtent l="0" t="0" r="6350" b="0"/>
            <wp:wrapTopAndBottom/>
            <wp:docPr id="14891" name="图形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形 23"/>
                    <pic:cNvPicPr/>
                  </pic:nvPicPr>
                  <pic:blipFill>
                    <a:blip r:embed="rId274">
                      <a:extLst>
                        <a:ext uri="{96DAC541-7B7A-43D3-8B79-37D633B846F1}">
                          <asvg:svgBlip xmlns:asvg="http://schemas.microsoft.com/office/drawing/2016/SVG/main" r:embed="rId275"/>
                        </a:ext>
                      </a:extLst>
                    </a:blip>
                    <a:stretch>
                      <a:fillRect/>
                    </a:stretch>
                  </pic:blipFill>
                  <pic:spPr>
                    <a:xfrm>
                      <a:off x="0" y="0"/>
                      <a:ext cx="4203700" cy="6255385"/>
                    </a:xfrm>
                    <a:prstGeom prst="rect">
                      <a:avLst/>
                    </a:prstGeom>
                  </pic:spPr>
                </pic:pic>
              </a:graphicData>
            </a:graphic>
            <wp14:sizeRelH relativeFrom="margin">
              <wp14:pctWidth>0</wp14:pctWidth>
            </wp14:sizeRelH>
            <wp14:sizeRelV relativeFrom="margin">
              <wp14:pctHeight>0</wp14:pctHeight>
            </wp14:sizeRelV>
          </wp:anchor>
        </w:drawing>
      </w:r>
    </w:p>
    <w:p w14:paraId="325CFE1A" w14:textId="77777777" w:rsidR="008F30F4" w:rsidRPr="002F0B8D" w:rsidRDefault="008F30F4" w:rsidP="008F30F4">
      <w:pPr>
        <w:pStyle w:val="FootnoteText"/>
        <w:ind w:firstLine="0"/>
        <w:contextualSpacing/>
        <w:jc w:val="center"/>
        <w:rPr>
          <w:rFonts w:cs="Times New Roman"/>
          <w:b/>
          <w:bCs/>
          <w:sz w:val="22"/>
          <w:szCs w:val="22"/>
        </w:rPr>
      </w:pPr>
      <w:r w:rsidRPr="002F0B8D">
        <w:rPr>
          <w:rFonts w:cs="Times New Roman"/>
          <w:b/>
          <w:bCs/>
          <w:sz w:val="22"/>
          <w:szCs w:val="22"/>
        </w:rPr>
        <w:t xml:space="preserve">Figure </w:t>
      </w:r>
      <w:r>
        <w:rPr>
          <w:rFonts w:cs="Times New Roman"/>
          <w:b/>
          <w:bCs/>
          <w:sz w:val="22"/>
          <w:szCs w:val="22"/>
        </w:rPr>
        <w:t>C1</w:t>
      </w:r>
      <w:r w:rsidRPr="002F0B8D">
        <w:rPr>
          <w:rFonts w:cs="Times New Roman"/>
          <w:b/>
          <w:bCs/>
          <w:sz w:val="22"/>
          <w:szCs w:val="22"/>
        </w:rPr>
        <w:t>. Marginal Cost of Heat Rate Reduction with All Measures</w:t>
      </w:r>
    </w:p>
    <w:p w14:paraId="348CFDA5" w14:textId="77777777" w:rsidR="008F30F4" w:rsidRPr="004627FF" w:rsidRDefault="008F30F4" w:rsidP="008F30F4">
      <w:pPr>
        <w:contextualSpacing/>
        <w:rPr>
          <w:rFonts w:cs="Times New Roman"/>
          <w:sz w:val="22"/>
        </w:rPr>
      </w:pPr>
    </w:p>
    <w:p w14:paraId="1FEB6063" w14:textId="77777777" w:rsidR="008F30F4" w:rsidRDefault="008F30F4" w:rsidP="008F30F4">
      <w:pPr>
        <w:ind w:firstLine="720"/>
        <w:contextualSpacing/>
        <w:rPr>
          <w:rFonts w:cs="Times New Roman"/>
          <w:sz w:val="22"/>
        </w:rPr>
      </w:pPr>
      <w:r w:rsidRPr="005137C1">
        <w:rPr>
          <w:rFonts w:cs="Times New Roman"/>
          <w:sz w:val="22"/>
        </w:rPr>
        <w:t xml:space="preserve"> </w:t>
      </w:r>
      <w:r>
        <w:rPr>
          <w:rFonts w:cs="Times New Roman"/>
          <w:sz w:val="22"/>
        </w:rPr>
        <w:t xml:space="preserve">The estimation of the marginal cost curve presents a key challenge: it should exclude measures that have already been adopted as the marginal cost curve represents the costs of </w:t>
      </w:r>
      <w:r>
        <w:rPr>
          <w:rFonts w:cs="Times New Roman"/>
          <w:sz w:val="22"/>
        </w:rPr>
        <w:lastRenderedPageBreak/>
        <w:t xml:space="preserve">reducing heat rate from the cheapest measure. Following </w:t>
      </w:r>
      <w:r w:rsidRPr="00AA1562">
        <w:rPr>
          <w:rFonts w:cs="Times New Roman"/>
          <w:sz w:val="22"/>
        </w:rPr>
        <w:fldChar w:fldCharType="begin"/>
      </w:r>
      <w:r>
        <w:rPr>
          <w:rFonts w:cs="Times New Roman"/>
          <w:sz w:val="22"/>
        </w:rPr>
        <w:instrText xml:space="preserve"> ADDIN ZOTERO_ITEM CSL_CITATION {"citationID":"KWiG3hu0","properties":{"formattedCitation":"(Burtraw, Woerman, &amp; Paul, 2012)","plainCitation":"(Burtraw, Woerman, &amp; Paul, 2012)","dontUpdate":true,"noteIndex":0},"citationItems":[{"id":1876,"uris":["http://zotero.org/users/local/x9Q64Idg/items/QL4J4G4J"],"itemData":{"id":1876,"type":"article-journal","abstract":"The EPA will issue rules regulating greenhouse gas (GHG) emissions from existing steam boilers and refineries in 2012. A crucial issue affecting the scope and cost of emissions reductions will be the potential introduction of flexibility in compliance, including averaging across groups of facilities. This research investigates the role of compliance flexibility for the most important of these source categories—existing coal-fired power plants—that currently account for one-third of national emissions of carbon dioxide, the most important greenhouse gas. We find a flexible standard, calibrated to achieve the same emissions reductions as a traditional(inflexible) approach, reduces the increase in electricity price by 60 percent and overall costs by two-thirds in 2020. The flexible standard also leads to substantially more investment to improve the operating efficiency of existing facilities, whereas the traditional standard leads to substantially greater retirement of existing facilities.","container-title":"Energy Policy","DOI":"10.1016/j.enpol.2011.11.036","ISSN":"0301-4215","journalAbbreviation":"Energy Policy","language":"en","page":"67-77","source":"ScienceDirect","title":"Retail electricity price savings from compliance flexibility in GHG standards for stationary sources","volume":"42","author":[{"family":"Burtraw","given":"Dallas"},{"family":"Woerman","given":"Matt"},{"family":"Paul","given":"Anthony"}],"issued":{"date-parts":[["2012",3,1]]}}}],"schema":"https://github.com/citation-style-language/schema/raw/master/csl-citation.json"} </w:instrText>
      </w:r>
      <w:r w:rsidRPr="00AA1562">
        <w:rPr>
          <w:rFonts w:cs="Times New Roman"/>
          <w:sz w:val="22"/>
        </w:rPr>
        <w:fldChar w:fldCharType="separate"/>
      </w:r>
      <w:r w:rsidRPr="00AA1562">
        <w:rPr>
          <w:rFonts w:cs="Times New Roman"/>
          <w:sz w:val="22"/>
        </w:rPr>
        <w:t>Burtraw</w:t>
      </w:r>
      <w:r w:rsidRPr="00AA1562">
        <w:rPr>
          <w:rFonts w:cs="Times New Roman"/>
          <w:i/>
          <w:iCs/>
          <w:sz w:val="22"/>
        </w:rPr>
        <w:t xml:space="preserve"> et al.</w:t>
      </w:r>
      <w:r>
        <w:rPr>
          <w:rFonts w:cs="Times New Roman"/>
          <w:sz w:val="22"/>
        </w:rPr>
        <w:t xml:space="preserve"> </w:t>
      </w:r>
      <w:r>
        <w:rPr>
          <w:rFonts w:cs="Times New Roman" w:hint="eastAsia"/>
          <w:sz w:val="22"/>
        </w:rPr>
        <w:t>(</w:t>
      </w:r>
      <w:r w:rsidRPr="00AA1562">
        <w:rPr>
          <w:rFonts w:cs="Times New Roman"/>
          <w:sz w:val="22"/>
        </w:rPr>
        <w:t>2012)</w:t>
      </w:r>
      <w:r w:rsidRPr="00AA1562">
        <w:rPr>
          <w:rFonts w:cs="Times New Roman"/>
          <w:sz w:val="22"/>
        </w:rPr>
        <w:fldChar w:fldCharType="end"/>
      </w:r>
      <w:r>
        <w:rPr>
          <w:rFonts w:cs="Times New Roman"/>
          <w:sz w:val="22"/>
        </w:rPr>
        <w:t xml:space="preserve">, we </w:t>
      </w:r>
      <w:r w:rsidRPr="00AA1562">
        <w:rPr>
          <w:rFonts w:cs="Times New Roman"/>
          <w:sz w:val="22"/>
        </w:rPr>
        <w:t>assum</w:t>
      </w:r>
      <w:r>
        <w:rPr>
          <w:rFonts w:cs="Times New Roman"/>
          <w:sz w:val="22"/>
        </w:rPr>
        <w:t>e</w:t>
      </w:r>
      <w:r w:rsidRPr="00AA1562">
        <w:rPr>
          <w:rFonts w:cs="Times New Roman"/>
          <w:sz w:val="22"/>
        </w:rPr>
        <w:t xml:space="preserve"> that the observed heat rates are inversely correlated with the adoption of identified measures. </w:t>
      </w:r>
      <w:r>
        <w:rPr>
          <w:rFonts w:cs="Times New Roman"/>
          <w:sz w:val="22"/>
        </w:rPr>
        <w:t>Specifically, the power plants with higher emissions intensities have adopted fewer of the efficient techniques than the plants with lower intensities.</w:t>
      </w:r>
      <w:r>
        <w:rPr>
          <w:rStyle w:val="CommentReference"/>
        </w:rPr>
        <w:t xml:space="preserve"> </w:t>
      </w:r>
    </w:p>
    <w:p w14:paraId="23DD6758" w14:textId="77777777" w:rsidR="008F30F4" w:rsidRDefault="008F30F4" w:rsidP="008F30F4">
      <w:pPr>
        <w:ind w:firstLine="720"/>
        <w:contextualSpacing/>
        <w:rPr>
          <w:rFonts w:cs="Times New Roman"/>
          <w:sz w:val="22"/>
        </w:rPr>
      </w:pPr>
      <w:r w:rsidRPr="005137C1">
        <w:rPr>
          <w:rFonts w:cs="Times New Roman"/>
          <w:sz w:val="22"/>
        </w:rPr>
        <w:t xml:space="preserve">We first categorize all power plants according to their heat rates, as Table </w:t>
      </w:r>
      <w:r>
        <w:rPr>
          <w:rFonts w:cs="Times New Roman"/>
          <w:sz w:val="22"/>
        </w:rPr>
        <w:t>C1</w:t>
      </w:r>
      <w:r w:rsidRPr="005137C1">
        <w:rPr>
          <w:rFonts w:cs="Times New Roman"/>
          <w:sz w:val="22"/>
        </w:rPr>
        <w:t xml:space="preserve"> shows</w:t>
      </w:r>
      <w:r>
        <w:rPr>
          <w:rFonts w:cs="Times New Roman"/>
          <w:sz w:val="22"/>
        </w:rPr>
        <w:t>.</w:t>
      </w:r>
      <w:r>
        <w:rPr>
          <w:rStyle w:val="FootnoteReference"/>
          <w:rFonts w:cs="Times New Roman"/>
          <w:sz w:val="22"/>
        </w:rPr>
        <w:footnoteReference w:id="8"/>
      </w:r>
      <w:r w:rsidRPr="005137C1">
        <w:rPr>
          <w:rFonts w:cs="Times New Roman"/>
          <w:sz w:val="22"/>
        </w:rPr>
        <w:t xml:space="preserve"> </w:t>
      </w:r>
      <w:r>
        <w:rPr>
          <w:rFonts w:cs="Times New Roman"/>
          <w:sz w:val="22"/>
        </w:rPr>
        <w:t>W</w:t>
      </w:r>
      <w:r w:rsidRPr="00AA1562">
        <w:rPr>
          <w:rFonts w:cs="Times New Roman"/>
          <w:sz w:val="22"/>
        </w:rPr>
        <w:t xml:space="preserve">e </w:t>
      </w:r>
      <w:r>
        <w:rPr>
          <w:rFonts w:cs="Times New Roman"/>
          <w:sz w:val="22"/>
        </w:rPr>
        <w:t>consider</w:t>
      </w:r>
      <w:r w:rsidRPr="00AA1562">
        <w:rPr>
          <w:rFonts w:cs="Times New Roman"/>
          <w:sz w:val="22"/>
        </w:rPr>
        <w:t xml:space="preserve"> the most inefficient group (</w:t>
      </w:r>
      <w:r>
        <w:rPr>
          <w:rFonts w:cs="Times New Roman"/>
          <w:sz w:val="22"/>
        </w:rPr>
        <w:t>highest heat rate</w:t>
      </w:r>
      <w:r w:rsidRPr="00AA1562">
        <w:rPr>
          <w:rFonts w:cs="Times New Roman"/>
          <w:sz w:val="22"/>
        </w:rPr>
        <w:t xml:space="preserve">) </w:t>
      </w:r>
      <w:r>
        <w:rPr>
          <w:rFonts w:cs="Times New Roman"/>
          <w:sz w:val="22"/>
        </w:rPr>
        <w:t>as having access to</w:t>
      </w:r>
      <w:r w:rsidRPr="00AA1562">
        <w:rPr>
          <w:rFonts w:cs="Times New Roman"/>
          <w:sz w:val="22"/>
        </w:rPr>
        <w:t xml:space="preserve"> all </w:t>
      </w:r>
      <w:r>
        <w:rPr>
          <w:rFonts w:cs="Times New Roman"/>
          <w:sz w:val="22"/>
        </w:rPr>
        <w:t>heat rate reduction measures</w:t>
      </w:r>
      <w:r w:rsidRPr="00AA1562">
        <w:rPr>
          <w:rFonts w:cs="Times New Roman"/>
          <w:sz w:val="22"/>
        </w:rPr>
        <w:t xml:space="preserve"> </w:t>
      </w:r>
      <w:r>
        <w:rPr>
          <w:rFonts w:cs="Times New Roman"/>
          <w:sz w:val="22"/>
        </w:rPr>
        <w:t xml:space="preserve">shown in Figure C2, resulting in a marginal cost curve identical to that in Figure C1. On the other hand, </w:t>
      </w:r>
      <w:r w:rsidRPr="00AA1562">
        <w:rPr>
          <w:rFonts w:cs="Times New Roman"/>
          <w:sz w:val="22"/>
        </w:rPr>
        <w:t>the most efficient group (</w:t>
      </w:r>
      <w:r>
        <w:rPr>
          <w:rFonts w:cs="Times New Roman"/>
          <w:sz w:val="22"/>
        </w:rPr>
        <w:t>lowest</w:t>
      </w:r>
      <w:r w:rsidRPr="00AA1562">
        <w:rPr>
          <w:rFonts w:cs="Times New Roman"/>
          <w:sz w:val="22"/>
        </w:rPr>
        <w:t xml:space="preserve"> heat rate</w:t>
      </w:r>
      <w:r>
        <w:rPr>
          <w:rFonts w:cs="Times New Roman"/>
          <w:sz w:val="22"/>
        </w:rPr>
        <w:t>)</w:t>
      </w:r>
      <w:r w:rsidRPr="00AA1562">
        <w:rPr>
          <w:rFonts w:cs="Times New Roman"/>
          <w:sz w:val="22"/>
        </w:rPr>
        <w:t xml:space="preserve"> </w:t>
      </w:r>
      <w:r>
        <w:rPr>
          <w:rFonts w:cs="Times New Roman"/>
          <w:sz w:val="22"/>
        </w:rPr>
        <w:t xml:space="preserve">is assumed to </w:t>
      </w:r>
      <w:r w:rsidRPr="005137C1">
        <w:rPr>
          <w:rFonts w:cs="Times New Roman"/>
          <w:sz w:val="22"/>
        </w:rPr>
        <w:t xml:space="preserve">have only </w:t>
      </w:r>
      <w:r w:rsidRPr="005137C1">
        <w:rPr>
          <w:rFonts w:cs="Times New Roman" w:hint="eastAsia"/>
          <w:sz w:val="22"/>
        </w:rPr>
        <w:t>two</w:t>
      </w:r>
      <w:r w:rsidRPr="005137C1">
        <w:rPr>
          <w:rFonts w:cs="Times New Roman"/>
          <w:sz w:val="22"/>
        </w:rPr>
        <w:t xml:space="preserve"> measure</w:t>
      </w:r>
      <w:r w:rsidRPr="005137C1">
        <w:rPr>
          <w:rFonts w:cs="Times New Roman" w:hint="eastAsia"/>
          <w:sz w:val="22"/>
        </w:rPr>
        <w:t>s</w:t>
      </w:r>
      <w:r w:rsidRPr="005137C1">
        <w:rPr>
          <w:rFonts w:cs="Times New Roman"/>
          <w:sz w:val="22"/>
        </w:rPr>
        <w:t xml:space="preserve"> with the two highest unit costs available, leading to its marginal cost curve matching the two far-right segments of Figure </w:t>
      </w:r>
      <w:r>
        <w:rPr>
          <w:rFonts w:cs="Times New Roman"/>
          <w:sz w:val="22"/>
        </w:rPr>
        <w:t>C2</w:t>
      </w:r>
      <w:r w:rsidRPr="005137C1">
        <w:rPr>
          <w:rFonts w:cs="Times New Roman"/>
          <w:sz w:val="22"/>
        </w:rPr>
        <w:t>. For the groups that lie between these two extremes, we assume a linear relationship between their heat rate reduction potential</w:t>
      </w:r>
      <w:r>
        <w:rPr>
          <w:rFonts w:cs="Times New Roman"/>
          <w:sz w:val="22"/>
        </w:rPr>
        <w:t>s</w:t>
      </w:r>
      <w:r w:rsidRPr="005137C1">
        <w:rPr>
          <w:rFonts w:cs="Times New Roman"/>
          <w:sz w:val="22"/>
        </w:rPr>
        <w:t xml:space="preserve"> and their difference</w:t>
      </w:r>
      <w:r>
        <w:rPr>
          <w:rFonts w:cs="Times New Roman"/>
          <w:sz w:val="22"/>
        </w:rPr>
        <w:t>s</w:t>
      </w:r>
      <w:r w:rsidRPr="005137C1">
        <w:rPr>
          <w:rFonts w:cs="Times New Roman"/>
          <w:sz w:val="22"/>
        </w:rPr>
        <w:t xml:space="preserve"> from the lowest heat rate group in terms of median heat rate. </w:t>
      </w:r>
      <w:r>
        <w:rPr>
          <w:rFonts w:cs="Times New Roman"/>
          <w:sz w:val="22"/>
        </w:rPr>
        <w:t>The resulting curves are in Figure C2.</w:t>
      </w:r>
    </w:p>
    <w:p w14:paraId="7FD26957" w14:textId="77777777" w:rsidR="008F30F4" w:rsidRDefault="008F30F4" w:rsidP="008F30F4">
      <w:pPr>
        <w:ind w:firstLine="720"/>
        <w:contextualSpacing/>
        <w:rPr>
          <w:rFonts w:cs="Times New Roman"/>
          <w:sz w:val="22"/>
        </w:rPr>
      </w:pPr>
    </w:p>
    <w:p w14:paraId="46202EA8" w14:textId="77777777" w:rsidR="008F30F4" w:rsidRPr="00B4429C" w:rsidRDefault="008F30F4" w:rsidP="008F30F4">
      <w:pPr>
        <w:ind w:firstLine="0"/>
        <w:jc w:val="center"/>
        <w:rPr>
          <w:rFonts w:eastAsia="DengXian" w:cs="Times New Roman"/>
          <w:b/>
          <w:bCs/>
          <w:sz w:val="22"/>
          <w:szCs w:val="22"/>
        </w:rPr>
      </w:pPr>
      <w:r w:rsidRPr="00B4429C">
        <w:rPr>
          <w:rFonts w:eastAsia="DengXian" w:cs="Times New Roman" w:hint="eastAsia"/>
          <w:b/>
          <w:bCs/>
          <w:sz w:val="22"/>
          <w:szCs w:val="22"/>
        </w:rPr>
        <w:t>T</w:t>
      </w:r>
      <w:r w:rsidRPr="00B4429C">
        <w:rPr>
          <w:rFonts w:eastAsia="DengXian" w:cs="Times New Roman"/>
          <w:b/>
          <w:bCs/>
          <w:sz w:val="22"/>
          <w:szCs w:val="22"/>
        </w:rPr>
        <w:t xml:space="preserve">able </w:t>
      </w:r>
      <w:r>
        <w:rPr>
          <w:rFonts w:eastAsia="DengXian" w:cs="Times New Roman"/>
          <w:b/>
          <w:bCs/>
          <w:sz w:val="22"/>
          <w:szCs w:val="22"/>
        </w:rPr>
        <w:t>C1</w:t>
      </w:r>
      <w:r w:rsidRPr="00B4429C">
        <w:rPr>
          <w:rFonts w:eastAsia="DengXian" w:cs="Times New Roman"/>
          <w:b/>
          <w:bCs/>
          <w:sz w:val="22"/>
          <w:szCs w:val="22"/>
        </w:rPr>
        <w:t>. Heat Rate Range by Heat Rate Groups</w:t>
      </w:r>
    </w:p>
    <w:tbl>
      <w:tblPr>
        <w:tblW w:w="5637" w:type="dxa"/>
        <w:jc w:val="center"/>
        <w:tblBorders>
          <w:top w:val="single" w:sz="4" w:space="0" w:color="auto"/>
          <w:bottom w:val="single" w:sz="4" w:space="0" w:color="auto"/>
        </w:tblBorders>
        <w:tblLook w:val="04A0" w:firstRow="1" w:lastRow="0" w:firstColumn="1" w:lastColumn="0" w:noHBand="0" w:noVBand="1"/>
      </w:tblPr>
      <w:tblGrid>
        <w:gridCol w:w="2832"/>
        <w:gridCol w:w="2805"/>
      </w:tblGrid>
      <w:tr w:rsidR="008F30F4" w:rsidRPr="00BE3F8D" w14:paraId="09AAA722" w14:textId="77777777" w:rsidTr="001F21E7">
        <w:trPr>
          <w:trHeight w:val="546"/>
          <w:jc w:val="center"/>
        </w:trPr>
        <w:tc>
          <w:tcPr>
            <w:tcW w:w="2832" w:type="dxa"/>
            <w:tcBorders>
              <w:top w:val="single" w:sz="4" w:space="0" w:color="auto"/>
              <w:bottom w:val="single" w:sz="4" w:space="0" w:color="auto"/>
            </w:tcBorders>
            <w:shd w:val="clear" w:color="auto" w:fill="auto"/>
            <w:noWrap/>
            <w:vAlign w:val="center"/>
            <w:hideMark/>
          </w:tcPr>
          <w:p w14:paraId="5BAACD34"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Heat rate group</w:t>
            </w:r>
          </w:p>
        </w:tc>
        <w:tc>
          <w:tcPr>
            <w:tcW w:w="2805" w:type="dxa"/>
            <w:tcBorders>
              <w:top w:val="single" w:sz="4" w:space="0" w:color="auto"/>
              <w:bottom w:val="single" w:sz="4" w:space="0" w:color="auto"/>
            </w:tcBorders>
            <w:shd w:val="clear" w:color="auto" w:fill="auto"/>
            <w:noWrap/>
            <w:vAlign w:val="center"/>
            <w:hideMark/>
          </w:tcPr>
          <w:p w14:paraId="428F2C7E"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 xml:space="preserve">Heat rate range </w:t>
            </w:r>
            <w:r w:rsidRPr="00BE3F8D">
              <w:rPr>
                <w:rFonts w:eastAsia="SimSun" w:cs="Times New Roman" w:hint="eastAsia"/>
                <w:color w:val="000000"/>
                <w:kern w:val="2"/>
                <w:sz w:val="22"/>
                <w:szCs w:val="22"/>
              </w:rPr>
              <w:t>(</w:t>
            </w:r>
            <w:r w:rsidRPr="00BE3F8D">
              <w:rPr>
                <w:rFonts w:eastAsia="SimSun" w:cs="Times New Roman"/>
                <w:color w:val="000000"/>
                <w:kern w:val="2"/>
                <w:sz w:val="22"/>
                <w:szCs w:val="22"/>
              </w:rPr>
              <w:t>Btu/kWh)</w:t>
            </w:r>
          </w:p>
        </w:tc>
      </w:tr>
      <w:tr w:rsidR="008F30F4" w:rsidRPr="00BE3F8D" w14:paraId="42C78D22" w14:textId="77777777" w:rsidTr="001F21E7">
        <w:trPr>
          <w:trHeight w:val="491"/>
          <w:jc w:val="center"/>
        </w:trPr>
        <w:tc>
          <w:tcPr>
            <w:tcW w:w="2832" w:type="dxa"/>
            <w:tcBorders>
              <w:top w:val="single" w:sz="4" w:space="0" w:color="auto"/>
              <w:bottom w:val="nil"/>
            </w:tcBorders>
            <w:shd w:val="clear" w:color="auto" w:fill="auto"/>
            <w:noWrap/>
            <w:vAlign w:val="center"/>
          </w:tcPr>
          <w:p w14:paraId="72DA7028" w14:textId="77777777" w:rsidR="008F30F4" w:rsidRPr="00BE3F8D" w:rsidRDefault="008F30F4" w:rsidP="001F21E7">
            <w:pPr>
              <w:spacing w:before="0" w:line="240" w:lineRule="auto"/>
              <w:ind w:firstLine="0"/>
              <w:contextualSpacing/>
              <w:rPr>
                <w:rFonts w:eastAsia="SimSun" w:cs="Times New Roman"/>
                <w:color w:val="000000"/>
                <w:kern w:val="2"/>
                <w:sz w:val="22"/>
                <w:szCs w:val="22"/>
              </w:rPr>
            </w:pPr>
            <w:r w:rsidRPr="00BE3F8D">
              <w:rPr>
                <w:rFonts w:eastAsia="SimSun" w:cs="Times New Roman" w:hint="eastAsia"/>
                <w:color w:val="000000"/>
                <w:kern w:val="2"/>
                <w:sz w:val="22"/>
                <w:szCs w:val="22"/>
              </w:rPr>
              <w:t>C</w:t>
            </w:r>
            <w:r w:rsidRPr="00BE3F8D">
              <w:rPr>
                <w:rFonts w:eastAsia="SimSun" w:cs="Times New Roman"/>
                <w:color w:val="000000"/>
                <w:kern w:val="2"/>
                <w:sz w:val="22"/>
                <w:szCs w:val="22"/>
              </w:rPr>
              <w:t>oal-fired Power Plants</w:t>
            </w:r>
          </w:p>
        </w:tc>
        <w:tc>
          <w:tcPr>
            <w:tcW w:w="2805" w:type="dxa"/>
            <w:tcBorders>
              <w:top w:val="single" w:sz="4" w:space="0" w:color="auto"/>
              <w:bottom w:val="nil"/>
            </w:tcBorders>
            <w:shd w:val="clear" w:color="auto" w:fill="auto"/>
            <w:noWrap/>
            <w:vAlign w:val="center"/>
          </w:tcPr>
          <w:p w14:paraId="410DA033"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p>
        </w:tc>
      </w:tr>
      <w:tr w:rsidR="008F30F4" w:rsidRPr="00BE3F8D" w14:paraId="10B6B4E1" w14:textId="77777777" w:rsidTr="001F21E7">
        <w:trPr>
          <w:trHeight w:val="329"/>
          <w:jc w:val="center"/>
        </w:trPr>
        <w:tc>
          <w:tcPr>
            <w:tcW w:w="2832" w:type="dxa"/>
            <w:tcBorders>
              <w:top w:val="nil"/>
            </w:tcBorders>
            <w:shd w:val="clear" w:color="auto" w:fill="auto"/>
            <w:noWrap/>
            <w:vAlign w:val="center"/>
            <w:hideMark/>
          </w:tcPr>
          <w:p w14:paraId="7C7E2B90"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1 (most inefficient)</w:t>
            </w:r>
          </w:p>
        </w:tc>
        <w:tc>
          <w:tcPr>
            <w:tcW w:w="2805" w:type="dxa"/>
            <w:tcBorders>
              <w:top w:val="nil"/>
            </w:tcBorders>
            <w:shd w:val="clear" w:color="auto" w:fill="auto"/>
            <w:noWrap/>
            <w:vAlign w:val="center"/>
            <w:hideMark/>
          </w:tcPr>
          <w:p w14:paraId="0F5A27D4"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(13015, 14000]</w:t>
            </w:r>
          </w:p>
        </w:tc>
      </w:tr>
      <w:tr w:rsidR="008F30F4" w:rsidRPr="00BE3F8D" w14:paraId="7F7B8C19" w14:textId="77777777" w:rsidTr="001F21E7">
        <w:trPr>
          <w:trHeight w:val="329"/>
          <w:jc w:val="center"/>
        </w:trPr>
        <w:tc>
          <w:tcPr>
            <w:tcW w:w="2832" w:type="dxa"/>
            <w:shd w:val="clear" w:color="auto" w:fill="auto"/>
            <w:noWrap/>
            <w:vAlign w:val="center"/>
            <w:hideMark/>
          </w:tcPr>
          <w:p w14:paraId="4C45CC71"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2</w:t>
            </w:r>
          </w:p>
        </w:tc>
        <w:tc>
          <w:tcPr>
            <w:tcW w:w="2805" w:type="dxa"/>
            <w:shd w:val="clear" w:color="auto" w:fill="auto"/>
            <w:noWrap/>
            <w:vAlign w:val="center"/>
            <w:hideMark/>
          </w:tcPr>
          <w:p w14:paraId="2CC0E770"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(11435, 13015]</w:t>
            </w:r>
          </w:p>
        </w:tc>
      </w:tr>
      <w:tr w:rsidR="008F30F4" w:rsidRPr="00BE3F8D" w14:paraId="15C66342" w14:textId="77777777" w:rsidTr="001F21E7">
        <w:trPr>
          <w:trHeight w:val="329"/>
          <w:jc w:val="center"/>
        </w:trPr>
        <w:tc>
          <w:tcPr>
            <w:tcW w:w="2832" w:type="dxa"/>
            <w:shd w:val="clear" w:color="auto" w:fill="auto"/>
            <w:noWrap/>
            <w:vAlign w:val="center"/>
            <w:hideMark/>
          </w:tcPr>
          <w:p w14:paraId="41BAA82C"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3</w:t>
            </w:r>
          </w:p>
        </w:tc>
        <w:tc>
          <w:tcPr>
            <w:tcW w:w="2805" w:type="dxa"/>
            <w:shd w:val="clear" w:color="auto" w:fill="auto"/>
            <w:noWrap/>
            <w:vAlign w:val="center"/>
            <w:hideMark/>
          </w:tcPr>
          <w:p w14:paraId="30D27B06"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(10182, 11435]</w:t>
            </w:r>
          </w:p>
        </w:tc>
      </w:tr>
      <w:tr w:rsidR="008F30F4" w:rsidRPr="00BE3F8D" w14:paraId="011B1EDE" w14:textId="77777777" w:rsidTr="001F21E7">
        <w:trPr>
          <w:trHeight w:val="329"/>
          <w:jc w:val="center"/>
        </w:trPr>
        <w:tc>
          <w:tcPr>
            <w:tcW w:w="2832" w:type="dxa"/>
            <w:shd w:val="clear" w:color="auto" w:fill="auto"/>
            <w:noWrap/>
            <w:vAlign w:val="center"/>
            <w:hideMark/>
          </w:tcPr>
          <w:p w14:paraId="76DA98CA"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4</w:t>
            </w:r>
          </w:p>
        </w:tc>
        <w:tc>
          <w:tcPr>
            <w:tcW w:w="2805" w:type="dxa"/>
            <w:shd w:val="clear" w:color="auto" w:fill="auto"/>
            <w:noWrap/>
            <w:vAlign w:val="center"/>
            <w:hideMark/>
          </w:tcPr>
          <w:p w14:paraId="3B2477F7"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(9260, 10182]</w:t>
            </w:r>
          </w:p>
        </w:tc>
      </w:tr>
      <w:tr w:rsidR="008F30F4" w:rsidRPr="00BE3F8D" w14:paraId="344722FD" w14:textId="77777777" w:rsidTr="001F21E7">
        <w:trPr>
          <w:trHeight w:val="329"/>
          <w:jc w:val="center"/>
        </w:trPr>
        <w:tc>
          <w:tcPr>
            <w:tcW w:w="2832" w:type="dxa"/>
            <w:shd w:val="clear" w:color="auto" w:fill="auto"/>
            <w:noWrap/>
            <w:vAlign w:val="center"/>
            <w:hideMark/>
          </w:tcPr>
          <w:p w14:paraId="087BDFDA"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5</w:t>
            </w:r>
          </w:p>
        </w:tc>
        <w:tc>
          <w:tcPr>
            <w:tcW w:w="2805" w:type="dxa"/>
            <w:shd w:val="clear" w:color="auto" w:fill="auto"/>
            <w:noWrap/>
            <w:vAlign w:val="center"/>
            <w:hideMark/>
          </w:tcPr>
          <w:p w14:paraId="13476054"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(8535, 9260]</w:t>
            </w:r>
          </w:p>
        </w:tc>
      </w:tr>
      <w:tr w:rsidR="008F30F4" w:rsidRPr="00BE3F8D" w14:paraId="045A329B" w14:textId="77777777" w:rsidTr="001F21E7">
        <w:trPr>
          <w:trHeight w:val="329"/>
          <w:jc w:val="center"/>
        </w:trPr>
        <w:tc>
          <w:tcPr>
            <w:tcW w:w="2832" w:type="dxa"/>
            <w:shd w:val="clear" w:color="auto" w:fill="auto"/>
            <w:noWrap/>
            <w:vAlign w:val="center"/>
            <w:hideMark/>
          </w:tcPr>
          <w:p w14:paraId="2816030A"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6</w:t>
            </w:r>
          </w:p>
        </w:tc>
        <w:tc>
          <w:tcPr>
            <w:tcW w:w="2805" w:type="dxa"/>
            <w:shd w:val="clear" w:color="auto" w:fill="auto"/>
            <w:noWrap/>
            <w:vAlign w:val="center"/>
            <w:hideMark/>
          </w:tcPr>
          <w:p w14:paraId="6F7F5E86"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(7624, 8535]</w:t>
            </w:r>
          </w:p>
        </w:tc>
      </w:tr>
      <w:tr w:rsidR="008F30F4" w:rsidRPr="00BE3F8D" w14:paraId="032FF273" w14:textId="77777777" w:rsidTr="001F21E7">
        <w:trPr>
          <w:trHeight w:val="329"/>
          <w:jc w:val="center"/>
        </w:trPr>
        <w:tc>
          <w:tcPr>
            <w:tcW w:w="2832" w:type="dxa"/>
            <w:shd w:val="clear" w:color="auto" w:fill="auto"/>
            <w:noWrap/>
            <w:vAlign w:val="center"/>
            <w:hideMark/>
          </w:tcPr>
          <w:p w14:paraId="1354202E"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hint="eastAsia"/>
                <w:color w:val="000000"/>
                <w:kern w:val="2"/>
                <w:sz w:val="22"/>
                <w:szCs w:val="22"/>
              </w:rPr>
              <w:t>7</w:t>
            </w:r>
            <w:r w:rsidRPr="00BE3F8D">
              <w:rPr>
                <w:rFonts w:eastAsia="SimSun" w:cs="Times New Roman"/>
                <w:color w:val="000000"/>
                <w:kern w:val="2"/>
                <w:sz w:val="22"/>
                <w:szCs w:val="22"/>
              </w:rPr>
              <w:t xml:space="preserve"> (most efficient)</w:t>
            </w:r>
          </w:p>
        </w:tc>
        <w:tc>
          <w:tcPr>
            <w:tcW w:w="2805" w:type="dxa"/>
            <w:shd w:val="clear" w:color="auto" w:fill="auto"/>
            <w:noWrap/>
            <w:vAlign w:val="center"/>
            <w:hideMark/>
          </w:tcPr>
          <w:p w14:paraId="1D633D36"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hint="eastAsia"/>
                <w:color w:val="000000"/>
                <w:kern w:val="2"/>
                <w:sz w:val="22"/>
                <w:szCs w:val="22"/>
              </w:rPr>
              <w:t>[</w:t>
            </w:r>
            <w:r w:rsidRPr="00BE3F8D">
              <w:rPr>
                <w:rFonts w:eastAsia="SimSun" w:cs="Times New Roman"/>
                <w:color w:val="000000"/>
                <w:kern w:val="2"/>
                <w:sz w:val="22"/>
                <w:szCs w:val="22"/>
              </w:rPr>
              <w:t>7000, 7624]</w:t>
            </w:r>
          </w:p>
        </w:tc>
      </w:tr>
      <w:tr w:rsidR="008F30F4" w:rsidRPr="00BE3F8D" w14:paraId="6408F29C" w14:textId="77777777" w:rsidTr="001F21E7">
        <w:trPr>
          <w:trHeight w:val="329"/>
          <w:jc w:val="center"/>
        </w:trPr>
        <w:tc>
          <w:tcPr>
            <w:tcW w:w="2832" w:type="dxa"/>
            <w:shd w:val="clear" w:color="auto" w:fill="auto"/>
            <w:noWrap/>
            <w:vAlign w:val="center"/>
          </w:tcPr>
          <w:p w14:paraId="6174D13C" w14:textId="77777777" w:rsidR="008F30F4" w:rsidRPr="00BE3F8D" w:rsidRDefault="008F30F4" w:rsidP="001F21E7">
            <w:pPr>
              <w:spacing w:before="0" w:line="240" w:lineRule="auto"/>
              <w:ind w:firstLine="0"/>
              <w:contextualSpacing/>
              <w:rPr>
                <w:rFonts w:eastAsia="SimSun" w:cs="Times New Roman"/>
                <w:color w:val="000000"/>
                <w:kern w:val="2"/>
                <w:sz w:val="22"/>
                <w:szCs w:val="22"/>
              </w:rPr>
            </w:pPr>
          </w:p>
        </w:tc>
        <w:tc>
          <w:tcPr>
            <w:tcW w:w="2805" w:type="dxa"/>
            <w:shd w:val="clear" w:color="auto" w:fill="auto"/>
            <w:noWrap/>
            <w:vAlign w:val="center"/>
          </w:tcPr>
          <w:p w14:paraId="598BD220"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p>
        </w:tc>
      </w:tr>
      <w:tr w:rsidR="008F30F4" w:rsidRPr="00BE3F8D" w14:paraId="43090971" w14:textId="77777777" w:rsidTr="001F21E7">
        <w:trPr>
          <w:trHeight w:val="427"/>
          <w:jc w:val="center"/>
        </w:trPr>
        <w:tc>
          <w:tcPr>
            <w:tcW w:w="2832" w:type="dxa"/>
            <w:tcBorders>
              <w:bottom w:val="nil"/>
            </w:tcBorders>
            <w:shd w:val="clear" w:color="auto" w:fill="auto"/>
            <w:noWrap/>
            <w:vAlign w:val="center"/>
          </w:tcPr>
          <w:p w14:paraId="46503478" w14:textId="77777777" w:rsidR="008F30F4" w:rsidRPr="00BE3F8D" w:rsidRDefault="008F30F4" w:rsidP="001F21E7">
            <w:pPr>
              <w:spacing w:before="0" w:line="240" w:lineRule="auto"/>
              <w:ind w:firstLine="0"/>
              <w:contextualSpacing/>
              <w:rPr>
                <w:rFonts w:eastAsia="SimSun" w:cs="Times New Roman"/>
                <w:color w:val="000000"/>
                <w:kern w:val="2"/>
                <w:sz w:val="22"/>
                <w:szCs w:val="22"/>
              </w:rPr>
            </w:pPr>
            <w:r w:rsidRPr="00BE3F8D">
              <w:rPr>
                <w:rFonts w:eastAsia="SimSun" w:cs="Times New Roman"/>
                <w:color w:val="000000"/>
                <w:kern w:val="2"/>
                <w:sz w:val="22"/>
                <w:szCs w:val="22"/>
              </w:rPr>
              <w:t>Gas-fired Power Plants</w:t>
            </w:r>
          </w:p>
        </w:tc>
        <w:tc>
          <w:tcPr>
            <w:tcW w:w="2805" w:type="dxa"/>
            <w:tcBorders>
              <w:bottom w:val="nil"/>
            </w:tcBorders>
            <w:shd w:val="clear" w:color="auto" w:fill="auto"/>
            <w:noWrap/>
            <w:vAlign w:val="center"/>
          </w:tcPr>
          <w:p w14:paraId="0DF9CBB8"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p>
        </w:tc>
      </w:tr>
      <w:tr w:rsidR="008F30F4" w:rsidRPr="00BE3F8D" w14:paraId="217DA15B" w14:textId="77777777" w:rsidTr="001F21E7">
        <w:trPr>
          <w:trHeight w:val="329"/>
          <w:jc w:val="center"/>
        </w:trPr>
        <w:tc>
          <w:tcPr>
            <w:tcW w:w="2832" w:type="dxa"/>
            <w:tcBorders>
              <w:top w:val="nil"/>
              <w:bottom w:val="nil"/>
            </w:tcBorders>
            <w:shd w:val="clear" w:color="auto" w:fill="auto"/>
            <w:noWrap/>
            <w:vAlign w:val="center"/>
          </w:tcPr>
          <w:p w14:paraId="4CBC0559"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1 (most inefficient)</w:t>
            </w:r>
          </w:p>
        </w:tc>
        <w:tc>
          <w:tcPr>
            <w:tcW w:w="2805" w:type="dxa"/>
            <w:tcBorders>
              <w:top w:val="nil"/>
              <w:bottom w:val="nil"/>
            </w:tcBorders>
            <w:shd w:val="clear" w:color="auto" w:fill="auto"/>
            <w:noWrap/>
            <w:vAlign w:val="center"/>
          </w:tcPr>
          <w:p w14:paraId="6426043E"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hint="eastAsia"/>
                <w:color w:val="000000"/>
                <w:kern w:val="2"/>
                <w:sz w:val="22"/>
                <w:szCs w:val="22"/>
              </w:rPr>
              <w:t>(</w:t>
            </w:r>
            <w:r w:rsidRPr="00BE3F8D">
              <w:rPr>
                <w:rFonts w:eastAsia="SimSun" w:cs="Times New Roman"/>
                <w:color w:val="000000"/>
                <w:kern w:val="2"/>
                <w:sz w:val="22"/>
                <w:szCs w:val="22"/>
              </w:rPr>
              <w:t>11278, 13000]</w:t>
            </w:r>
          </w:p>
        </w:tc>
      </w:tr>
      <w:tr w:rsidR="008F30F4" w:rsidRPr="00BE3F8D" w14:paraId="191675D3" w14:textId="77777777" w:rsidTr="001F21E7">
        <w:trPr>
          <w:trHeight w:val="329"/>
          <w:jc w:val="center"/>
        </w:trPr>
        <w:tc>
          <w:tcPr>
            <w:tcW w:w="2832" w:type="dxa"/>
            <w:tcBorders>
              <w:top w:val="nil"/>
              <w:bottom w:val="nil"/>
            </w:tcBorders>
            <w:shd w:val="clear" w:color="auto" w:fill="auto"/>
            <w:noWrap/>
            <w:vAlign w:val="center"/>
          </w:tcPr>
          <w:p w14:paraId="6BA3E9F0"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2</w:t>
            </w:r>
          </w:p>
        </w:tc>
        <w:tc>
          <w:tcPr>
            <w:tcW w:w="2805" w:type="dxa"/>
            <w:tcBorders>
              <w:top w:val="nil"/>
              <w:bottom w:val="nil"/>
            </w:tcBorders>
            <w:shd w:val="clear" w:color="auto" w:fill="auto"/>
            <w:noWrap/>
            <w:vAlign w:val="center"/>
          </w:tcPr>
          <w:p w14:paraId="0A5279C7"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(8593, 10435]</w:t>
            </w:r>
          </w:p>
        </w:tc>
      </w:tr>
      <w:tr w:rsidR="008F30F4" w:rsidRPr="00BE3F8D" w14:paraId="7639DC10" w14:textId="77777777" w:rsidTr="001F21E7">
        <w:trPr>
          <w:trHeight w:val="329"/>
          <w:jc w:val="center"/>
        </w:trPr>
        <w:tc>
          <w:tcPr>
            <w:tcW w:w="2832" w:type="dxa"/>
            <w:tcBorders>
              <w:top w:val="nil"/>
              <w:bottom w:val="nil"/>
            </w:tcBorders>
            <w:shd w:val="clear" w:color="auto" w:fill="auto"/>
            <w:noWrap/>
            <w:vAlign w:val="center"/>
          </w:tcPr>
          <w:p w14:paraId="0DB2F1C7"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3</w:t>
            </w:r>
          </w:p>
        </w:tc>
        <w:tc>
          <w:tcPr>
            <w:tcW w:w="2805" w:type="dxa"/>
            <w:tcBorders>
              <w:top w:val="nil"/>
              <w:bottom w:val="nil"/>
            </w:tcBorders>
            <w:shd w:val="clear" w:color="auto" w:fill="auto"/>
            <w:noWrap/>
            <w:vAlign w:val="center"/>
          </w:tcPr>
          <w:p w14:paraId="24F215C5"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w:t>
            </w:r>
            <w:r w:rsidRPr="00BE3F8D">
              <w:rPr>
                <w:rFonts w:eastAsia="SimSun" w:cs="Times New Roman" w:hint="eastAsia"/>
                <w:color w:val="000000"/>
                <w:kern w:val="2"/>
                <w:sz w:val="22"/>
                <w:szCs w:val="22"/>
              </w:rPr>
              <w:t>7</w:t>
            </w:r>
            <w:r w:rsidRPr="00BE3F8D">
              <w:rPr>
                <w:rFonts w:eastAsia="SimSun" w:cs="Times New Roman"/>
                <w:color w:val="000000"/>
                <w:kern w:val="2"/>
                <w:sz w:val="22"/>
                <w:szCs w:val="22"/>
              </w:rPr>
              <w:t>177, 8593]</w:t>
            </w:r>
          </w:p>
        </w:tc>
      </w:tr>
      <w:tr w:rsidR="008F30F4" w:rsidRPr="00BE3F8D" w14:paraId="6BC76B28" w14:textId="77777777" w:rsidTr="001F21E7">
        <w:trPr>
          <w:trHeight w:val="329"/>
          <w:jc w:val="center"/>
        </w:trPr>
        <w:tc>
          <w:tcPr>
            <w:tcW w:w="2832" w:type="dxa"/>
            <w:tcBorders>
              <w:top w:val="nil"/>
              <w:bottom w:val="single" w:sz="4" w:space="0" w:color="auto"/>
            </w:tcBorders>
            <w:shd w:val="clear" w:color="auto" w:fill="auto"/>
            <w:noWrap/>
            <w:vAlign w:val="center"/>
          </w:tcPr>
          <w:p w14:paraId="24BC462E" w14:textId="77777777" w:rsidR="008F30F4" w:rsidRPr="00BE3F8D" w:rsidRDefault="008F30F4" w:rsidP="001F21E7">
            <w:pPr>
              <w:spacing w:before="0" w:line="240" w:lineRule="auto"/>
              <w:ind w:firstLineChars="100" w:firstLine="220"/>
              <w:contextualSpacing/>
              <w:rPr>
                <w:rFonts w:eastAsia="SimSun" w:cs="Times New Roman"/>
                <w:color w:val="000000"/>
                <w:kern w:val="2"/>
                <w:sz w:val="22"/>
                <w:szCs w:val="22"/>
              </w:rPr>
            </w:pPr>
            <w:r w:rsidRPr="00BE3F8D">
              <w:rPr>
                <w:rFonts w:eastAsia="SimSun" w:cs="Times New Roman"/>
                <w:color w:val="000000"/>
                <w:kern w:val="2"/>
                <w:sz w:val="22"/>
                <w:szCs w:val="22"/>
              </w:rPr>
              <w:t>4 (most efficient)</w:t>
            </w:r>
          </w:p>
        </w:tc>
        <w:tc>
          <w:tcPr>
            <w:tcW w:w="2805" w:type="dxa"/>
            <w:tcBorders>
              <w:top w:val="nil"/>
              <w:bottom w:val="single" w:sz="4" w:space="0" w:color="auto"/>
            </w:tcBorders>
            <w:shd w:val="clear" w:color="auto" w:fill="auto"/>
            <w:noWrap/>
            <w:vAlign w:val="center"/>
          </w:tcPr>
          <w:p w14:paraId="65DD09A2"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 xml:space="preserve">[6000, </w:t>
            </w:r>
            <w:r w:rsidRPr="00BE3F8D">
              <w:rPr>
                <w:rFonts w:eastAsia="SimSun" w:cs="Times New Roman" w:hint="eastAsia"/>
                <w:color w:val="000000"/>
                <w:kern w:val="2"/>
                <w:sz w:val="22"/>
                <w:szCs w:val="22"/>
              </w:rPr>
              <w:t>7</w:t>
            </w:r>
            <w:r w:rsidRPr="00BE3F8D">
              <w:rPr>
                <w:rFonts w:eastAsia="SimSun" w:cs="Times New Roman"/>
                <w:color w:val="000000"/>
                <w:kern w:val="2"/>
                <w:sz w:val="22"/>
                <w:szCs w:val="22"/>
              </w:rPr>
              <w:t>177]</w:t>
            </w:r>
          </w:p>
        </w:tc>
      </w:tr>
    </w:tbl>
    <w:p w14:paraId="5C66DF88" w14:textId="77777777" w:rsidR="008F30F4" w:rsidRPr="00B4429C" w:rsidRDefault="008F30F4" w:rsidP="008F30F4">
      <w:pPr>
        <w:ind w:firstLine="720"/>
        <w:contextualSpacing/>
        <w:jc w:val="center"/>
        <w:rPr>
          <w:rFonts w:cs="Times New Roman"/>
          <w:sz w:val="22"/>
          <w:szCs w:val="22"/>
        </w:rPr>
      </w:pPr>
    </w:p>
    <w:p w14:paraId="719A43F0" w14:textId="77777777" w:rsidR="008F30F4" w:rsidRDefault="008F30F4" w:rsidP="008F30F4">
      <w:pPr>
        <w:pStyle w:val="FootnoteText"/>
        <w:contextualSpacing/>
        <w:rPr>
          <w:rFonts w:cs="Times New Roman"/>
          <w:sz w:val="21"/>
          <w:szCs w:val="21"/>
        </w:rPr>
      </w:pPr>
    </w:p>
    <w:p w14:paraId="462D3EBB" w14:textId="77777777" w:rsidR="008F30F4" w:rsidRDefault="008F30F4" w:rsidP="008F30F4">
      <w:pPr>
        <w:pStyle w:val="FootnoteText"/>
        <w:contextualSpacing/>
        <w:jc w:val="center"/>
        <w:rPr>
          <w:rFonts w:cs="Times New Roman"/>
          <w:b/>
          <w:bCs/>
          <w:sz w:val="21"/>
          <w:szCs w:val="21"/>
        </w:rPr>
      </w:pPr>
    </w:p>
    <w:p w14:paraId="50CC5F2E" w14:textId="77777777" w:rsidR="008F30F4" w:rsidRDefault="008F30F4" w:rsidP="008F30F4">
      <w:pPr>
        <w:pStyle w:val="FootnoteText"/>
        <w:contextualSpacing/>
        <w:jc w:val="center"/>
        <w:rPr>
          <w:rFonts w:cs="Times New Roman"/>
          <w:b/>
          <w:bCs/>
          <w:sz w:val="21"/>
          <w:szCs w:val="21"/>
        </w:rPr>
      </w:pPr>
    </w:p>
    <w:p w14:paraId="4B6C39FB" w14:textId="77777777" w:rsidR="008F30F4" w:rsidRDefault="008F30F4" w:rsidP="008F30F4">
      <w:pPr>
        <w:pStyle w:val="FootnoteText"/>
        <w:contextualSpacing/>
        <w:jc w:val="center"/>
        <w:rPr>
          <w:rFonts w:cs="Times New Roman"/>
          <w:b/>
          <w:bCs/>
          <w:sz w:val="22"/>
          <w:szCs w:val="22"/>
        </w:rPr>
      </w:pPr>
      <w:r>
        <w:rPr>
          <w:rFonts w:cs="Times New Roman" w:hint="eastAsia"/>
          <w:b/>
          <w:bCs/>
          <w:noProof/>
          <w:sz w:val="21"/>
          <w:szCs w:val="21"/>
        </w:rPr>
        <w:lastRenderedPageBreak/>
        <w:drawing>
          <wp:anchor distT="0" distB="0" distL="114300" distR="114300" simplePos="0" relativeHeight="251682816" behindDoc="0" locked="0" layoutInCell="1" allowOverlap="1" wp14:anchorId="1BEF2A4C" wp14:editId="4136612D">
            <wp:simplePos x="0" y="0"/>
            <wp:positionH relativeFrom="margin">
              <wp:align>left</wp:align>
            </wp:positionH>
            <wp:positionV relativeFrom="paragraph">
              <wp:posOffset>190737</wp:posOffset>
            </wp:positionV>
            <wp:extent cx="5544185" cy="5060950"/>
            <wp:effectExtent l="0" t="0" r="0" b="6350"/>
            <wp:wrapTopAndBottom/>
            <wp:docPr id="148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544185" cy="5060950"/>
                    </a:xfrm>
                    <a:prstGeom prst="rect">
                      <a:avLst/>
                    </a:prstGeom>
                    <a:noFill/>
                  </pic:spPr>
                </pic:pic>
              </a:graphicData>
            </a:graphic>
            <wp14:sizeRelH relativeFrom="page">
              <wp14:pctWidth>0</wp14:pctWidth>
            </wp14:sizeRelH>
            <wp14:sizeRelV relativeFrom="page">
              <wp14:pctHeight>0</wp14:pctHeight>
            </wp14:sizeRelV>
          </wp:anchor>
        </w:drawing>
      </w:r>
    </w:p>
    <w:p w14:paraId="11F93CF6" w14:textId="77777777" w:rsidR="008F30F4" w:rsidRPr="002F0B8D" w:rsidRDefault="008F30F4" w:rsidP="008F30F4">
      <w:pPr>
        <w:pStyle w:val="FootnoteText"/>
        <w:contextualSpacing/>
        <w:jc w:val="center"/>
        <w:rPr>
          <w:rFonts w:cs="Times New Roman"/>
          <w:b/>
          <w:bCs/>
          <w:sz w:val="22"/>
          <w:szCs w:val="22"/>
        </w:rPr>
      </w:pPr>
      <w:r w:rsidRPr="002F0B8D">
        <w:rPr>
          <w:rFonts w:cs="Times New Roman"/>
          <w:b/>
          <w:bCs/>
          <w:sz w:val="22"/>
          <w:szCs w:val="22"/>
        </w:rPr>
        <w:t xml:space="preserve">Figure </w:t>
      </w:r>
      <w:r>
        <w:rPr>
          <w:rFonts w:cs="Times New Roman"/>
          <w:b/>
          <w:bCs/>
          <w:sz w:val="22"/>
          <w:szCs w:val="22"/>
        </w:rPr>
        <w:t>C2</w:t>
      </w:r>
      <w:r w:rsidRPr="002F0B8D">
        <w:rPr>
          <w:rFonts w:cs="Times New Roman"/>
          <w:b/>
          <w:bCs/>
          <w:sz w:val="22"/>
          <w:szCs w:val="22"/>
        </w:rPr>
        <w:t>. Marginal Cost of Heat Rate Reduction by Heat Rate Group</w:t>
      </w:r>
    </w:p>
    <w:p w14:paraId="21A456A0" w14:textId="77777777" w:rsidR="008F30F4" w:rsidRDefault="008F30F4" w:rsidP="008F30F4">
      <w:pPr>
        <w:ind w:firstLine="0"/>
        <w:contextualSpacing/>
        <w:rPr>
          <w:rFonts w:cs="Times New Roman"/>
          <w:sz w:val="22"/>
        </w:rPr>
      </w:pPr>
    </w:p>
    <w:p w14:paraId="389C06E0" w14:textId="77777777" w:rsidR="008F30F4" w:rsidRDefault="008F30F4" w:rsidP="008F30F4">
      <w:pPr>
        <w:ind w:firstLine="720"/>
        <w:contextualSpacing/>
        <w:rPr>
          <w:rFonts w:cs="Times New Roman"/>
          <w:sz w:val="22"/>
        </w:rPr>
      </w:pPr>
      <w:r w:rsidRPr="005137C1">
        <w:rPr>
          <w:rFonts w:cs="Times New Roman"/>
          <w:sz w:val="22"/>
        </w:rPr>
        <w:t xml:space="preserve">For each heat rate group, </w:t>
      </w:r>
      <w:r>
        <w:rPr>
          <w:rFonts w:cs="Times New Roman"/>
          <w:sz w:val="22"/>
        </w:rPr>
        <w:t>w</w:t>
      </w:r>
      <w:r w:rsidRPr="00CA0012">
        <w:rPr>
          <w:rFonts w:cs="Times New Roman"/>
          <w:sz w:val="22"/>
        </w:rPr>
        <w:t xml:space="preserve">e then calibrate the price elasticity of the demand for fossil fuel input to fit the marginal cost curve for each heat rate group, as Table </w:t>
      </w:r>
      <w:r>
        <w:rPr>
          <w:rFonts w:cs="Times New Roman"/>
          <w:sz w:val="22"/>
        </w:rPr>
        <w:t>C2</w:t>
      </w:r>
      <w:r w:rsidRPr="00CA0012">
        <w:rPr>
          <w:rFonts w:cs="Times New Roman"/>
          <w:sz w:val="22"/>
        </w:rPr>
        <w:t xml:space="preserve"> shows.</w:t>
      </w:r>
      <w:r w:rsidRPr="005137C1">
        <w:rPr>
          <w:rFonts w:cs="Times New Roman"/>
          <w:sz w:val="22"/>
        </w:rPr>
        <w:t xml:space="preserve"> The elasticity in each subsector was then calculated, considering the distribution of plants among the heat rate groups</w:t>
      </w:r>
      <w:r>
        <w:rPr>
          <w:rFonts w:cs="Times New Roman"/>
          <w:sz w:val="22"/>
        </w:rPr>
        <w:t>, as Equation (A21) shows.</w:t>
      </w:r>
    </w:p>
    <w:p w14:paraId="54C0958B" w14:textId="77777777" w:rsidR="008F30F4" w:rsidRDefault="008F30F4" w:rsidP="008F30F4">
      <w:pPr>
        <w:pStyle w:val="a2"/>
      </w:pPr>
      <w:r>
        <w:tab/>
      </w:r>
      <w:r w:rsidR="0038014B" w:rsidRPr="00B4429C">
        <w:rPr>
          <w:noProof/>
          <w:position w:val="-26"/>
        </w:rPr>
        <w:object w:dxaOrig="1200" w:dyaOrig="499" w14:anchorId="5E3AE4B2">
          <v:shape id="_x0000_i1094" type="#_x0000_t75" alt="" style="width:61.4pt;height:24pt;mso-width-percent:0;mso-height-percent:0;mso-width-percent:0;mso-height-percent:0" o:ole="">
            <v:imagedata r:id="rId277" o:title=""/>
          </v:shape>
          <o:OLEObject Type="Embed" ProgID="Equation.DSMT4" ShapeID="_x0000_i1094" DrawAspect="Content" ObjectID="_1758969537" r:id="rId278"/>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Pr>
            <w:noProof/>
          </w:rPr>
          <w:instrText>A</w:instrText>
        </w:r>
      </w:fldSimple>
      <w:fldSimple w:instr=" SEQ MTEqn \c \* Arabic \* MERGEFORMAT ">
        <w:r>
          <w:rPr>
            <w:noProof/>
          </w:rPr>
          <w:instrText>21</w:instrText>
        </w:r>
      </w:fldSimple>
      <w:r>
        <w:instrText>)</w:instrText>
      </w:r>
      <w:r>
        <w:fldChar w:fldCharType="end"/>
      </w:r>
    </w:p>
    <w:p w14:paraId="7B35CAFC" w14:textId="77777777" w:rsidR="008F30F4" w:rsidRDefault="008F30F4" w:rsidP="008F30F4">
      <w:pPr>
        <w:pStyle w:val="FootnoteText"/>
        <w:ind w:firstLine="0"/>
        <w:rPr>
          <w:rFonts w:cs="Times New Roman"/>
          <w:sz w:val="22"/>
          <w:szCs w:val="22"/>
        </w:rPr>
      </w:pPr>
      <w:r>
        <w:rPr>
          <w:rFonts w:cs="Times New Roman"/>
          <w:sz w:val="22"/>
        </w:rPr>
        <w:t>w</w:t>
      </w:r>
      <w:r w:rsidRPr="00AA1562">
        <w:rPr>
          <w:rFonts w:cs="Times New Roman"/>
          <w:sz w:val="22"/>
        </w:rPr>
        <w:t>here</w:t>
      </w:r>
      <w:r w:rsidR="0038014B" w:rsidRPr="00B4429C">
        <w:rPr>
          <w:noProof/>
          <w:position w:val="-10"/>
        </w:rPr>
        <w:object w:dxaOrig="260" w:dyaOrig="320" w14:anchorId="6B29FEED">
          <v:shape id="_x0000_i1093" type="#_x0000_t75" alt="" style="width:13.4pt;height:15.55pt;mso-width-percent:0;mso-height-percent:0;mso-width-percent:0;mso-height-percent:0" o:ole="">
            <v:imagedata r:id="rId279" o:title=""/>
          </v:shape>
          <o:OLEObject Type="Embed" ProgID="Equation.DSMT4" ShapeID="_x0000_i1093" DrawAspect="Content" ObjectID="_1758969538" r:id="rId280"/>
        </w:object>
      </w:r>
      <w:r>
        <w:t xml:space="preserve"> </w:t>
      </w:r>
      <w:r>
        <w:rPr>
          <w:rFonts w:cs="Times New Roman"/>
          <w:sz w:val="22"/>
          <w:szCs w:val="22"/>
        </w:rPr>
        <w:t xml:space="preserve">is the price elasticity of </w:t>
      </w:r>
      <w:r>
        <w:rPr>
          <w:rFonts w:cs="Times New Roman" w:hint="eastAsia"/>
          <w:sz w:val="22"/>
          <w:szCs w:val="22"/>
        </w:rPr>
        <w:t>coal</w:t>
      </w:r>
      <w:r>
        <w:rPr>
          <w:rFonts w:cs="Times New Roman"/>
          <w:sz w:val="22"/>
          <w:szCs w:val="22"/>
        </w:rPr>
        <w:t xml:space="preserve"> for subsector </w:t>
      </w:r>
      <w:r w:rsidRPr="0067611E">
        <w:rPr>
          <w:rFonts w:cs="Times New Roman"/>
          <w:i/>
          <w:iCs/>
          <w:sz w:val="22"/>
          <w:szCs w:val="22"/>
        </w:rPr>
        <w:t>k</w:t>
      </w:r>
      <w:r>
        <w:rPr>
          <w:rFonts w:cs="Times New Roman"/>
          <w:sz w:val="22"/>
          <w:szCs w:val="22"/>
        </w:rPr>
        <w:t xml:space="preserve">, </w:t>
      </w:r>
      <w:r w:rsidR="0038014B" w:rsidRPr="00B4429C">
        <w:rPr>
          <w:noProof/>
          <w:position w:val="-10"/>
        </w:rPr>
        <w:object w:dxaOrig="260" w:dyaOrig="320" w14:anchorId="5430D057">
          <v:shape id="_x0000_i1092" type="#_x0000_t75" alt="" style="width:13.4pt;height:15.55pt;mso-width-percent:0;mso-height-percent:0;mso-width-percent:0;mso-height-percent:0" o:ole="">
            <v:imagedata r:id="rId281" o:title=""/>
          </v:shape>
          <o:OLEObject Type="Embed" ProgID="Equation.DSMT4" ShapeID="_x0000_i1092" DrawAspect="Content" ObjectID="_1758969539" r:id="rId282"/>
        </w:object>
      </w:r>
      <w:r>
        <w:t xml:space="preserve"> </w:t>
      </w:r>
      <w:r>
        <w:rPr>
          <w:rFonts w:cs="Times New Roman"/>
          <w:sz w:val="22"/>
          <w:szCs w:val="22"/>
        </w:rPr>
        <w:t xml:space="preserve">is the price elasticity of fossil fuel for heat rate group </w:t>
      </w:r>
      <w:r w:rsidRPr="0067611E">
        <w:rPr>
          <w:rFonts w:cs="Times New Roman"/>
          <w:i/>
          <w:iCs/>
          <w:sz w:val="22"/>
          <w:szCs w:val="22"/>
        </w:rPr>
        <w:t>h</w:t>
      </w:r>
      <w:r>
        <w:rPr>
          <w:rFonts w:cs="Times New Roman"/>
          <w:sz w:val="22"/>
          <w:szCs w:val="22"/>
        </w:rPr>
        <w:t xml:space="preserve">, </w:t>
      </w:r>
      <w:r w:rsidR="0038014B" w:rsidRPr="00B4429C">
        <w:rPr>
          <w:noProof/>
          <w:position w:val="-10"/>
        </w:rPr>
        <w:object w:dxaOrig="320" w:dyaOrig="320" w14:anchorId="22C6A3CC">
          <v:shape id="_x0000_i1091" type="#_x0000_t75" alt="" style="width:15.55pt;height:15.55pt;mso-width-percent:0;mso-height-percent:0;mso-width-percent:0;mso-height-percent:0" o:ole="">
            <v:imagedata r:id="rId283" o:title=""/>
          </v:shape>
          <o:OLEObject Type="Embed" ProgID="Equation.DSMT4" ShapeID="_x0000_i1091" DrawAspect="Content" ObjectID="_1758969540" r:id="rId284"/>
        </w:object>
      </w:r>
      <w:r>
        <w:t xml:space="preserve"> </w:t>
      </w:r>
      <w:r w:rsidRPr="00AA1562">
        <w:rPr>
          <w:rFonts w:cs="Times New Roman"/>
          <w:sz w:val="22"/>
        </w:rPr>
        <w:t xml:space="preserve">is the output share of heat rate group </w:t>
      </w:r>
      <w:r w:rsidRPr="00D1285C">
        <w:rPr>
          <w:rFonts w:cs="Times New Roman"/>
          <w:i/>
          <w:iCs/>
          <w:sz w:val="22"/>
        </w:rPr>
        <w:t>h</w:t>
      </w:r>
      <w:r w:rsidRPr="00AA1562">
        <w:rPr>
          <w:rFonts w:cs="Times New Roman"/>
          <w:sz w:val="22"/>
        </w:rPr>
        <w:t xml:space="preserve"> in subsector </w:t>
      </w:r>
      <w:r w:rsidRPr="00D1285C">
        <w:rPr>
          <w:rFonts w:cs="Times New Roman"/>
          <w:i/>
          <w:iCs/>
          <w:sz w:val="22"/>
        </w:rPr>
        <w:t>k</w:t>
      </w:r>
      <w:r w:rsidRPr="00AA1562">
        <w:rPr>
          <w:rFonts w:cs="Times New Roman"/>
          <w:sz w:val="22"/>
        </w:rPr>
        <w:t>.</w:t>
      </w:r>
      <w:r>
        <w:rPr>
          <w:rFonts w:cs="Times New Roman" w:hint="eastAsia"/>
          <w:sz w:val="22"/>
          <w:szCs w:val="22"/>
        </w:rPr>
        <w:t xml:space="preserve"> </w:t>
      </w:r>
      <w:r>
        <w:rPr>
          <w:sz w:val="22"/>
        </w:rPr>
        <w:tab/>
      </w:r>
    </w:p>
    <w:p w14:paraId="59B92F6A" w14:textId="77777777" w:rsidR="008F30F4" w:rsidRDefault="008F30F4" w:rsidP="008F30F4">
      <w:pPr>
        <w:pStyle w:val="FootnoteText"/>
        <w:ind w:firstLine="720"/>
        <w:rPr>
          <w:rFonts w:cs="Times New Roman"/>
          <w:sz w:val="22"/>
        </w:rPr>
      </w:pPr>
      <w:r>
        <w:rPr>
          <w:rFonts w:cs="Times New Roman"/>
          <w:sz w:val="22"/>
        </w:rPr>
        <w:t>Finally, w</w:t>
      </w:r>
      <w:r w:rsidRPr="00AA1562">
        <w:rPr>
          <w:rFonts w:cs="Times New Roman"/>
          <w:sz w:val="22"/>
        </w:rPr>
        <w:t>e use</w:t>
      </w:r>
      <w:r>
        <w:rPr>
          <w:rFonts w:cs="Times New Roman"/>
          <w:sz w:val="22"/>
        </w:rPr>
        <w:t xml:space="preserve"> </w:t>
      </w:r>
      <w:r w:rsidR="0038014B" w:rsidRPr="00B4429C">
        <w:rPr>
          <w:noProof/>
          <w:position w:val="-10"/>
        </w:rPr>
        <w:object w:dxaOrig="260" w:dyaOrig="320" w14:anchorId="7C5CDF00">
          <v:shape id="_x0000_i1090" type="#_x0000_t75" alt="" style="width:13.4pt;height:15.55pt;mso-width-percent:0;mso-height-percent:0;mso-width-percent:0;mso-height-percent:0" o:ole="">
            <v:imagedata r:id="rId285" o:title=""/>
          </v:shape>
          <o:OLEObject Type="Embed" ProgID="Equation.DSMT4" ShapeID="_x0000_i1090" DrawAspect="Content" ObjectID="_1758969541" r:id="rId286"/>
        </w:object>
      </w:r>
      <w:r>
        <w:t xml:space="preserve"> </w:t>
      </w:r>
      <w:r w:rsidRPr="00AA1562">
        <w:rPr>
          <w:rFonts w:cs="Times New Roman"/>
          <w:sz w:val="22"/>
        </w:rPr>
        <w:t>to calibrate the energy-factor elasticity in production</w:t>
      </w:r>
      <w:r>
        <w:rPr>
          <w:rFonts w:cs="Times New Roman"/>
          <w:sz w:val="22"/>
        </w:rPr>
        <w:t>,</w:t>
      </w:r>
      <w:r w:rsidR="0038014B" w:rsidRPr="00B4429C">
        <w:rPr>
          <w:noProof/>
          <w:position w:val="-10"/>
        </w:rPr>
        <w:object w:dxaOrig="440" w:dyaOrig="320" w14:anchorId="7087543A">
          <v:shape id="_x0000_i1089" type="#_x0000_t75" alt="" style="width:23.3pt;height:15.55pt;mso-width-percent:0;mso-height-percent:0;mso-width-percent:0;mso-height-percent:0" o:ole="">
            <v:imagedata r:id="rId287" o:title=""/>
          </v:shape>
          <o:OLEObject Type="Embed" ProgID="Equation.DSMT4" ShapeID="_x0000_i1089" DrawAspect="Content" ObjectID="_1758969542" r:id="rId288"/>
        </w:object>
      </w:r>
      <w:r>
        <w:rPr>
          <w:rFonts w:cs="Times New Roman"/>
          <w:sz w:val="22"/>
        </w:rPr>
        <w:t>, for</w:t>
      </w:r>
      <w:r w:rsidRPr="00AA1562">
        <w:rPr>
          <w:rFonts w:cs="Times New Roman"/>
          <w:sz w:val="22"/>
        </w:rPr>
        <w:t xml:space="preserve"> each </w:t>
      </w:r>
      <w:r>
        <w:rPr>
          <w:rFonts w:cs="Times New Roman"/>
          <w:sz w:val="22"/>
        </w:rPr>
        <w:t>fossil-based electricity</w:t>
      </w:r>
      <w:r w:rsidRPr="00AA1562">
        <w:rPr>
          <w:rFonts w:cs="Times New Roman"/>
          <w:sz w:val="22"/>
        </w:rPr>
        <w:t xml:space="preserve"> subsector.</w:t>
      </w:r>
      <w:r>
        <w:rPr>
          <w:rFonts w:cs="Times New Roman"/>
          <w:sz w:val="22"/>
        </w:rPr>
        <w:t xml:space="preserve"> </w:t>
      </w:r>
    </w:p>
    <w:p w14:paraId="305CD7BD" w14:textId="77777777" w:rsidR="008F30F4" w:rsidRDefault="008F30F4" w:rsidP="008F30F4">
      <w:pPr>
        <w:pStyle w:val="FootnoteText"/>
        <w:ind w:firstLine="720"/>
        <w:rPr>
          <w:rFonts w:cs="Times New Roman"/>
          <w:sz w:val="22"/>
        </w:rPr>
      </w:pPr>
    </w:p>
    <w:p w14:paraId="74CD4C84" w14:textId="77777777" w:rsidR="008F30F4" w:rsidRDefault="008F30F4" w:rsidP="008F30F4">
      <w:pPr>
        <w:spacing w:before="0" w:line="240" w:lineRule="auto"/>
        <w:ind w:firstLine="0"/>
        <w:jc w:val="center"/>
        <w:rPr>
          <w:rFonts w:eastAsia="DengXian" w:cs="Times New Roman"/>
          <w:b/>
          <w:bCs/>
          <w:sz w:val="22"/>
          <w:szCs w:val="22"/>
        </w:rPr>
      </w:pPr>
      <w:r w:rsidRPr="00C04C68">
        <w:rPr>
          <w:rFonts w:eastAsia="DengXian" w:cs="Times New Roman"/>
          <w:b/>
          <w:bCs/>
          <w:sz w:val="22"/>
          <w:szCs w:val="22"/>
        </w:rPr>
        <w:lastRenderedPageBreak/>
        <w:t xml:space="preserve">Table </w:t>
      </w:r>
      <w:r>
        <w:rPr>
          <w:rFonts w:eastAsia="DengXian" w:cs="Times New Roman"/>
          <w:b/>
          <w:bCs/>
          <w:sz w:val="22"/>
          <w:szCs w:val="22"/>
        </w:rPr>
        <w:t>C2</w:t>
      </w:r>
      <w:r w:rsidRPr="00C04C68">
        <w:rPr>
          <w:rFonts w:eastAsia="DengXian" w:cs="Times New Roman"/>
          <w:b/>
          <w:bCs/>
          <w:sz w:val="22"/>
          <w:szCs w:val="22"/>
        </w:rPr>
        <w:t>. Calibrated Energy-Factor Elasticity of Substitution</w:t>
      </w:r>
    </w:p>
    <w:p w14:paraId="02FD6283" w14:textId="77777777" w:rsidR="008F30F4" w:rsidRDefault="008F30F4" w:rsidP="008F30F4">
      <w:pPr>
        <w:spacing w:before="0" w:line="240" w:lineRule="auto"/>
        <w:ind w:firstLine="0"/>
        <w:jc w:val="center"/>
        <w:rPr>
          <w:rFonts w:eastAsia="DengXian" w:cs="Times New Roman"/>
          <w:b/>
          <w:bCs/>
          <w:sz w:val="22"/>
          <w:szCs w:val="22"/>
        </w:rPr>
      </w:pPr>
      <w:r w:rsidRPr="00C04C68">
        <w:rPr>
          <w:rFonts w:eastAsia="DengXian" w:cs="Times New Roman"/>
          <w:b/>
          <w:bCs/>
          <w:sz w:val="22"/>
          <w:szCs w:val="22"/>
        </w:rPr>
        <w:t>for Fossil-based Electricity Subsectors</w:t>
      </w:r>
    </w:p>
    <w:p w14:paraId="4DB8E71F" w14:textId="77777777" w:rsidR="008F30F4" w:rsidRPr="00C04C68" w:rsidRDefault="008F30F4" w:rsidP="008F30F4">
      <w:pPr>
        <w:spacing w:before="0" w:line="240" w:lineRule="auto"/>
        <w:ind w:firstLine="0"/>
        <w:jc w:val="center"/>
        <w:rPr>
          <w:rFonts w:eastAsia="DengXian" w:cs="Times New Roman"/>
          <w:b/>
          <w:bCs/>
          <w:sz w:val="18"/>
          <w:szCs w:val="18"/>
        </w:rPr>
      </w:pPr>
    </w:p>
    <w:tbl>
      <w:tblPr>
        <w:tblW w:w="5450" w:type="dxa"/>
        <w:jc w:val="center"/>
        <w:tblBorders>
          <w:top w:val="single" w:sz="4" w:space="0" w:color="auto"/>
          <w:bottom w:val="single" w:sz="4" w:space="0" w:color="auto"/>
        </w:tblBorders>
        <w:tblLook w:val="04A0" w:firstRow="1" w:lastRow="0" w:firstColumn="1" w:lastColumn="0" w:noHBand="0" w:noVBand="1"/>
      </w:tblPr>
      <w:tblGrid>
        <w:gridCol w:w="2738"/>
        <w:gridCol w:w="2712"/>
      </w:tblGrid>
      <w:tr w:rsidR="008F30F4" w:rsidRPr="00BE3F8D" w14:paraId="526B71BC" w14:textId="77777777" w:rsidTr="001F21E7">
        <w:trPr>
          <w:trHeight w:val="660"/>
          <w:jc w:val="center"/>
        </w:trPr>
        <w:tc>
          <w:tcPr>
            <w:tcW w:w="2738" w:type="dxa"/>
            <w:tcBorders>
              <w:top w:val="single" w:sz="4" w:space="0" w:color="auto"/>
              <w:bottom w:val="single" w:sz="4" w:space="0" w:color="auto"/>
            </w:tcBorders>
            <w:shd w:val="clear" w:color="auto" w:fill="auto"/>
            <w:noWrap/>
            <w:vAlign w:val="center"/>
            <w:hideMark/>
          </w:tcPr>
          <w:p w14:paraId="49877E8F"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Fossil-based subsectors</w:t>
            </w:r>
          </w:p>
        </w:tc>
        <w:tc>
          <w:tcPr>
            <w:tcW w:w="2712" w:type="dxa"/>
            <w:tcBorders>
              <w:top w:val="single" w:sz="4" w:space="0" w:color="auto"/>
              <w:bottom w:val="single" w:sz="4" w:space="0" w:color="auto"/>
            </w:tcBorders>
            <w:shd w:val="clear" w:color="auto" w:fill="auto"/>
            <w:noWrap/>
            <w:vAlign w:val="center"/>
            <w:hideMark/>
          </w:tcPr>
          <w:p w14:paraId="6E0F0CD0"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SimSun" w:cs="Times New Roman"/>
                <w:color w:val="000000"/>
                <w:kern w:val="2"/>
                <w:sz w:val="22"/>
                <w:szCs w:val="22"/>
              </w:rPr>
              <w:t>Energy-factor elasticity of substitution</w:t>
            </w:r>
          </w:p>
        </w:tc>
      </w:tr>
      <w:tr w:rsidR="008F30F4" w:rsidRPr="00BE3F8D" w14:paraId="2F8650B5" w14:textId="77777777" w:rsidTr="001F21E7">
        <w:trPr>
          <w:trHeight w:val="327"/>
          <w:jc w:val="center"/>
        </w:trPr>
        <w:tc>
          <w:tcPr>
            <w:tcW w:w="2738" w:type="dxa"/>
            <w:tcBorders>
              <w:top w:val="single" w:sz="4" w:space="0" w:color="auto"/>
              <w:bottom w:val="nil"/>
            </w:tcBorders>
            <w:shd w:val="clear" w:color="auto" w:fill="auto"/>
            <w:noWrap/>
            <w:vAlign w:val="center"/>
          </w:tcPr>
          <w:p w14:paraId="7EF721F8" w14:textId="77777777" w:rsidR="008F30F4" w:rsidRPr="00BE3F8D" w:rsidRDefault="008F30F4" w:rsidP="001F21E7">
            <w:pPr>
              <w:spacing w:before="0" w:line="240" w:lineRule="auto"/>
              <w:ind w:firstLine="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C</w:t>
            </w:r>
            <w:r w:rsidRPr="00BE3F8D">
              <w:rPr>
                <w:rFonts w:eastAsia="SimSun" w:cs="Times New Roman"/>
                <w:color w:val="000000"/>
                <w:kern w:val="2"/>
                <w:sz w:val="22"/>
                <w:szCs w:val="22"/>
              </w:rPr>
              <w:t>oal-fired Subsectors</w:t>
            </w:r>
          </w:p>
        </w:tc>
        <w:tc>
          <w:tcPr>
            <w:tcW w:w="2712" w:type="dxa"/>
            <w:tcBorders>
              <w:top w:val="single" w:sz="4" w:space="0" w:color="auto"/>
              <w:bottom w:val="nil"/>
            </w:tcBorders>
            <w:shd w:val="clear" w:color="auto" w:fill="auto"/>
            <w:noWrap/>
            <w:vAlign w:val="center"/>
          </w:tcPr>
          <w:p w14:paraId="69DF1DC7"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p>
        </w:tc>
      </w:tr>
      <w:tr w:rsidR="008F30F4" w:rsidRPr="00BE3F8D" w14:paraId="3E081FE2" w14:textId="77777777" w:rsidTr="001F21E7">
        <w:trPr>
          <w:trHeight w:val="327"/>
          <w:jc w:val="center"/>
        </w:trPr>
        <w:tc>
          <w:tcPr>
            <w:tcW w:w="2738" w:type="dxa"/>
            <w:tcBorders>
              <w:top w:val="nil"/>
              <w:bottom w:val="nil"/>
            </w:tcBorders>
            <w:shd w:val="clear" w:color="auto" w:fill="auto"/>
            <w:noWrap/>
            <w:vAlign w:val="center"/>
          </w:tcPr>
          <w:p w14:paraId="4ED2FB6E"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L</w:t>
            </w:r>
            <w:r w:rsidRPr="00BE3F8D">
              <w:rPr>
                <w:rFonts w:eastAsia="SimSun" w:cs="Times New Roman"/>
                <w:color w:val="000000"/>
                <w:kern w:val="2"/>
                <w:sz w:val="22"/>
                <w:szCs w:val="22"/>
              </w:rPr>
              <w:t>USC</w:t>
            </w:r>
          </w:p>
        </w:tc>
        <w:tc>
          <w:tcPr>
            <w:tcW w:w="2712" w:type="dxa"/>
            <w:tcBorders>
              <w:top w:val="nil"/>
              <w:bottom w:val="nil"/>
            </w:tcBorders>
            <w:shd w:val="clear" w:color="auto" w:fill="auto"/>
            <w:noWrap/>
            <w:vAlign w:val="center"/>
          </w:tcPr>
          <w:p w14:paraId="0F049656"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0.229</w:t>
            </w:r>
          </w:p>
        </w:tc>
      </w:tr>
      <w:tr w:rsidR="008F30F4" w:rsidRPr="00BE3F8D" w14:paraId="7B981167" w14:textId="77777777" w:rsidTr="001F21E7">
        <w:trPr>
          <w:trHeight w:val="327"/>
          <w:jc w:val="center"/>
        </w:trPr>
        <w:tc>
          <w:tcPr>
            <w:tcW w:w="2738" w:type="dxa"/>
            <w:tcBorders>
              <w:top w:val="nil"/>
              <w:bottom w:val="nil"/>
            </w:tcBorders>
            <w:shd w:val="clear" w:color="auto" w:fill="auto"/>
            <w:noWrap/>
            <w:vAlign w:val="center"/>
          </w:tcPr>
          <w:p w14:paraId="58BBF53F"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S</w:t>
            </w:r>
            <w:r w:rsidRPr="00BE3F8D">
              <w:rPr>
                <w:rFonts w:eastAsia="SimSun" w:cs="Times New Roman"/>
                <w:color w:val="000000"/>
                <w:kern w:val="2"/>
                <w:sz w:val="22"/>
                <w:szCs w:val="22"/>
              </w:rPr>
              <w:t>USC</w:t>
            </w:r>
          </w:p>
        </w:tc>
        <w:tc>
          <w:tcPr>
            <w:tcW w:w="2712" w:type="dxa"/>
            <w:tcBorders>
              <w:top w:val="nil"/>
              <w:bottom w:val="nil"/>
            </w:tcBorders>
            <w:shd w:val="clear" w:color="auto" w:fill="auto"/>
            <w:noWrap/>
            <w:vAlign w:val="center"/>
          </w:tcPr>
          <w:p w14:paraId="3DBC4B0D"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0.219</w:t>
            </w:r>
          </w:p>
        </w:tc>
      </w:tr>
      <w:tr w:rsidR="008F30F4" w:rsidRPr="00BE3F8D" w14:paraId="521E653A" w14:textId="77777777" w:rsidTr="001F21E7">
        <w:trPr>
          <w:trHeight w:val="327"/>
          <w:jc w:val="center"/>
        </w:trPr>
        <w:tc>
          <w:tcPr>
            <w:tcW w:w="2738" w:type="dxa"/>
            <w:tcBorders>
              <w:top w:val="nil"/>
            </w:tcBorders>
            <w:shd w:val="clear" w:color="auto" w:fill="auto"/>
            <w:noWrap/>
            <w:vAlign w:val="center"/>
          </w:tcPr>
          <w:p w14:paraId="13E09AE6"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L</w:t>
            </w:r>
            <w:r w:rsidRPr="00BE3F8D">
              <w:rPr>
                <w:rFonts w:eastAsia="SimSun" w:cs="Times New Roman"/>
                <w:color w:val="000000"/>
                <w:kern w:val="2"/>
                <w:sz w:val="22"/>
                <w:szCs w:val="22"/>
              </w:rPr>
              <w:t>SC</w:t>
            </w:r>
          </w:p>
        </w:tc>
        <w:tc>
          <w:tcPr>
            <w:tcW w:w="2712" w:type="dxa"/>
            <w:tcBorders>
              <w:top w:val="nil"/>
            </w:tcBorders>
            <w:shd w:val="clear" w:color="auto" w:fill="auto"/>
            <w:noWrap/>
            <w:vAlign w:val="center"/>
          </w:tcPr>
          <w:p w14:paraId="2AA33469"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0.259</w:t>
            </w:r>
          </w:p>
        </w:tc>
      </w:tr>
      <w:tr w:rsidR="008F30F4" w:rsidRPr="00BE3F8D" w14:paraId="0933B55C" w14:textId="77777777" w:rsidTr="001F21E7">
        <w:trPr>
          <w:trHeight w:val="327"/>
          <w:jc w:val="center"/>
        </w:trPr>
        <w:tc>
          <w:tcPr>
            <w:tcW w:w="2738" w:type="dxa"/>
            <w:shd w:val="clear" w:color="auto" w:fill="auto"/>
            <w:noWrap/>
            <w:vAlign w:val="center"/>
          </w:tcPr>
          <w:p w14:paraId="731E4E0A"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S</w:t>
            </w:r>
            <w:r w:rsidRPr="00BE3F8D">
              <w:rPr>
                <w:rFonts w:eastAsia="SimSun" w:cs="Times New Roman"/>
                <w:color w:val="000000"/>
                <w:kern w:val="2"/>
                <w:sz w:val="22"/>
                <w:szCs w:val="22"/>
              </w:rPr>
              <w:t>SC</w:t>
            </w:r>
          </w:p>
        </w:tc>
        <w:tc>
          <w:tcPr>
            <w:tcW w:w="2712" w:type="dxa"/>
            <w:shd w:val="clear" w:color="auto" w:fill="auto"/>
            <w:noWrap/>
            <w:vAlign w:val="center"/>
          </w:tcPr>
          <w:p w14:paraId="6CA4CC04"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0.253</w:t>
            </w:r>
          </w:p>
        </w:tc>
      </w:tr>
      <w:tr w:rsidR="008F30F4" w:rsidRPr="00BE3F8D" w14:paraId="64A830F6" w14:textId="77777777" w:rsidTr="001F21E7">
        <w:trPr>
          <w:trHeight w:val="327"/>
          <w:jc w:val="center"/>
        </w:trPr>
        <w:tc>
          <w:tcPr>
            <w:tcW w:w="2738" w:type="dxa"/>
            <w:shd w:val="clear" w:color="auto" w:fill="auto"/>
            <w:noWrap/>
            <w:vAlign w:val="center"/>
          </w:tcPr>
          <w:p w14:paraId="1FC1404C"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L</w:t>
            </w:r>
            <w:r w:rsidRPr="00BE3F8D">
              <w:rPr>
                <w:rFonts w:eastAsia="SimSun" w:cs="Times New Roman"/>
                <w:color w:val="000000"/>
                <w:kern w:val="2"/>
                <w:sz w:val="22"/>
                <w:szCs w:val="22"/>
              </w:rPr>
              <w:t>SUB</w:t>
            </w:r>
          </w:p>
        </w:tc>
        <w:tc>
          <w:tcPr>
            <w:tcW w:w="2712" w:type="dxa"/>
            <w:shd w:val="clear" w:color="auto" w:fill="auto"/>
            <w:noWrap/>
            <w:vAlign w:val="center"/>
          </w:tcPr>
          <w:p w14:paraId="53CC6E16"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0.299</w:t>
            </w:r>
          </w:p>
        </w:tc>
      </w:tr>
      <w:tr w:rsidR="008F30F4" w:rsidRPr="00BE3F8D" w14:paraId="31D387F1" w14:textId="77777777" w:rsidTr="001F21E7">
        <w:trPr>
          <w:trHeight w:val="327"/>
          <w:jc w:val="center"/>
        </w:trPr>
        <w:tc>
          <w:tcPr>
            <w:tcW w:w="2738" w:type="dxa"/>
            <w:shd w:val="clear" w:color="auto" w:fill="auto"/>
            <w:noWrap/>
            <w:vAlign w:val="center"/>
          </w:tcPr>
          <w:p w14:paraId="236B2795"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S</w:t>
            </w:r>
            <w:r w:rsidRPr="00BE3F8D">
              <w:rPr>
                <w:rFonts w:eastAsia="SimSun" w:cs="Times New Roman"/>
                <w:color w:val="000000"/>
                <w:kern w:val="2"/>
                <w:sz w:val="22"/>
                <w:szCs w:val="22"/>
              </w:rPr>
              <w:t>SUB</w:t>
            </w:r>
          </w:p>
        </w:tc>
        <w:tc>
          <w:tcPr>
            <w:tcW w:w="2712" w:type="dxa"/>
            <w:shd w:val="clear" w:color="auto" w:fill="auto"/>
            <w:noWrap/>
            <w:vAlign w:val="center"/>
          </w:tcPr>
          <w:p w14:paraId="60DA4D47"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0.295</w:t>
            </w:r>
          </w:p>
        </w:tc>
      </w:tr>
      <w:tr w:rsidR="008F30F4" w:rsidRPr="00BE3F8D" w14:paraId="5D5F7B9A" w14:textId="77777777" w:rsidTr="001F21E7">
        <w:trPr>
          <w:trHeight w:val="327"/>
          <w:jc w:val="center"/>
        </w:trPr>
        <w:tc>
          <w:tcPr>
            <w:tcW w:w="2738" w:type="dxa"/>
            <w:shd w:val="clear" w:color="auto" w:fill="auto"/>
            <w:noWrap/>
            <w:vAlign w:val="center"/>
          </w:tcPr>
          <w:p w14:paraId="1B12F8A7"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L</w:t>
            </w:r>
            <w:r w:rsidRPr="00BE3F8D">
              <w:rPr>
                <w:rFonts w:eastAsia="SimSun" w:cs="Times New Roman"/>
                <w:color w:val="000000"/>
                <w:kern w:val="2"/>
                <w:sz w:val="22"/>
                <w:szCs w:val="22"/>
              </w:rPr>
              <w:t>CFB</w:t>
            </w:r>
          </w:p>
        </w:tc>
        <w:tc>
          <w:tcPr>
            <w:tcW w:w="2712" w:type="dxa"/>
            <w:shd w:val="clear" w:color="auto" w:fill="auto"/>
            <w:noWrap/>
            <w:vAlign w:val="center"/>
          </w:tcPr>
          <w:p w14:paraId="41D9D8D0"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0.373</w:t>
            </w:r>
          </w:p>
        </w:tc>
      </w:tr>
      <w:tr w:rsidR="008F30F4" w:rsidRPr="00BE3F8D" w14:paraId="23C0A1BF" w14:textId="77777777" w:rsidTr="001F21E7">
        <w:trPr>
          <w:trHeight w:val="327"/>
          <w:jc w:val="center"/>
        </w:trPr>
        <w:tc>
          <w:tcPr>
            <w:tcW w:w="2738" w:type="dxa"/>
            <w:shd w:val="clear" w:color="auto" w:fill="auto"/>
            <w:noWrap/>
            <w:vAlign w:val="center"/>
          </w:tcPr>
          <w:p w14:paraId="3315AD32"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S</w:t>
            </w:r>
            <w:r w:rsidRPr="00BE3F8D">
              <w:rPr>
                <w:rFonts w:eastAsia="SimSun" w:cs="Times New Roman"/>
                <w:color w:val="000000"/>
                <w:kern w:val="2"/>
                <w:sz w:val="22"/>
                <w:szCs w:val="22"/>
              </w:rPr>
              <w:t>CFB</w:t>
            </w:r>
          </w:p>
        </w:tc>
        <w:tc>
          <w:tcPr>
            <w:tcW w:w="2712" w:type="dxa"/>
            <w:shd w:val="clear" w:color="auto" w:fill="auto"/>
            <w:noWrap/>
            <w:vAlign w:val="center"/>
          </w:tcPr>
          <w:p w14:paraId="61A2205E"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0.340</w:t>
            </w:r>
          </w:p>
        </w:tc>
      </w:tr>
      <w:tr w:rsidR="008F30F4" w:rsidRPr="00BE3F8D" w14:paraId="109AF39A" w14:textId="77777777" w:rsidTr="001F21E7">
        <w:trPr>
          <w:trHeight w:val="327"/>
          <w:jc w:val="center"/>
        </w:trPr>
        <w:tc>
          <w:tcPr>
            <w:tcW w:w="2738" w:type="dxa"/>
            <w:shd w:val="clear" w:color="auto" w:fill="auto"/>
            <w:noWrap/>
            <w:vAlign w:val="center"/>
          </w:tcPr>
          <w:p w14:paraId="3009EFEF"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O</w:t>
            </w:r>
            <w:r w:rsidRPr="00BE3F8D">
              <w:rPr>
                <w:rFonts w:eastAsia="SimSun" w:cs="Times New Roman"/>
                <w:color w:val="000000"/>
                <w:kern w:val="2"/>
                <w:sz w:val="22"/>
                <w:szCs w:val="22"/>
              </w:rPr>
              <w:t>THC</w:t>
            </w:r>
          </w:p>
        </w:tc>
        <w:tc>
          <w:tcPr>
            <w:tcW w:w="2712" w:type="dxa"/>
            <w:shd w:val="clear" w:color="auto" w:fill="auto"/>
            <w:noWrap/>
            <w:vAlign w:val="center"/>
          </w:tcPr>
          <w:p w14:paraId="08466B9C"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sz w:val="22"/>
                <w:szCs w:val="22"/>
              </w:rPr>
              <w:t>0.361</w:t>
            </w:r>
          </w:p>
        </w:tc>
      </w:tr>
      <w:tr w:rsidR="008F30F4" w:rsidRPr="00BE3F8D" w14:paraId="7B458C8E" w14:textId="77777777" w:rsidTr="001F21E7">
        <w:trPr>
          <w:trHeight w:val="327"/>
          <w:jc w:val="center"/>
        </w:trPr>
        <w:tc>
          <w:tcPr>
            <w:tcW w:w="2738" w:type="dxa"/>
            <w:tcBorders>
              <w:bottom w:val="nil"/>
            </w:tcBorders>
            <w:shd w:val="clear" w:color="auto" w:fill="auto"/>
            <w:noWrap/>
            <w:vAlign w:val="center"/>
          </w:tcPr>
          <w:p w14:paraId="238009B4" w14:textId="77777777" w:rsidR="008F30F4" w:rsidRPr="00BE3F8D" w:rsidRDefault="008F30F4" w:rsidP="001F21E7">
            <w:pPr>
              <w:spacing w:before="0" w:line="240" w:lineRule="auto"/>
              <w:ind w:firstLine="0"/>
              <w:contextualSpacing/>
              <w:jc w:val="both"/>
              <w:rPr>
                <w:rFonts w:eastAsia="SimSun" w:cs="Times New Roman"/>
                <w:color w:val="000000"/>
                <w:kern w:val="2"/>
                <w:sz w:val="22"/>
                <w:szCs w:val="22"/>
              </w:rPr>
            </w:pPr>
            <w:r w:rsidRPr="00BE3F8D">
              <w:rPr>
                <w:rFonts w:eastAsia="SimSun" w:cs="Times New Roman"/>
                <w:color w:val="000000"/>
                <w:kern w:val="2"/>
                <w:sz w:val="22"/>
                <w:szCs w:val="22"/>
              </w:rPr>
              <w:t>Gas-fired Subsectors</w:t>
            </w:r>
          </w:p>
        </w:tc>
        <w:tc>
          <w:tcPr>
            <w:tcW w:w="2712" w:type="dxa"/>
            <w:tcBorders>
              <w:bottom w:val="nil"/>
            </w:tcBorders>
            <w:shd w:val="clear" w:color="auto" w:fill="auto"/>
            <w:noWrap/>
            <w:vAlign w:val="center"/>
          </w:tcPr>
          <w:p w14:paraId="0200FF0F"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p>
        </w:tc>
      </w:tr>
      <w:tr w:rsidR="008F30F4" w:rsidRPr="00BE3F8D" w14:paraId="3130A02E" w14:textId="77777777" w:rsidTr="001F21E7">
        <w:trPr>
          <w:trHeight w:val="327"/>
          <w:jc w:val="center"/>
        </w:trPr>
        <w:tc>
          <w:tcPr>
            <w:tcW w:w="2738" w:type="dxa"/>
            <w:tcBorders>
              <w:bottom w:val="nil"/>
            </w:tcBorders>
            <w:shd w:val="clear" w:color="auto" w:fill="auto"/>
            <w:noWrap/>
            <w:vAlign w:val="center"/>
          </w:tcPr>
          <w:p w14:paraId="362E26F0"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H</w:t>
            </w:r>
            <w:r w:rsidRPr="00BE3F8D">
              <w:rPr>
                <w:rFonts w:eastAsia="SimSun" w:cs="Times New Roman"/>
                <w:color w:val="000000"/>
                <w:kern w:val="2"/>
                <w:sz w:val="22"/>
                <w:szCs w:val="22"/>
              </w:rPr>
              <w:t>PG</w:t>
            </w:r>
          </w:p>
        </w:tc>
        <w:tc>
          <w:tcPr>
            <w:tcW w:w="2712" w:type="dxa"/>
            <w:tcBorders>
              <w:bottom w:val="nil"/>
            </w:tcBorders>
            <w:shd w:val="clear" w:color="auto" w:fill="auto"/>
            <w:noWrap/>
            <w:vAlign w:val="center"/>
          </w:tcPr>
          <w:p w14:paraId="23989FA1"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DengXian" w:cs="Times New Roman"/>
                <w:color w:val="000000"/>
                <w:sz w:val="22"/>
                <w:szCs w:val="22"/>
              </w:rPr>
              <w:t>0.041</w:t>
            </w:r>
          </w:p>
        </w:tc>
      </w:tr>
      <w:tr w:rsidR="008F30F4" w:rsidRPr="00BE3F8D" w14:paraId="5950AF5D" w14:textId="77777777" w:rsidTr="001F21E7">
        <w:trPr>
          <w:trHeight w:val="327"/>
          <w:jc w:val="center"/>
        </w:trPr>
        <w:tc>
          <w:tcPr>
            <w:tcW w:w="2738" w:type="dxa"/>
            <w:tcBorders>
              <w:top w:val="nil"/>
              <w:bottom w:val="single" w:sz="4" w:space="0" w:color="auto"/>
            </w:tcBorders>
            <w:shd w:val="clear" w:color="auto" w:fill="auto"/>
            <w:noWrap/>
            <w:vAlign w:val="center"/>
          </w:tcPr>
          <w:p w14:paraId="317DE37F" w14:textId="77777777" w:rsidR="008F30F4" w:rsidRPr="00BE3F8D" w:rsidRDefault="008F30F4" w:rsidP="001F21E7">
            <w:pPr>
              <w:spacing w:before="0" w:line="240" w:lineRule="auto"/>
              <w:ind w:firstLineChars="100" w:firstLine="220"/>
              <w:contextualSpacing/>
              <w:jc w:val="both"/>
              <w:rPr>
                <w:rFonts w:eastAsia="SimSun" w:cs="Times New Roman"/>
                <w:color w:val="000000"/>
                <w:kern w:val="2"/>
                <w:sz w:val="22"/>
                <w:szCs w:val="22"/>
              </w:rPr>
            </w:pPr>
            <w:r w:rsidRPr="00BE3F8D">
              <w:rPr>
                <w:rFonts w:eastAsia="SimSun" w:cs="Times New Roman" w:hint="eastAsia"/>
                <w:color w:val="000000"/>
                <w:kern w:val="2"/>
                <w:sz w:val="22"/>
                <w:szCs w:val="22"/>
              </w:rPr>
              <w:t>L</w:t>
            </w:r>
            <w:r w:rsidRPr="00BE3F8D">
              <w:rPr>
                <w:rFonts w:eastAsia="SimSun" w:cs="Times New Roman"/>
                <w:color w:val="000000"/>
                <w:kern w:val="2"/>
                <w:sz w:val="22"/>
                <w:szCs w:val="22"/>
              </w:rPr>
              <w:t>PG</w:t>
            </w:r>
          </w:p>
        </w:tc>
        <w:tc>
          <w:tcPr>
            <w:tcW w:w="2712" w:type="dxa"/>
            <w:tcBorders>
              <w:top w:val="nil"/>
              <w:bottom w:val="single" w:sz="4" w:space="0" w:color="auto"/>
            </w:tcBorders>
            <w:shd w:val="clear" w:color="auto" w:fill="auto"/>
            <w:noWrap/>
            <w:vAlign w:val="center"/>
          </w:tcPr>
          <w:p w14:paraId="458D505C" w14:textId="77777777" w:rsidR="008F30F4" w:rsidRPr="00BE3F8D" w:rsidRDefault="008F30F4" w:rsidP="001F21E7">
            <w:pPr>
              <w:spacing w:before="0" w:line="240" w:lineRule="auto"/>
              <w:ind w:firstLine="0"/>
              <w:contextualSpacing/>
              <w:jc w:val="center"/>
              <w:rPr>
                <w:rFonts w:eastAsia="SimSun" w:cs="Times New Roman"/>
                <w:color w:val="000000"/>
                <w:kern w:val="2"/>
                <w:sz w:val="22"/>
                <w:szCs w:val="22"/>
              </w:rPr>
            </w:pPr>
            <w:r w:rsidRPr="00BE3F8D">
              <w:rPr>
                <w:rFonts w:eastAsia="DengXian" w:cs="Times New Roman"/>
                <w:color w:val="000000"/>
                <w:sz w:val="22"/>
                <w:szCs w:val="22"/>
              </w:rPr>
              <w:t>0.161</w:t>
            </w:r>
          </w:p>
        </w:tc>
      </w:tr>
    </w:tbl>
    <w:p w14:paraId="076469BE" w14:textId="77777777" w:rsidR="008F30F4" w:rsidRDefault="008F30F4" w:rsidP="008F30F4">
      <w:pPr>
        <w:spacing w:after="120"/>
        <w:ind w:firstLine="0"/>
        <w:rPr>
          <w:rFonts w:eastAsia="SimSun" w:cs="Times New Roman"/>
          <w:b/>
          <w:bCs/>
          <w:i/>
          <w:iCs/>
          <w:color w:val="000000"/>
        </w:rPr>
      </w:pPr>
    </w:p>
    <w:p w14:paraId="3239412A" w14:textId="77777777" w:rsidR="008F30F4" w:rsidRPr="00F40B79" w:rsidRDefault="008F30F4" w:rsidP="008F30F4">
      <w:pPr>
        <w:spacing w:after="120"/>
        <w:ind w:firstLine="0"/>
        <w:rPr>
          <w:rFonts w:eastAsia="SimSun" w:cs="Times New Roman"/>
          <w:b/>
          <w:bCs/>
          <w:i/>
          <w:iCs/>
          <w:color w:val="000000"/>
        </w:rPr>
      </w:pPr>
      <w:r w:rsidRPr="006D416B">
        <w:rPr>
          <w:rFonts w:eastAsia="SimSun" w:cs="Times New Roman"/>
          <w:b/>
          <w:bCs/>
          <w:i/>
          <w:iCs/>
          <w:color w:val="000000"/>
        </w:rPr>
        <w:t xml:space="preserve">Parameters </w:t>
      </w:r>
      <w:r w:rsidRPr="0005297D">
        <w:rPr>
          <w:rFonts w:eastAsia="SimSun" w:cs="Times New Roman"/>
          <w:b/>
          <w:bCs/>
          <w:i/>
          <w:iCs/>
          <w:color w:val="000000"/>
        </w:rPr>
        <w:t xml:space="preserve">related to Renewable Energy Supply </w:t>
      </w:r>
    </w:p>
    <w:p w14:paraId="5985C95D" w14:textId="77777777" w:rsidR="008F30F4" w:rsidRDefault="008F30F4" w:rsidP="008F30F4">
      <w:pPr>
        <w:ind w:firstLine="720"/>
        <w:rPr>
          <w:rFonts w:eastAsia="DengXian" w:cs="Times New Roman"/>
          <w:sz w:val="22"/>
          <w:szCs w:val="22"/>
        </w:rPr>
      </w:pPr>
      <w:r w:rsidRPr="00EC5B7E">
        <w:rPr>
          <w:rFonts w:eastAsia="DengXian" w:cs="Times New Roman"/>
          <w:sz w:val="22"/>
          <w:szCs w:val="22"/>
        </w:rPr>
        <w:t xml:space="preserve">The calibration of </w:t>
      </w:r>
      <w:r w:rsidRPr="0096493C">
        <w:rPr>
          <w:rFonts w:eastAsia="DengXian" w:cs="Times New Roman"/>
          <w:sz w:val="22"/>
          <w:szCs w:val="22"/>
        </w:rPr>
        <w:t xml:space="preserve">the </w:t>
      </w:r>
      <w:r w:rsidRPr="0096493C">
        <w:rPr>
          <w:rFonts w:eastAsia="DengXian" w:cs="Times New Roman"/>
          <w:color w:val="000000"/>
          <w:sz w:val="22"/>
          <w:szCs w:val="22"/>
        </w:rPr>
        <w:t xml:space="preserve">elasticity of substitution between the resource </w:t>
      </w:r>
      <w:r w:rsidRPr="006D416B">
        <w:rPr>
          <w:rFonts w:eastAsia="DengXian" w:cs="Times New Roman"/>
          <w:color w:val="000000"/>
          <w:sz w:val="22"/>
          <w:szCs w:val="22"/>
        </w:rPr>
        <w:t xml:space="preserve">and other input, denoted as </w:t>
      </w:r>
      <w:r w:rsidR="0038014B" w:rsidRPr="00DA6D47">
        <w:rPr>
          <w:noProof/>
          <w:position w:val="-10"/>
        </w:rPr>
        <w:object w:dxaOrig="380" w:dyaOrig="320" w14:anchorId="15256290">
          <v:shape id="_x0000_i1088" type="#_x0000_t75" alt="" style="width:19.75pt;height:15.55pt;mso-width-percent:0;mso-height-percent:0;mso-width-percent:0;mso-height-percent:0" o:ole="">
            <v:imagedata r:id="rId289" o:title=""/>
          </v:shape>
          <o:OLEObject Type="Embed" ProgID="Equation.DSMT4" ShapeID="_x0000_i1088" DrawAspect="Content" ObjectID="_1758969543" r:id="rId290"/>
        </w:object>
      </w:r>
      <w:r w:rsidRPr="00EC5B7E">
        <w:rPr>
          <w:rFonts w:eastAsia="DengXian" w:cs="Times New Roman"/>
          <w:color w:val="000000"/>
          <w:sz w:val="22"/>
          <w:szCs w:val="22"/>
        </w:rPr>
        <w:t xml:space="preserve">, </w:t>
      </w:r>
      <w:r w:rsidRPr="006D416B">
        <w:rPr>
          <w:rFonts w:eastAsia="DengXian" w:cs="Times New Roman"/>
          <w:color w:val="000000"/>
          <w:sz w:val="22"/>
          <w:szCs w:val="22"/>
        </w:rPr>
        <w:t>a</w:t>
      </w:r>
      <w:r w:rsidRPr="00EC5B7E">
        <w:rPr>
          <w:rFonts w:eastAsia="DengXian" w:cs="Times New Roman"/>
          <w:color w:val="000000"/>
          <w:sz w:val="22"/>
          <w:szCs w:val="22"/>
        </w:rPr>
        <w:t>s well as the sh</w:t>
      </w:r>
      <w:r w:rsidRPr="0096493C">
        <w:rPr>
          <w:rFonts w:eastAsia="DengXian" w:cs="Times New Roman"/>
          <w:color w:val="000000"/>
          <w:sz w:val="22"/>
          <w:szCs w:val="22"/>
        </w:rPr>
        <w:t>are of natural resource input,</w:t>
      </w:r>
      <w:r w:rsidRPr="006D416B">
        <w:rPr>
          <w:rFonts w:eastAsia="DengXian" w:cs="Times New Roman"/>
          <w:color w:val="000000"/>
          <w:sz w:val="22"/>
          <w:szCs w:val="22"/>
        </w:rPr>
        <w:t xml:space="preserve"> </w:t>
      </w:r>
      <w:r w:rsidR="0038014B" w:rsidRPr="00DA6D47">
        <w:rPr>
          <w:noProof/>
          <w:position w:val="-10"/>
        </w:rPr>
        <w:object w:dxaOrig="340" w:dyaOrig="320" w14:anchorId="5FA8EADF">
          <v:shape id="_x0000_i1087" type="#_x0000_t75" alt="" style="width:15.55pt;height:15.55pt;mso-width-percent:0;mso-height-percent:0;mso-width-percent:0;mso-height-percent:0" o:ole="">
            <v:imagedata r:id="rId291" o:title=""/>
          </v:shape>
          <o:OLEObject Type="Embed" ProgID="Equation.DSMT4" ShapeID="_x0000_i1087" DrawAspect="Content" ObjectID="_1758969544" r:id="rId292"/>
        </w:object>
      </w:r>
      <w:r w:rsidRPr="00EC5B7E">
        <w:rPr>
          <w:rFonts w:eastAsia="DengXian" w:cs="Times New Roman"/>
          <w:color w:val="000000"/>
          <w:sz w:val="22"/>
          <w:szCs w:val="22"/>
        </w:rPr>
        <w:t>,</w:t>
      </w:r>
      <w:r w:rsidRPr="0096493C">
        <w:rPr>
          <w:rFonts w:eastAsia="DengXian" w:cs="Times New Roman"/>
          <w:color w:val="000000"/>
          <w:sz w:val="22"/>
          <w:szCs w:val="22"/>
        </w:rPr>
        <w:t xml:space="preserve"> </w:t>
      </w:r>
      <w:r w:rsidRPr="006D416B">
        <w:rPr>
          <w:rFonts w:eastAsia="DengXian" w:cs="Times New Roman"/>
          <w:color w:val="000000"/>
          <w:sz w:val="22"/>
          <w:szCs w:val="22"/>
        </w:rPr>
        <w:t xml:space="preserve">seeks to incorporate </w:t>
      </w:r>
      <w:r w:rsidRPr="006D416B">
        <w:rPr>
          <w:rFonts w:eastAsia="DengXian" w:cs="Times New Roman"/>
          <w:sz w:val="22"/>
          <w:szCs w:val="22"/>
        </w:rPr>
        <w:t xml:space="preserve">a detailed representation of renewable and nuclear electricity supply in China. </w:t>
      </w:r>
    </w:p>
    <w:p w14:paraId="7C8ADE35" w14:textId="77777777" w:rsidR="008F30F4" w:rsidRPr="00DB42BC" w:rsidRDefault="008F30F4" w:rsidP="008F30F4">
      <w:pPr>
        <w:ind w:firstLine="720"/>
        <w:rPr>
          <w:rFonts w:eastAsia="DengXian" w:cs="Times New Roman"/>
          <w:sz w:val="22"/>
          <w:szCs w:val="22"/>
        </w:rPr>
      </w:pPr>
      <w:r>
        <w:rPr>
          <w:rFonts w:eastAsia="DengXian" w:cs="Times New Roman"/>
          <w:sz w:val="22"/>
          <w:szCs w:val="22"/>
        </w:rPr>
        <w:t xml:space="preserve">We use the </w:t>
      </w:r>
      <w:r w:rsidRPr="0043184D">
        <w:rPr>
          <w:rFonts w:eastAsia="DengXian" w:cs="Times New Roman"/>
          <w:sz w:val="22"/>
        </w:rPr>
        <w:t>Renewable Electricity Planning and Operation (REPO) Model</w:t>
      </w:r>
      <w:r>
        <w:rPr>
          <w:rFonts w:eastAsia="DengXian" w:cs="Times New Roman" w:hint="eastAsia"/>
          <w:sz w:val="22"/>
        </w:rPr>
        <w:t>,</w:t>
      </w:r>
      <w:r>
        <w:rPr>
          <w:rStyle w:val="FootnoteReference"/>
          <w:rFonts w:eastAsia="DengXian" w:cs="Times New Roman"/>
          <w:sz w:val="22"/>
        </w:rPr>
        <w:footnoteReference w:id="9"/>
      </w:r>
      <w:r>
        <w:rPr>
          <w:rFonts w:eastAsia="DengXian" w:cs="Times New Roman"/>
          <w:sz w:val="22"/>
        </w:rPr>
        <w:t xml:space="preserve"> a model of China’s power system, to get the information on the marginal costs as a function of supply for renewable and nuclear electricity, and then perform simulations of the model with different values </w:t>
      </w:r>
      <w:r w:rsidRPr="00390215">
        <w:rPr>
          <w:rFonts w:eastAsia="DengXian" w:cs="Times New Roman"/>
          <w:sz w:val="22"/>
          <w:szCs w:val="22"/>
        </w:rPr>
        <w:t xml:space="preserve">of </w:t>
      </w:r>
      <w:r w:rsidR="0038014B" w:rsidRPr="00931F61">
        <w:rPr>
          <w:noProof/>
          <w:position w:val="-10"/>
          <w:sz w:val="22"/>
          <w:szCs w:val="22"/>
        </w:rPr>
        <w:object w:dxaOrig="380" w:dyaOrig="320" w14:anchorId="4189B2F1">
          <v:shape id="_x0000_i1086" type="#_x0000_t75" alt="" style="width:19.75pt;height:15.55pt;mso-width-percent:0;mso-height-percent:0;mso-width-percent:0;mso-height-percent:0" o:ole="">
            <v:imagedata r:id="rId289" o:title=""/>
          </v:shape>
          <o:OLEObject Type="Embed" ProgID="Equation.DSMT4" ShapeID="_x0000_i1086" DrawAspect="Content" ObjectID="_1758969545" r:id="rId293"/>
        </w:object>
      </w:r>
      <w:r w:rsidRPr="00551304">
        <w:rPr>
          <w:noProof/>
          <w:sz w:val="22"/>
          <w:szCs w:val="22"/>
        </w:rPr>
        <w:t xml:space="preserve"> and </w:t>
      </w:r>
      <w:r w:rsidR="0038014B" w:rsidRPr="00931F61">
        <w:rPr>
          <w:noProof/>
          <w:position w:val="-10"/>
          <w:sz w:val="22"/>
          <w:szCs w:val="22"/>
        </w:rPr>
        <w:object w:dxaOrig="340" w:dyaOrig="320" w14:anchorId="2CC2C33E">
          <v:shape id="_x0000_i1085" type="#_x0000_t75" alt="" style="width:15.55pt;height:15.55pt;mso-width-percent:0;mso-height-percent:0;mso-width-percent:0;mso-height-percent:0" o:ole="">
            <v:imagedata r:id="rId291" o:title=""/>
          </v:shape>
          <o:OLEObject Type="Embed" ProgID="Equation.DSMT4" ShapeID="_x0000_i1085" DrawAspect="Content" ObjectID="_1758969546" r:id="rId294"/>
        </w:object>
      </w:r>
      <w:r w:rsidRPr="00551304">
        <w:rPr>
          <w:noProof/>
          <w:sz w:val="22"/>
          <w:szCs w:val="22"/>
        </w:rPr>
        <w:t xml:space="preserve"> and identify the combinations that lead to similar marginal costs in the REPO model. </w:t>
      </w:r>
    </w:p>
    <w:p w14:paraId="767B86E5" w14:textId="77777777" w:rsidR="008F30F4" w:rsidRDefault="008F30F4" w:rsidP="008F30F4">
      <w:pPr>
        <w:ind w:firstLine="719"/>
        <w:contextualSpacing/>
        <w:rPr>
          <w:rFonts w:eastAsia="DengXian" w:cs="Times New Roman"/>
          <w:sz w:val="22"/>
        </w:rPr>
      </w:pPr>
      <w:r>
        <w:rPr>
          <w:rFonts w:eastAsia="DengXian" w:cs="Times New Roman"/>
          <w:sz w:val="22"/>
        </w:rPr>
        <w:t>The derived curves are shown in Figure C3.</w:t>
      </w:r>
    </w:p>
    <w:p w14:paraId="7BF2F1E7" w14:textId="77777777" w:rsidR="008F30F4" w:rsidRPr="00401254" w:rsidRDefault="008F30F4" w:rsidP="008F30F4">
      <w:pPr>
        <w:ind w:firstLine="719"/>
        <w:contextualSpacing/>
        <w:rPr>
          <w:rFonts w:eastAsia="DengXian" w:cs="Times New Roman"/>
          <w:sz w:val="22"/>
        </w:rPr>
      </w:pPr>
      <w:r>
        <w:rPr>
          <w:rFonts w:eastAsia="DengXian" w:cs="Times New Roman"/>
          <w:noProof/>
          <w:sz w:val="22"/>
        </w:rPr>
        <w:lastRenderedPageBreak/>
        <w:drawing>
          <wp:anchor distT="0" distB="0" distL="114300" distR="114300" simplePos="0" relativeHeight="251681792" behindDoc="0" locked="0" layoutInCell="1" allowOverlap="1" wp14:anchorId="24BF4EB9" wp14:editId="5A3BC77A">
            <wp:simplePos x="0" y="0"/>
            <wp:positionH relativeFrom="margin">
              <wp:posOffset>1032045</wp:posOffset>
            </wp:positionH>
            <wp:positionV relativeFrom="paragraph">
              <wp:posOffset>166640</wp:posOffset>
            </wp:positionV>
            <wp:extent cx="3822065" cy="6255385"/>
            <wp:effectExtent l="0" t="0" r="6985" b="0"/>
            <wp:wrapTopAndBottom/>
            <wp:docPr id="148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22065" cy="6255385"/>
                    </a:xfrm>
                    <a:prstGeom prst="rect">
                      <a:avLst/>
                    </a:prstGeom>
                    <a:noFill/>
                  </pic:spPr>
                </pic:pic>
              </a:graphicData>
            </a:graphic>
            <wp14:sizeRelH relativeFrom="page">
              <wp14:pctWidth>0</wp14:pctWidth>
            </wp14:sizeRelH>
            <wp14:sizeRelV relativeFrom="page">
              <wp14:pctHeight>0</wp14:pctHeight>
            </wp14:sizeRelV>
          </wp:anchor>
        </w:drawing>
      </w:r>
    </w:p>
    <w:p w14:paraId="32372EB8" w14:textId="77777777" w:rsidR="008F30F4" w:rsidRPr="00333C7B" w:rsidRDefault="008F30F4" w:rsidP="008F30F4">
      <w:pPr>
        <w:ind w:firstLine="360"/>
        <w:jc w:val="center"/>
        <w:rPr>
          <w:rFonts w:ascii="Times" w:eastAsia="DengXian" w:hAnsi="Times" w:cs="Times New Roman"/>
          <w:b/>
          <w:bCs/>
          <w:sz w:val="22"/>
        </w:rPr>
      </w:pPr>
      <w:r w:rsidRPr="00333C7B">
        <w:rPr>
          <w:rFonts w:eastAsia="DengXian" w:cs="Times New Roman"/>
          <w:b/>
          <w:bCs/>
          <w:color w:val="000000"/>
          <w:sz w:val="22"/>
          <w:szCs w:val="20"/>
        </w:rPr>
        <w:t xml:space="preserve">Figure </w:t>
      </w:r>
      <w:r>
        <w:rPr>
          <w:rFonts w:eastAsia="DengXian" w:cs="Times New Roman"/>
          <w:b/>
          <w:bCs/>
          <w:color w:val="000000"/>
          <w:sz w:val="22"/>
          <w:szCs w:val="20"/>
        </w:rPr>
        <w:t>C3</w:t>
      </w:r>
      <w:r w:rsidRPr="00333C7B">
        <w:rPr>
          <w:rFonts w:eastAsia="DengXian" w:cs="Times New Roman"/>
          <w:b/>
          <w:bCs/>
          <w:color w:val="000000"/>
          <w:sz w:val="22"/>
          <w:szCs w:val="20"/>
        </w:rPr>
        <w:t>. Marginal Cost for Wind and Solar from the REPO Model</w:t>
      </w:r>
    </w:p>
    <w:p w14:paraId="0A080FCE" w14:textId="77777777" w:rsidR="008F30F4" w:rsidRPr="00333C7B" w:rsidRDefault="008F30F4" w:rsidP="008F30F4">
      <w:pPr>
        <w:ind w:firstLine="360"/>
        <w:jc w:val="center"/>
        <w:rPr>
          <w:rFonts w:eastAsia="DengXian" w:cs="Times New Roman"/>
          <w:color w:val="31353B"/>
          <w:sz w:val="22"/>
        </w:rPr>
      </w:pPr>
    </w:p>
    <w:p w14:paraId="725305D5" w14:textId="77777777" w:rsidR="008F30F4" w:rsidRPr="00306BDC" w:rsidRDefault="008F30F4" w:rsidP="008F30F4">
      <w:pPr>
        <w:ind w:firstLine="0"/>
        <w:rPr>
          <w:rFonts w:eastAsia="DengXian" w:cs="Times New Roman"/>
          <w:sz w:val="22"/>
          <w:szCs w:val="22"/>
        </w:rPr>
      </w:pPr>
      <w:r>
        <w:rPr>
          <w:rFonts w:eastAsia="DengXian" w:cs="Times New Roman"/>
          <w:sz w:val="22"/>
        </w:rPr>
        <w:tab/>
      </w:r>
      <w:r w:rsidRPr="00306BDC">
        <w:rPr>
          <w:rFonts w:eastAsia="DengXian" w:cs="Times New Roman"/>
          <w:sz w:val="22"/>
          <w:szCs w:val="22"/>
        </w:rPr>
        <w:t xml:space="preserve">We use the following equation from the top-level next of the production function to calibrate the parameters </w:t>
      </w:r>
      <w:r w:rsidR="0038014B" w:rsidRPr="00306BDC">
        <w:rPr>
          <w:noProof/>
          <w:position w:val="-10"/>
          <w:sz w:val="22"/>
          <w:szCs w:val="22"/>
        </w:rPr>
        <w:object w:dxaOrig="380" w:dyaOrig="320" w14:anchorId="42607CF8">
          <v:shape id="_x0000_i1084" type="#_x0000_t75" alt="" style="width:19.75pt;height:15.55pt;mso-width-percent:0;mso-height-percent:0;mso-width-percent:0;mso-height-percent:0" o:ole="">
            <v:imagedata r:id="rId296" o:title=""/>
          </v:shape>
          <o:OLEObject Type="Embed" ProgID="Equation.DSMT4" ShapeID="_x0000_i1084" DrawAspect="Content" ObjectID="_1758969547" r:id="rId297"/>
        </w:object>
      </w:r>
      <w:r w:rsidRPr="00306BDC">
        <w:rPr>
          <w:noProof/>
          <w:sz w:val="22"/>
          <w:szCs w:val="22"/>
        </w:rPr>
        <w:t xml:space="preserve"> </w:t>
      </w:r>
      <w:r w:rsidRPr="00306BDC">
        <w:rPr>
          <w:rFonts w:eastAsia="DengXian" w:cs="Times New Roman"/>
          <w:sz w:val="22"/>
          <w:szCs w:val="22"/>
        </w:rPr>
        <w:t xml:space="preserve">and </w:t>
      </w:r>
      <w:r w:rsidR="0038014B" w:rsidRPr="00306BDC">
        <w:rPr>
          <w:noProof/>
          <w:position w:val="-10"/>
          <w:sz w:val="22"/>
          <w:szCs w:val="22"/>
        </w:rPr>
        <w:object w:dxaOrig="340" w:dyaOrig="320" w14:anchorId="46C1CDFF">
          <v:shape id="_x0000_i1083" type="#_x0000_t75" alt="" style="width:15.55pt;height:15.55pt;mso-width-percent:0;mso-height-percent:0;mso-width-percent:0;mso-height-percent:0" o:ole="">
            <v:imagedata r:id="rId298" o:title=""/>
          </v:shape>
          <o:OLEObject Type="Embed" ProgID="Equation.DSMT4" ShapeID="_x0000_i1083" DrawAspect="Content" ObjectID="_1758969548" r:id="rId299"/>
        </w:object>
      </w:r>
      <w:r w:rsidRPr="00306BDC">
        <w:rPr>
          <w:noProof/>
          <w:sz w:val="22"/>
          <w:szCs w:val="22"/>
        </w:rPr>
        <w:t xml:space="preserve"> in that function.</w:t>
      </w:r>
    </w:p>
    <w:p w14:paraId="7613BED3" w14:textId="77777777" w:rsidR="008F30F4" w:rsidRPr="00306BDC" w:rsidRDefault="008F30F4" w:rsidP="008F30F4">
      <w:pPr>
        <w:pStyle w:val="a2"/>
      </w:pPr>
      <w:r w:rsidRPr="00306BDC">
        <w:tab/>
      </w:r>
      <w:r w:rsidR="0038014B" w:rsidRPr="00306BDC">
        <w:rPr>
          <w:noProof/>
          <w:position w:val="-34"/>
        </w:rPr>
        <w:object w:dxaOrig="3379" w:dyaOrig="920" w14:anchorId="252A6F08">
          <v:shape id="_x0000_i1082" type="#_x0000_t75" alt="" style="width:168.7pt;height:45.2pt;mso-width-percent:0;mso-height-percent:0;mso-width-percent:0;mso-height-percent:0" o:ole="">
            <v:imagedata r:id="rId300" o:title=""/>
          </v:shape>
          <o:OLEObject Type="Embed" ProgID="Equation.DSMT4" ShapeID="_x0000_i1082" DrawAspect="Content" ObjectID="_1758969549" r:id="rId301"/>
        </w:object>
      </w:r>
      <w:r w:rsidRPr="00306BDC">
        <w:tab/>
      </w:r>
      <w:r w:rsidRPr="00306BDC">
        <w:fldChar w:fldCharType="begin"/>
      </w:r>
      <w:r w:rsidRPr="00306BDC">
        <w:instrText xml:space="preserve"> MACROBUTTON MTPlaceRef \* MERGEFORMAT </w:instrText>
      </w:r>
      <w:r w:rsidRPr="00306BDC">
        <w:fldChar w:fldCharType="begin"/>
      </w:r>
      <w:r w:rsidRPr="00306BDC">
        <w:instrText xml:space="preserve"> SEQ MTEqn \h \* MERGEFORMAT </w:instrText>
      </w:r>
      <w:r w:rsidRPr="00306BDC">
        <w:fldChar w:fldCharType="end"/>
      </w:r>
      <w:r w:rsidRPr="00306BDC">
        <w:instrText>(</w:instrText>
      </w:r>
      <w:fldSimple w:instr=" SEQ MTSec \c \* Alphabetic \* MERGEFORMAT ">
        <w:r>
          <w:rPr>
            <w:noProof/>
          </w:rPr>
          <w:instrText>A</w:instrText>
        </w:r>
      </w:fldSimple>
      <w:fldSimple w:instr=" SEQ MTEqn \c \* Arabic \* MERGEFORMAT ">
        <w:r>
          <w:rPr>
            <w:noProof/>
          </w:rPr>
          <w:instrText>22</w:instrText>
        </w:r>
      </w:fldSimple>
      <w:r w:rsidRPr="00306BDC">
        <w:instrText>)</w:instrText>
      </w:r>
      <w:r w:rsidRPr="00306BDC">
        <w:fldChar w:fldCharType="end"/>
      </w:r>
    </w:p>
    <w:p w14:paraId="6E8CADFE" w14:textId="77777777" w:rsidR="008F30F4" w:rsidRPr="00306BDC" w:rsidRDefault="008F30F4" w:rsidP="008F30F4">
      <w:pPr>
        <w:pStyle w:val="a2"/>
        <w:ind w:firstLineChars="0" w:firstLine="0"/>
      </w:pPr>
      <w:r w:rsidRPr="00306BDC">
        <w:lastRenderedPageBreak/>
        <w:t xml:space="preserve">We obtain the values for </w:t>
      </w:r>
      <w:r w:rsidR="0038014B" w:rsidRPr="00306BDC">
        <w:rPr>
          <w:noProof/>
          <w:position w:val="-10"/>
        </w:rPr>
        <w:object w:dxaOrig="380" w:dyaOrig="320" w14:anchorId="545661D7">
          <v:shape id="_x0000_i1081" type="#_x0000_t75" alt="" style="width:19.75pt;height:15.55pt;mso-width-percent:0;mso-height-percent:0;mso-width-percent:0;mso-height-percent:0" o:ole="">
            <v:imagedata r:id="rId296" o:title=""/>
          </v:shape>
          <o:OLEObject Type="Embed" ProgID="Equation.DSMT4" ShapeID="_x0000_i1081" DrawAspect="Content" ObjectID="_1758969550" r:id="rId302"/>
        </w:object>
      </w:r>
      <w:r w:rsidRPr="00306BDC">
        <w:rPr>
          <w:noProof/>
        </w:rPr>
        <w:t xml:space="preserve"> </w:t>
      </w:r>
      <w:r w:rsidRPr="00306BDC">
        <w:rPr>
          <w:rFonts w:eastAsia="DengXian"/>
        </w:rPr>
        <w:t xml:space="preserve">and </w:t>
      </w:r>
      <w:r w:rsidR="0038014B" w:rsidRPr="00306BDC">
        <w:rPr>
          <w:noProof/>
          <w:position w:val="-10"/>
        </w:rPr>
        <w:object w:dxaOrig="340" w:dyaOrig="320" w14:anchorId="079C6A8E">
          <v:shape id="_x0000_i1080" type="#_x0000_t75" alt="" style="width:15.55pt;height:15.55pt;mso-width-percent:0;mso-height-percent:0;mso-width-percent:0;mso-height-percent:0" o:ole="">
            <v:imagedata r:id="rId298" o:title=""/>
          </v:shape>
          <o:OLEObject Type="Embed" ProgID="Equation.DSMT4" ShapeID="_x0000_i1080" DrawAspect="Content" ObjectID="_1758969551" r:id="rId303"/>
        </w:object>
      </w:r>
      <w:r w:rsidRPr="00306BDC">
        <w:t xml:space="preserve"> that best fit (using ordinary least squares) the supply curve in Figure </w:t>
      </w:r>
      <w:r>
        <w:t>C3.</w:t>
      </w:r>
    </w:p>
    <w:p w14:paraId="25FBE788" w14:textId="77777777" w:rsidR="008F30F4" w:rsidRPr="00333C7B" w:rsidRDefault="008F30F4" w:rsidP="008F30F4">
      <w:pPr>
        <w:ind w:firstLine="720"/>
        <w:rPr>
          <w:rFonts w:eastAsia="DengXian" w:cs="Times New Roman"/>
          <w:sz w:val="22"/>
        </w:rPr>
      </w:pPr>
      <w:r w:rsidRPr="00333C7B">
        <w:rPr>
          <w:rFonts w:eastAsia="DengXian" w:cs="Times New Roman"/>
          <w:sz w:val="22"/>
        </w:rPr>
        <w:t xml:space="preserve">For hydroelectricity and nuclear </w:t>
      </w:r>
      <w:r>
        <w:rPr>
          <w:rFonts w:eastAsia="DengXian" w:cs="Times New Roman" w:hint="eastAsia"/>
          <w:sz w:val="22"/>
        </w:rPr>
        <w:t>elec</w:t>
      </w:r>
      <w:r>
        <w:rPr>
          <w:rFonts w:eastAsia="DengXian" w:cs="Times New Roman"/>
          <w:sz w:val="22"/>
        </w:rPr>
        <w:t>tricity</w:t>
      </w:r>
      <w:r w:rsidRPr="00333C7B">
        <w:rPr>
          <w:rFonts w:eastAsia="DengXian" w:cs="Times New Roman"/>
          <w:sz w:val="22"/>
        </w:rPr>
        <w:t>, we use Leontief production function</w:t>
      </w:r>
      <w:r>
        <w:rPr>
          <w:rFonts w:eastAsia="DengXian" w:cs="Times New Roman"/>
          <w:sz w:val="22"/>
        </w:rPr>
        <w:t xml:space="preserve">s, consistent with the fact that supplies of </w:t>
      </w:r>
      <w:r w:rsidRPr="00333C7B">
        <w:rPr>
          <w:rFonts w:eastAsia="DengXian" w:cs="Times New Roman"/>
          <w:sz w:val="22"/>
        </w:rPr>
        <w:t>hydro and nuclear electricity</w:t>
      </w:r>
      <w:r>
        <w:rPr>
          <w:rFonts w:eastAsia="DengXian" w:cs="Times New Roman"/>
          <w:sz w:val="22"/>
        </w:rPr>
        <w:t xml:space="preserve"> in China are</w:t>
      </w:r>
      <w:r w:rsidRPr="00333C7B">
        <w:rPr>
          <w:rFonts w:eastAsia="DengXian" w:cs="Times New Roman"/>
          <w:sz w:val="22"/>
        </w:rPr>
        <w:t xml:space="preserve"> mainly constrained by planning</w:t>
      </w:r>
      <w:r>
        <w:rPr>
          <w:rFonts w:eastAsia="DengXian" w:cs="Times New Roman"/>
          <w:sz w:val="22"/>
        </w:rPr>
        <w:t xml:space="preserve"> and</w:t>
      </w:r>
      <w:r w:rsidRPr="00333C7B">
        <w:rPr>
          <w:rFonts w:eastAsia="DengXian" w:cs="Times New Roman"/>
          <w:sz w:val="22"/>
        </w:rPr>
        <w:t xml:space="preserve"> </w:t>
      </w:r>
      <w:r>
        <w:rPr>
          <w:rFonts w:eastAsia="DengXian" w:cs="Times New Roman"/>
          <w:sz w:val="22"/>
        </w:rPr>
        <w:t xml:space="preserve">largely insensitive to electricity </w:t>
      </w:r>
      <w:r w:rsidRPr="00333C7B">
        <w:rPr>
          <w:rFonts w:eastAsia="DengXian" w:cs="Times New Roman"/>
          <w:sz w:val="22"/>
        </w:rPr>
        <w:t>price</w:t>
      </w:r>
      <w:r>
        <w:rPr>
          <w:rFonts w:eastAsia="DengXian" w:cs="Times New Roman"/>
          <w:sz w:val="22"/>
        </w:rPr>
        <w:t>s</w:t>
      </w:r>
      <w:r w:rsidRPr="00333C7B">
        <w:rPr>
          <w:rFonts w:eastAsia="DengXian" w:cs="Times New Roman"/>
          <w:sz w:val="22"/>
        </w:rPr>
        <w:t xml:space="preserve">. </w:t>
      </w:r>
      <w:r>
        <w:rPr>
          <w:rFonts w:eastAsia="DengXian" w:cs="Times New Roman"/>
          <w:sz w:val="22"/>
        </w:rPr>
        <w:t>Hence</w:t>
      </w:r>
      <w:r w:rsidRPr="00333C7B">
        <w:rPr>
          <w:rFonts w:eastAsia="DengXian" w:cs="Times New Roman"/>
          <w:sz w:val="22"/>
        </w:rPr>
        <w:t>, for</w:t>
      </w:r>
      <w:r>
        <w:rPr>
          <w:rFonts w:eastAsia="DengXian" w:cs="Times New Roman"/>
          <w:sz w:val="22"/>
        </w:rPr>
        <w:t xml:space="preserve"> these subsectors</w:t>
      </w:r>
      <w:r w:rsidRPr="00333C7B">
        <w:rPr>
          <w:rFonts w:eastAsia="DengXian" w:cs="Times New Roman"/>
          <w:sz w:val="22"/>
        </w:rPr>
        <w:t>,</w:t>
      </w:r>
      <w:r w:rsidR="0038014B" w:rsidRPr="00D5099F">
        <w:rPr>
          <w:noProof/>
          <w:position w:val="-10"/>
        </w:rPr>
        <w:object w:dxaOrig="720" w:dyaOrig="320" w14:anchorId="0C7857F4">
          <v:shape id="_x0000_i1079" type="#_x0000_t75" alt="" style="width:37.4pt;height:15.55pt;mso-width-percent:0;mso-height-percent:0;mso-width-percent:0;mso-height-percent:0" o:ole="">
            <v:imagedata r:id="rId304" o:title=""/>
          </v:shape>
          <o:OLEObject Type="Embed" ProgID="Equation.DSMT4" ShapeID="_x0000_i1079" DrawAspect="Content" ObjectID="_1758969552" r:id="rId305"/>
        </w:object>
      </w:r>
      <w:r>
        <w:rPr>
          <w:rFonts w:eastAsia="DengXian" w:cs="Times New Roman"/>
          <w:sz w:val="22"/>
        </w:rPr>
        <w:t>. The</w:t>
      </w:r>
      <w:r w:rsidRPr="00333C7B">
        <w:rPr>
          <w:rFonts w:eastAsia="DengXian" w:cs="Times New Roman"/>
          <w:sz w:val="22"/>
        </w:rPr>
        <w:t xml:space="preserve"> </w:t>
      </w:r>
      <w:r w:rsidR="0038014B" w:rsidRPr="00D5099F">
        <w:rPr>
          <w:noProof/>
          <w:position w:val="-10"/>
        </w:rPr>
        <w:object w:dxaOrig="340" w:dyaOrig="320" w14:anchorId="5730DA4B">
          <v:shape id="_x0000_i1078" type="#_x0000_t75" alt="" style="width:15.55pt;height:15.55pt;mso-width-percent:0;mso-height-percent:0;mso-width-percent:0;mso-height-percent:0" o:ole="">
            <v:imagedata r:id="rId306" o:title=""/>
          </v:shape>
          <o:OLEObject Type="Embed" ProgID="Equation.DSMT4" ShapeID="_x0000_i1078" DrawAspect="Content" ObjectID="_1758969553" r:id="rId307"/>
        </w:object>
      </w:r>
      <w:r>
        <w:rPr>
          <w:noProof/>
        </w:rPr>
        <w:t xml:space="preserve"> </w:t>
      </w:r>
      <w:r>
        <w:rPr>
          <w:rFonts w:eastAsia="DengXian" w:cs="Times New Roman"/>
          <w:sz w:val="22"/>
        </w:rPr>
        <w:t>parameter, representing the</w:t>
      </w:r>
      <w:r w:rsidRPr="00333C7B">
        <w:rPr>
          <w:rFonts w:eastAsia="DengXian" w:cs="Times New Roman"/>
          <w:sz w:val="22"/>
        </w:rPr>
        <w:t xml:space="preserve"> resource-related input </w:t>
      </w:r>
      <w:r>
        <w:rPr>
          <w:rFonts w:eastAsia="DengXian" w:cs="Times New Roman"/>
          <w:sz w:val="22"/>
        </w:rPr>
        <w:t>not</w:t>
      </w:r>
      <w:r w:rsidRPr="00333C7B">
        <w:rPr>
          <w:rFonts w:eastAsia="DengXian" w:cs="Times New Roman"/>
          <w:sz w:val="22"/>
        </w:rPr>
        <w:t xml:space="preserve"> </w:t>
      </w:r>
      <w:r>
        <w:rPr>
          <w:rFonts w:eastAsia="DengXian" w:cs="Times New Roman"/>
          <w:sz w:val="22"/>
        </w:rPr>
        <w:t>accounted for</w:t>
      </w:r>
      <w:r w:rsidRPr="00333C7B">
        <w:rPr>
          <w:rFonts w:eastAsia="DengXian" w:cs="Times New Roman"/>
          <w:sz w:val="22"/>
        </w:rPr>
        <w:t xml:space="preserve"> by other intermediate input</w:t>
      </w:r>
      <w:r>
        <w:rPr>
          <w:rFonts w:eastAsia="DengXian" w:cs="Times New Roman"/>
          <w:sz w:val="22"/>
        </w:rPr>
        <w:t>s</w:t>
      </w:r>
      <w:r w:rsidRPr="00333C7B">
        <w:rPr>
          <w:rFonts w:eastAsia="DengXian" w:cs="Times New Roman"/>
          <w:sz w:val="22"/>
        </w:rPr>
        <w:t xml:space="preserve"> </w:t>
      </w:r>
      <w:r>
        <w:rPr>
          <w:rFonts w:eastAsia="DengXian" w:cs="Times New Roman"/>
          <w:sz w:val="22"/>
        </w:rPr>
        <w:t>or factor inputs</w:t>
      </w:r>
      <w:r w:rsidRPr="00333C7B">
        <w:rPr>
          <w:rFonts w:eastAsia="DengXian" w:cs="Times New Roman"/>
          <w:sz w:val="22"/>
        </w:rPr>
        <w:t xml:space="preserve">, </w:t>
      </w:r>
      <w:r>
        <w:rPr>
          <w:rFonts w:eastAsia="DengXian" w:cs="Times New Roman"/>
          <w:sz w:val="22"/>
        </w:rPr>
        <w:t>is</w:t>
      </w:r>
      <w:r w:rsidRPr="00333C7B">
        <w:rPr>
          <w:rFonts w:eastAsia="DengXian" w:cs="Times New Roman"/>
          <w:sz w:val="22"/>
        </w:rPr>
        <w:t xml:space="preserve"> derived from </w:t>
      </w:r>
      <w:r>
        <w:rPr>
          <w:rFonts w:eastAsia="DengXian" w:cs="Times New Roman"/>
          <w:sz w:val="22"/>
        </w:rPr>
        <w:t xml:space="preserve">the </w:t>
      </w:r>
      <w:r w:rsidRPr="00333C7B">
        <w:rPr>
          <w:rFonts w:eastAsia="DengXian" w:cs="Times New Roman"/>
          <w:sz w:val="22"/>
        </w:rPr>
        <w:t xml:space="preserve">literature. </w:t>
      </w:r>
      <w:r>
        <w:rPr>
          <w:rFonts w:eastAsia="DengXian" w:cs="Times New Roman"/>
          <w:sz w:val="22"/>
        </w:rPr>
        <w:t xml:space="preserve">For </w:t>
      </w:r>
      <w:r w:rsidRPr="00333C7B">
        <w:rPr>
          <w:rFonts w:eastAsia="DengXian" w:cs="Times New Roman"/>
          <w:sz w:val="22"/>
        </w:rPr>
        <w:t>hydroelectricity</w:t>
      </w:r>
      <w:r>
        <w:rPr>
          <w:rFonts w:eastAsia="DengXian" w:cs="Times New Roman"/>
          <w:sz w:val="22"/>
        </w:rPr>
        <w:t>,</w:t>
      </w:r>
      <w:r w:rsidRPr="00333C7B">
        <w:rPr>
          <w:rFonts w:eastAsia="DengXian" w:cs="Times New Roman"/>
          <w:sz w:val="22"/>
        </w:rPr>
        <w:t xml:space="preserve"> </w:t>
      </w:r>
      <w:r>
        <w:rPr>
          <w:rFonts w:eastAsia="DengXian" w:cs="Times New Roman"/>
          <w:sz w:val="22"/>
        </w:rPr>
        <w:t xml:space="preserve">it </w:t>
      </w:r>
      <w:r w:rsidRPr="00333C7B">
        <w:rPr>
          <w:rFonts w:eastAsia="DengXian" w:cs="Times New Roman"/>
          <w:sz w:val="22"/>
        </w:rPr>
        <w:t xml:space="preserve">is calculated as the price difference between the hydroelectricity on-grid price (258.93 yuan/MWh) and the average on-grid electricity price (376.28 yuan/MWh) </w:t>
      </w:r>
      <w:r w:rsidRPr="00333C7B">
        <w:rPr>
          <w:rFonts w:eastAsia="DengXian" w:cs="Times New Roman"/>
          <w:sz w:val="22"/>
        </w:rPr>
        <w:fldChar w:fldCharType="begin"/>
      </w:r>
      <w:r>
        <w:rPr>
          <w:rFonts w:eastAsia="DengXian" w:cs="Times New Roman"/>
          <w:sz w:val="22"/>
        </w:rPr>
        <w:instrText xml:space="preserve"> ADDIN ZOTERO_ITEM CSL_CITATION {"citationID":"lGuPRnfp","properties":{"formattedCitation":"({\\i{}2017 Regulatory Report on National Electricity Pricing}, 2018)","plainCitation":"(2017 Regulatory Report on National Electricity Pricing, 2018)","dontUpdate":true,"noteIndex":0},"citationItems":[{"id":"VlUszWYZ/WGtti2IQ","uris":["http://zotero.org/users/7551265/items/93Y6X77J"],"itemData":{"id":476,"type":"report","event-place":"Beijing","publisher":"National Energy Administration","publisher-place":"Beijing","title":"2017 Regulatory report on national electricity pricing","issued":{"date-parts":[["2018"]]}}}],"schema":"https://github.com/citation-style-language/schema/raw/master/csl-citation.json"} </w:instrText>
      </w:r>
      <w:r w:rsidRPr="00333C7B">
        <w:rPr>
          <w:rFonts w:eastAsia="DengXian" w:cs="Times New Roman"/>
          <w:sz w:val="22"/>
        </w:rPr>
        <w:fldChar w:fldCharType="separate"/>
      </w:r>
      <w:r w:rsidRPr="00D100C7">
        <w:rPr>
          <w:rFonts w:cs="Times New Roman"/>
          <w:sz w:val="22"/>
        </w:rPr>
        <w:t>(</w:t>
      </w:r>
      <w:r>
        <w:rPr>
          <w:rFonts w:cs="Times New Roman"/>
          <w:sz w:val="22"/>
        </w:rPr>
        <w:t>NEA</w:t>
      </w:r>
      <w:r w:rsidRPr="00D100C7">
        <w:rPr>
          <w:rFonts w:cs="Times New Roman"/>
          <w:sz w:val="22"/>
        </w:rPr>
        <w:t>, 2018)</w:t>
      </w:r>
      <w:r w:rsidRPr="00333C7B">
        <w:rPr>
          <w:rFonts w:eastAsia="DengXian" w:cs="Times New Roman"/>
          <w:sz w:val="22"/>
        </w:rPr>
        <w:fldChar w:fldCharType="end"/>
      </w:r>
      <w:r w:rsidRPr="00333C7B">
        <w:rPr>
          <w:rFonts w:eastAsia="DengXian" w:cs="Times New Roman"/>
          <w:sz w:val="22"/>
        </w:rPr>
        <w:t>. The resulting</w:t>
      </w:r>
      <w:r>
        <w:rPr>
          <w:rFonts w:eastAsia="DengXian" w:cs="Times New Roman"/>
          <w:sz w:val="22"/>
        </w:rPr>
        <w:t xml:space="preserve"> </w:t>
      </w:r>
      <w:r w:rsidR="0038014B" w:rsidRPr="00D5099F">
        <w:rPr>
          <w:noProof/>
          <w:position w:val="-10"/>
        </w:rPr>
        <w:object w:dxaOrig="340" w:dyaOrig="320" w14:anchorId="35DA7C62">
          <v:shape id="_x0000_i1077" type="#_x0000_t75" alt="" style="width:15.55pt;height:15.55pt;mso-width-percent:0;mso-height-percent:0;mso-width-percent:0;mso-height-percent:0" o:ole="">
            <v:imagedata r:id="rId308" o:title=""/>
          </v:shape>
          <o:OLEObject Type="Embed" ProgID="Equation.DSMT4" ShapeID="_x0000_i1077" DrawAspect="Content" ObjectID="_1758969554" r:id="rId309"/>
        </w:object>
      </w:r>
      <w:r>
        <w:rPr>
          <w:rFonts w:eastAsia="DengXian" w:cs="Times New Roman"/>
          <w:sz w:val="22"/>
        </w:rPr>
        <w:t xml:space="preserve"> is </w:t>
      </w:r>
      <w:r w:rsidRPr="00333C7B">
        <w:rPr>
          <w:rFonts w:eastAsia="DengXian" w:cs="Times New Roman"/>
          <w:sz w:val="22"/>
        </w:rPr>
        <w:t xml:space="preserve">0.3119 </w:t>
      </w:r>
      <m:oMath>
        <m:r>
          <m:rPr>
            <m:sty m:val="p"/>
          </m:rPr>
          <w:rPr>
            <w:rFonts w:ascii="Cambria Math" w:eastAsia="DengXian" w:hAnsi="Cambria Math" w:cs="Times New Roman"/>
            <w:sz w:val="22"/>
          </w:rPr>
          <m:t>(=</m:t>
        </m:r>
        <m:f>
          <m:fPr>
            <m:ctrlPr>
              <w:rPr>
                <w:rFonts w:ascii="Cambria Math" w:eastAsia="DengXian" w:hAnsi="Cambria Math" w:cs="Times New Roman"/>
                <w:sz w:val="22"/>
              </w:rPr>
            </m:ctrlPr>
          </m:fPr>
          <m:num>
            <m:r>
              <m:rPr>
                <m:sty m:val="p"/>
              </m:rPr>
              <w:rPr>
                <w:rFonts w:ascii="Cambria Math" w:eastAsia="DengXian" w:hAnsi="Cambria Math" w:cs="Times New Roman"/>
                <w:sz w:val="22"/>
              </w:rPr>
              <m:t xml:space="preserve">376.28 -258.93 </m:t>
            </m:r>
          </m:num>
          <m:den>
            <m:r>
              <m:rPr>
                <m:sty m:val="p"/>
              </m:rPr>
              <w:rPr>
                <w:rFonts w:ascii="Cambria Math" w:eastAsia="DengXian" w:hAnsi="Cambria Math" w:cs="Times New Roman"/>
                <w:sz w:val="22"/>
              </w:rPr>
              <m:t>376.28</m:t>
            </m:r>
          </m:den>
        </m:f>
      </m:oMath>
      <w:r w:rsidRPr="00333C7B">
        <w:rPr>
          <w:rFonts w:eastAsia="DengXian" w:cs="Times New Roman"/>
          <w:sz w:val="22"/>
        </w:rPr>
        <w:t>).</w:t>
      </w:r>
      <w:r>
        <w:rPr>
          <w:rFonts w:eastAsia="DengXian" w:cs="Times New Roman"/>
          <w:sz w:val="22"/>
        </w:rPr>
        <w:t xml:space="preserve"> For nuclear electricity, </w:t>
      </w:r>
      <w:r w:rsidR="0038014B" w:rsidRPr="00D5099F">
        <w:rPr>
          <w:noProof/>
          <w:position w:val="-10"/>
        </w:rPr>
        <w:object w:dxaOrig="340" w:dyaOrig="320" w14:anchorId="25A5950D">
          <v:shape id="_x0000_i1076" type="#_x0000_t75" alt="" style="width:15.55pt;height:15.55pt;mso-width-percent:0;mso-height-percent:0;mso-width-percent:0;mso-height-percent:0" o:ole="">
            <v:imagedata r:id="rId310" o:title=""/>
          </v:shape>
          <o:OLEObject Type="Embed" ProgID="Equation.DSMT4" ShapeID="_x0000_i1076" DrawAspect="Content" ObjectID="_1758969555" r:id="rId311"/>
        </w:object>
      </w:r>
      <w:r>
        <w:rPr>
          <w:rFonts w:eastAsia="DengXian" w:cs="Times New Roman"/>
          <w:sz w:val="22"/>
        </w:rPr>
        <w:t xml:space="preserve"> equals</w:t>
      </w:r>
      <w:r w:rsidRPr="00333C7B" w:rsidDel="00976B4B">
        <w:rPr>
          <w:rFonts w:eastAsia="DengXian" w:cs="Times New Roman"/>
          <w:sz w:val="22"/>
        </w:rPr>
        <w:t xml:space="preserve"> </w:t>
      </w:r>
      <w:r>
        <w:rPr>
          <w:rFonts w:eastAsia="DengXian" w:cs="Times New Roman"/>
          <w:sz w:val="22"/>
        </w:rPr>
        <w:t>0.006</w:t>
      </w:r>
      <w:r w:rsidRPr="00333C7B">
        <w:rPr>
          <w:rFonts w:eastAsia="DengXian" w:cs="Times New Roman"/>
          <w:sz w:val="22"/>
        </w:rPr>
        <w:t xml:space="preserve"> </w:t>
      </w:r>
      <w:r>
        <w:rPr>
          <w:rFonts w:eastAsia="DengXian" w:cs="Times New Roman"/>
          <w:sz w:val="22"/>
        </w:rPr>
        <w:t xml:space="preserve">according to </w:t>
      </w:r>
      <w:r w:rsidRPr="00333C7B">
        <w:rPr>
          <w:rFonts w:eastAsia="DengXian" w:cs="Times New Roman"/>
          <w:sz w:val="22"/>
        </w:rPr>
        <w:t>the share of payment for regional society in its total cost (</w:t>
      </w:r>
      <w:r w:rsidRPr="00333C7B">
        <w:rPr>
          <w:rFonts w:eastAsia="DengXian" w:cs="Times New Roman"/>
          <w:sz w:val="22"/>
        </w:rPr>
        <w:fldChar w:fldCharType="begin"/>
      </w:r>
      <w:r>
        <w:rPr>
          <w:rFonts w:eastAsia="DengXian" w:cs="Times New Roman"/>
          <w:sz w:val="22"/>
        </w:rPr>
        <w:instrText xml:space="preserve"> ADDIN ZOTERO_ITEM CSL_CITATION {"citationID":"x7zsW6Vg","properties":{"formattedCitation":"(IAEA, n.d.)","plainCitation":"(IAEA, n.d.)","dontUpdate":true,"noteIndex":0},"citationItems":[{"id":"VlUszWYZ/2JoPMAtY","uris":["http://zotero.org/users/7551265/items/JXIGRMWD"],"itemData":{"id":481,"type":"book","collection-number":"No.NP-T-3.25","collection-title":"IAEA Nuclear Energy Series","event-place":"Vienna,Austria","publisher-place":"Vienna,Austria","title":"Economic Assessment of the Long Term Operation of Nuclear Power Plants: Approaches and Experience","URL":"https://www-pub.iaea.org/MTCD/Publications/PDF/PUB1813_web.pdf","author":[{"literal":"IAEA"}],"accessed":{"date-parts":[["2021",6,7]]},"issued":{"date-parts":[["2018"]]}}}],"schema":"https://github.com/citation-style-language/schema/raw/master/csl-citation.json"} </w:instrText>
      </w:r>
      <w:r w:rsidRPr="00333C7B">
        <w:rPr>
          <w:rFonts w:eastAsia="DengXian" w:cs="Times New Roman"/>
          <w:sz w:val="22"/>
        </w:rPr>
        <w:fldChar w:fldCharType="separate"/>
      </w:r>
      <w:r w:rsidRPr="00333C7B">
        <w:rPr>
          <w:rFonts w:eastAsia="DengXian" w:cs="Times New Roman"/>
          <w:sz w:val="22"/>
        </w:rPr>
        <w:t>IAEA,</w:t>
      </w:r>
      <w:r>
        <w:rPr>
          <w:rFonts w:eastAsia="DengXian" w:cs="Times New Roman"/>
          <w:sz w:val="22"/>
        </w:rPr>
        <w:t xml:space="preserve"> </w:t>
      </w:r>
      <w:r w:rsidRPr="00333C7B">
        <w:rPr>
          <w:rFonts w:eastAsia="DengXian" w:cs="Times New Roman"/>
          <w:sz w:val="22"/>
        </w:rPr>
        <w:t>2018</w:t>
      </w:r>
      <w:r w:rsidRPr="00333C7B">
        <w:rPr>
          <w:rFonts w:eastAsia="DengXian" w:cs="Times New Roman"/>
          <w:sz w:val="22"/>
        </w:rPr>
        <w:fldChar w:fldCharType="end"/>
      </w:r>
      <w:r w:rsidRPr="00333C7B">
        <w:rPr>
          <w:rFonts w:eastAsia="DengXian" w:cs="Times New Roman"/>
          <w:sz w:val="22"/>
        </w:rPr>
        <w:t xml:space="preserve">). </w:t>
      </w:r>
    </w:p>
    <w:p w14:paraId="4BEE026E" w14:textId="77777777" w:rsidR="008F30F4" w:rsidRDefault="008F30F4" w:rsidP="008F30F4">
      <w:pPr>
        <w:ind w:firstLine="720"/>
        <w:rPr>
          <w:rFonts w:eastAsia="SimSun" w:cs="Times New Roman"/>
          <w:b/>
          <w:bCs/>
          <w:i/>
          <w:iCs/>
          <w:color w:val="000000"/>
          <w:szCs w:val="21"/>
        </w:rPr>
      </w:pPr>
    </w:p>
    <w:p w14:paraId="04E00E61" w14:textId="77777777" w:rsidR="008F30F4" w:rsidRDefault="008F30F4" w:rsidP="008F30F4">
      <w:pPr>
        <w:ind w:firstLine="0"/>
        <w:rPr>
          <w:rFonts w:eastAsia="SimSun" w:cs="Times New Roman"/>
          <w:b/>
          <w:bCs/>
          <w:i/>
          <w:iCs/>
          <w:color w:val="000000"/>
          <w:szCs w:val="21"/>
        </w:rPr>
      </w:pPr>
      <w:r>
        <w:rPr>
          <w:rFonts w:eastAsia="SimSun" w:cs="Times New Roman"/>
          <w:b/>
          <w:bCs/>
          <w:i/>
          <w:iCs/>
          <w:color w:val="000000"/>
          <w:szCs w:val="21"/>
        </w:rPr>
        <w:t xml:space="preserve">Parameters related to </w:t>
      </w:r>
      <w:r w:rsidRPr="008C712C">
        <w:rPr>
          <w:rFonts w:eastAsia="SimSun" w:cs="Times New Roman"/>
          <w:b/>
          <w:bCs/>
          <w:i/>
          <w:iCs/>
          <w:color w:val="000000"/>
          <w:szCs w:val="21"/>
        </w:rPr>
        <w:t>State-Owned Enterprises</w:t>
      </w:r>
      <w:r>
        <w:rPr>
          <w:rFonts w:eastAsia="SimSun" w:cs="Times New Roman"/>
          <w:b/>
          <w:bCs/>
          <w:i/>
          <w:iCs/>
          <w:color w:val="000000"/>
          <w:szCs w:val="21"/>
        </w:rPr>
        <w:t xml:space="preserve"> </w:t>
      </w:r>
    </w:p>
    <w:p w14:paraId="22945F9B" w14:textId="77777777" w:rsidR="008F30F4" w:rsidRPr="00EC5B7E" w:rsidRDefault="008F30F4" w:rsidP="008F30F4">
      <w:pPr>
        <w:ind w:firstLineChars="327" w:firstLine="719"/>
        <w:rPr>
          <w:rFonts w:cs="Times New Roman"/>
          <w:sz w:val="22"/>
          <w:szCs w:val="22"/>
        </w:rPr>
      </w:pPr>
      <w:r w:rsidRPr="00EC5B7E">
        <w:rPr>
          <w:rFonts w:cs="Times New Roman"/>
          <w:sz w:val="22"/>
          <w:szCs w:val="22"/>
        </w:rPr>
        <w:t xml:space="preserve">As indicated in </w:t>
      </w:r>
      <w:r>
        <w:rPr>
          <w:rFonts w:cs="Times New Roman"/>
          <w:sz w:val="22"/>
          <w:szCs w:val="22"/>
        </w:rPr>
        <w:t xml:space="preserve">the main text and </w:t>
      </w:r>
      <w:r w:rsidRPr="00EC5B7E">
        <w:rPr>
          <w:rFonts w:cs="Times New Roman"/>
          <w:sz w:val="22"/>
          <w:szCs w:val="22"/>
        </w:rPr>
        <w:t xml:space="preserve">Appendix A, the model assumes there are two representative firms in each sector (or in each subsector, when subsectors are identified), with one representing SOEs and one representing POEs. Table </w:t>
      </w:r>
      <w:r>
        <w:rPr>
          <w:rFonts w:cs="Times New Roman"/>
          <w:sz w:val="22"/>
          <w:szCs w:val="22"/>
        </w:rPr>
        <w:t xml:space="preserve">C3 </w:t>
      </w:r>
      <w:r w:rsidRPr="00EC5B7E">
        <w:rPr>
          <w:rFonts w:cs="Times New Roman"/>
          <w:sz w:val="22"/>
          <w:szCs w:val="22"/>
        </w:rPr>
        <w:t xml:space="preserve">presents for each sector the total output value and the SOE value share, based on data from the China Industrial Enterprise Database and the China Input-Output Table. </w:t>
      </w:r>
    </w:p>
    <w:p w14:paraId="312471E9" w14:textId="77777777" w:rsidR="008F30F4" w:rsidRDefault="008F30F4" w:rsidP="008F30F4">
      <w:pPr>
        <w:ind w:firstLineChars="327" w:firstLine="719"/>
        <w:rPr>
          <w:rFonts w:cs="Times New Roman"/>
          <w:sz w:val="22"/>
        </w:rPr>
      </w:pPr>
      <w:bookmarkStart w:id="8" w:name="_Hlk139447588"/>
    </w:p>
    <w:p w14:paraId="5E32BEC0" w14:textId="77777777" w:rsidR="008F30F4" w:rsidRDefault="008F30F4" w:rsidP="008F30F4">
      <w:pPr>
        <w:spacing w:before="0" w:line="240" w:lineRule="auto"/>
        <w:ind w:firstLine="0"/>
        <w:rPr>
          <w:rFonts w:eastAsia="SimSun" w:cs="Times New Roman"/>
          <w:b/>
          <w:bCs/>
          <w:color w:val="000000"/>
          <w:sz w:val="22"/>
          <w:szCs w:val="22"/>
        </w:rPr>
      </w:pPr>
      <w:r>
        <w:rPr>
          <w:rFonts w:eastAsia="SimSun" w:cs="Times New Roman"/>
          <w:b/>
          <w:bCs/>
          <w:color w:val="000000"/>
          <w:sz w:val="22"/>
          <w:szCs w:val="22"/>
        </w:rPr>
        <w:br w:type="page"/>
      </w:r>
    </w:p>
    <w:p w14:paraId="5BCCB40C" w14:textId="77777777" w:rsidR="008F30F4" w:rsidRPr="00CB43F7" w:rsidRDefault="008F30F4" w:rsidP="008F30F4">
      <w:pPr>
        <w:ind w:firstLine="0"/>
        <w:jc w:val="center"/>
        <w:rPr>
          <w:rFonts w:cs="Times New Roman"/>
          <w:b/>
          <w:bCs/>
          <w:sz w:val="22"/>
          <w:szCs w:val="22"/>
        </w:rPr>
      </w:pPr>
      <w:r w:rsidRPr="00CB43F7">
        <w:rPr>
          <w:rFonts w:eastAsia="SimSun" w:cs="Times New Roman"/>
          <w:b/>
          <w:bCs/>
          <w:color w:val="000000"/>
          <w:sz w:val="22"/>
          <w:szCs w:val="22"/>
        </w:rPr>
        <w:lastRenderedPageBreak/>
        <w:t xml:space="preserve">Table </w:t>
      </w:r>
      <w:r>
        <w:rPr>
          <w:rFonts w:eastAsia="SimSun" w:cs="Times New Roman"/>
          <w:b/>
          <w:bCs/>
          <w:color w:val="000000"/>
          <w:sz w:val="22"/>
          <w:szCs w:val="22"/>
        </w:rPr>
        <w:t>C3</w:t>
      </w:r>
      <w:r w:rsidRPr="00CB43F7">
        <w:rPr>
          <w:rFonts w:eastAsia="SimSun" w:cs="Times New Roman"/>
          <w:b/>
          <w:bCs/>
          <w:color w:val="000000"/>
          <w:sz w:val="22"/>
          <w:szCs w:val="22"/>
        </w:rPr>
        <w:t>. State-Owned Enterprises - Shares of Output</w:t>
      </w:r>
    </w:p>
    <w:tbl>
      <w:tblPr>
        <w:tblW w:w="7585" w:type="dxa"/>
        <w:tblInd w:w="450" w:type="dxa"/>
        <w:tblLayout w:type="fixed"/>
        <w:tblLook w:val="04A0" w:firstRow="1" w:lastRow="0" w:firstColumn="1" w:lastColumn="0" w:noHBand="0" w:noVBand="1"/>
      </w:tblPr>
      <w:tblGrid>
        <w:gridCol w:w="3150"/>
        <w:gridCol w:w="2700"/>
        <w:gridCol w:w="1735"/>
      </w:tblGrid>
      <w:tr w:rsidR="008F30F4" w14:paraId="0F71C1CE" w14:textId="77777777" w:rsidTr="001F21E7">
        <w:trPr>
          <w:trHeight w:val="288"/>
        </w:trPr>
        <w:tc>
          <w:tcPr>
            <w:tcW w:w="3150" w:type="dxa"/>
            <w:tcBorders>
              <w:top w:val="single" w:sz="4" w:space="0" w:color="auto"/>
              <w:left w:val="nil"/>
              <w:bottom w:val="single" w:sz="4" w:space="0" w:color="auto"/>
              <w:right w:val="nil"/>
            </w:tcBorders>
            <w:noWrap/>
            <w:vAlign w:val="center"/>
            <w:hideMark/>
          </w:tcPr>
          <w:p w14:paraId="57242A91" w14:textId="77777777" w:rsidR="008F30F4" w:rsidRPr="00BE3F8D" w:rsidRDefault="008F30F4" w:rsidP="001F21E7">
            <w:pPr>
              <w:spacing w:before="0" w:line="240" w:lineRule="auto"/>
              <w:ind w:hanging="13"/>
              <w:contextualSpacing/>
              <w:jc w:val="center"/>
              <w:rPr>
                <w:rFonts w:eastAsia="DengXian" w:cs="Times New Roman"/>
                <w:color w:val="000000"/>
                <w:sz w:val="22"/>
              </w:rPr>
            </w:pPr>
            <w:r w:rsidRPr="00BE3F8D">
              <w:rPr>
                <w:rFonts w:eastAsia="DengXian" w:cs="Times New Roman"/>
                <w:color w:val="000000"/>
                <w:sz w:val="22"/>
              </w:rPr>
              <w:t>Sector</w:t>
            </w:r>
          </w:p>
        </w:tc>
        <w:tc>
          <w:tcPr>
            <w:tcW w:w="2700" w:type="dxa"/>
            <w:tcBorders>
              <w:top w:val="single" w:sz="4" w:space="0" w:color="auto"/>
              <w:left w:val="nil"/>
              <w:bottom w:val="single" w:sz="4" w:space="0" w:color="auto"/>
              <w:right w:val="nil"/>
            </w:tcBorders>
            <w:noWrap/>
            <w:vAlign w:val="center"/>
            <w:hideMark/>
          </w:tcPr>
          <w:p w14:paraId="2181E055" w14:textId="77777777" w:rsidR="008F30F4" w:rsidRPr="00BE3F8D" w:rsidRDefault="008F30F4" w:rsidP="001F21E7">
            <w:pPr>
              <w:spacing w:before="0" w:line="240" w:lineRule="auto"/>
              <w:ind w:firstLine="0"/>
              <w:contextualSpacing/>
              <w:jc w:val="center"/>
              <w:rPr>
                <w:rFonts w:eastAsia="DengXian" w:cs="Times New Roman"/>
                <w:color w:val="000000"/>
                <w:sz w:val="22"/>
              </w:rPr>
            </w:pPr>
            <w:r w:rsidRPr="00BE3F8D">
              <w:rPr>
                <w:rFonts w:eastAsia="DengXian" w:cs="Times New Roman"/>
                <w:color w:val="000000"/>
                <w:sz w:val="22"/>
              </w:rPr>
              <w:t>Benchmark-year output</w:t>
            </w:r>
          </w:p>
          <w:p w14:paraId="0E87E6B0" w14:textId="77777777" w:rsidR="008F30F4" w:rsidRPr="00BE3F8D" w:rsidRDefault="008F30F4" w:rsidP="001F21E7">
            <w:pPr>
              <w:spacing w:before="0" w:line="240" w:lineRule="auto"/>
              <w:ind w:firstLine="0"/>
              <w:contextualSpacing/>
              <w:jc w:val="center"/>
              <w:rPr>
                <w:rFonts w:eastAsia="DengXian" w:cs="Times New Roman"/>
                <w:color w:val="000000"/>
                <w:sz w:val="22"/>
              </w:rPr>
            </w:pPr>
            <w:r w:rsidRPr="00BE3F8D">
              <w:rPr>
                <w:rFonts w:eastAsia="DengXian" w:cs="Times New Roman"/>
                <w:color w:val="000000"/>
                <w:sz w:val="22"/>
              </w:rPr>
              <w:t>(trillion RMB)</w:t>
            </w:r>
          </w:p>
        </w:tc>
        <w:tc>
          <w:tcPr>
            <w:tcW w:w="1735" w:type="dxa"/>
            <w:tcBorders>
              <w:top w:val="single" w:sz="4" w:space="0" w:color="auto"/>
              <w:left w:val="nil"/>
              <w:bottom w:val="single" w:sz="4" w:space="0" w:color="auto"/>
              <w:right w:val="nil"/>
            </w:tcBorders>
            <w:noWrap/>
            <w:vAlign w:val="center"/>
            <w:hideMark/>
          </w:tcPr>
          <w:p w14:paraId="0EA99E32" w14:textId="77777777" w:rsidR="008F30F4" w:rsidRPr="00BE3F8D" w:rsidRDefault="008F30F4" w:rsidP="001F21E7">
            <w:pPr>
              <w:spacing w:before="0" w:line="240" w:lineRule="auto"/>
              <w:ind w:leftChars="-1" w:left="-2" w:firstLine="0"/>
              <w:contextualSpacing/>
              <w:jc w:val="center"/>
              <w:rPr>
                <w:rFonts w:eastAsia="DengXian" w:cs="Times New Roman"/>
                <w:color w:val="000000"/>
                <w:sz w:val="22"/>
              </w:rPr>
            </w:pPr>
            <w:r w:rsidRPr="00BE3F8D">
              <w:rPr>
                <w:rFonts w:eastAsia="DengXian" w:cs="Times New Roman"/>
                <w:color w:val="000000"/>
                <w:sz w:val="22"/>
              </w:rPr>
              <w:t>SOE share</w:t>
            </w:r>
          </w:p>
          <w:p w14:paraId="1C2696BE" w14:textId="77777777" w:rsidR="008F30F4" w:rsidRPr="00BE3F8D" w:rsidRDefault="008F30F4" w:rsidP="001F21E7">
            <w:pPr>
              <w:spacing w:before="0" w:line="240" w:lineRule="auto"/>
              <w:ind w:leftChars="-1" w:left="-2" w:firstLine="0"/>
              <w:contextualSpacing/>
              <w:jc w:val="center"/>
              <w:rPr>
                <w:rFonts w:eastAsia="DengXian" w:cs="Times New Roman"/>
                <w:color w:val="000000"/>
                <w:sz w:val="22"/>
              </w:rPr>
            </w:pPr>
            <w:r w:rsidRPr="00BE3F8D">
              <w:rPr>
                <w:rFonts w:eastAsia="DengXian" w:cs="Times New Roman"/>
                <w:color w:val="000000"/>
                <w:sz w:val="22"/>
              </w:rPr>
              <w:t>(percent)</w:t>
            </w:r>
          </w:p>
        </w:tc>
      </w:tr>
      <w:tr w:rsidR="008F30F4" w14:paraId="151FA4F5" w14:textId="77777777" w:rsidTr="001F21E7">
        <w:trPr>
          <w:trHeight w:val="288"/>
        </w:trPr>
        <w:tc>
          <w:tcPr>
            <w:tcW w:w="3150" w:type="dxa"/>
            <w:tcBorders>
              <w:top w:val="single" w:sz="4" w:space="0" w:color="auto"/>
            </w:tcBorders>
            <w:noWrap/>
            <w:vAlign w:val="center"/>
            <w:hideMark/>
          </w:tcPr>
          <w:p w14:paraId="1A24B9F4"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Cement</w:t>
            </w:r>
          </w:p>
        </w:tc>
        <w:tc>
          <w:tcPr>
            <w:tcW w:w="2700" w:type="dxa"/>
            <w:tcBorders>
              <w:top w:val="single" w:sz="4" w:space="0" w:color="auto"/>
            </w:tcBorders>
            <w:noWrap/>
            <w:vAlign w:val="bottom"/>
            <w:hideMark/>
          </w:tcPr>
          <w:p w14:paraId="0DFE8F60"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0.71</w:t>
            </w:r>
          </w:p>
        </w:tc>
        <w:tc>
          <w:tcPr>
            <w:tcW w:w="1735" w:type="dxa"/>
            <w:tcBorders>
              <w:top w:val="single" w:sz="4" w:space="0" w:color="auto"/>
            </w:tcBorders>
            <w:noWrap/>
            <w:vAlign w:val="center"/>
            <w:hideMark/>
          </w:tcPr>
          <w:p w14:paraId="79CEFF28"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36</w:t>
            </w:r>
          </w:p>
        </w:tc>
      </w:tr>
      <w:tr w:rsidR="008F30F4" w14:paraId="725C8A31" w14:textId="77777777" w:rsidTr="001F21E7">
        <w:trPr>
          <w:trHeight w:val="288"/>
        </w:trPr>
        <w:tc>
          <w:tcPr>
            <w:tcW w:w="3150" w:type="dxa"/>
            <w:noWrap/>
            <w:vAlign w:val="center"/>
            <w:hideMark/>
          </w:tcPr>
          <w:p w14:paraId="7A08158E"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Iron &amp; steel</w:t>
            </w:r>
          </w:p>
        </w:tc>
        <w:tc>
          <w:tcPr>
            <w:tcW w:w="2700" w:type="dxa"/>
            <w:noWrap/>
            <w:vAlign w:val="bottom"/>
            <w:hideMark/>
          </w:tcPr>
          <w:p w14:paraId="232FDE86"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5.89</w:t>
            </w:r>
          </w:p>
        </w:tc>
        <w:tc>
          <w:tcPr>
            <w:tcW w:w="1735" w:type="dxa"/>
            <w:noWrap/>
            <w:vAlign w:val="center"/>
            <w:hideMark/>
          </w:tcPr>
          <w:p w14:paraId="7E7890EB"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36</w:t>
            </w:r>
          </w:p>
        </w:tc>
      </w:tr>
      <w:tr w:rsidR="008F30F4" w14:paraId="19279EEC" w14:textId="77777777" w:rsidTr="001F21E7">
        <w:trPr>
          <w:trHeight w:val="288"/>
        </w:trPr>
        <w:tc>
          <w:tcPr>
            <w:tcW w:w="3150" w:type="dxa"/>
            <w:noWrap/>
            <w:vAlign w:val="center"/>
            <w:hideMark/>
          </w:tcPr>
          <w:p w14:paraId="632E7FB2"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Aluminum</w:t>
            </w:r>
          </w:p>
        </w:tc>
        <w:tc>
          <w:tcPr>
            <w:tcW w:w="2700" w:type="dxa"/>
            <w:noWrap/>
            <w:vAlign w:val="bottom"/>
            <w:hideMark/>
          </w:tcPr>
          <w:p w14:paraId="09E5C049"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0.72</w:t>
            </w:r>
          </w:p>
        </w:tc>
        <w:tc>
          <w:tcPr>
            <w:tcW w:w="1735" w:type="dxa"/>
            <w:noWrap/>
            <w:vAlign w:val="center"/>
            <w:hideMark/>
          </w:tcPr>
          <w:p w14:paraId="4E0E6438"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31</w:t>
            </w:r>
          </w:p>
        </w:tc>
      </w:tr>
      <w:tr w:rsidR="008F30F4" w14:paraId="41A294CC" w14:textId="77777777" w:rsidTr="001F21E7">
        <w:trPr>
          <w:trHeight w:val="288"/>
        </w:trPr>
        <w:tc>
          <w:tcPr>
            <w:tcW w:w="3150" w:type="dxa"/>
            <w:noWrap/>
            <w:vAlign w:val="center"/>
            <w:hideMark/>
          </w:tcPr>
          <w:p w14:paraId="200890C3"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Pulp &amp; paper</w:t>
            </w:r>
          </w:p>
        </w:tc>
        <w:tc>
          <w:tcPr>
            <w:tcW w:w="2700" w:type="dxa"/>
            <w:noWrap/>
            <w:vAlign w:val="bottom"/>
            <w:hideMark/>
          </w:tcPr>
          <w:p w14:paraId="03A65831"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1.92</w:t>
            </w:r>
          </w:p>
        </w:tc>
        <w:tc>
          <w:tcPr>
            <w:tcW w:w="1735" w:type="dxa"/>
            <w:noWrap/>
            <w:vAlign w:val="center"/>
            <w:hideMark/>
          </w:tcPr>
          <w:p w14:paraId="1F9210FE"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8</w:t>
            </w:r>
          </w:p>
        </w:tc>
      </w:tr>
      <w:tr w:rsidR="008F30F4" w14:paraId="544CF59D" w14:textId="77777777" w:rsidTr="001F21E7">
        <w:trPr>
          <w:trHeight w:val="288"/>
        </w:trPr>
        <w:tc>
          <w:tcPr>
            <w:tcW w:w="3150" w:type="dxa"/>
            <w:noWrap/>
            <w:vAlign w:val="center"/>
            <w:hideMark/>
          </w:tcPr>
          <w:p w14:paraId="15333C9D"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Other non-metal products</w:t>
            </w:r>
          </w:p>
        </w:tc>
        <w:tc>
          <w:tcPr>
            <w:tcW w:w="2700" w:type="dxa"/>
            <w:noWrap/>
            <w:vAlign w:val="bottom"/>
            <w:hideMark/>
          </w:tcPr>
          <w:p w14:paraId="69A91917"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5.89</w:t>
            </w:r>
          </w:p>
        </w:tc>
        <w:tc>
          <w:tcPr>
            <w:tcW w:w="1735" w:type="dxa"/>
            <w:noWrap/>
            <w:vAlign w:val="center"/>
            <w:hideMark/>
          </w:tcPr>
          <w:p w14:paraId="17348131"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36</w:t>
            </w:r>
          </w:p>
        </w:tc>
      </w:tr>
      <w:tr w:rsidR="008F30F4" w14:paraId="54C84158" w14:textId="77777777" w:rsidTr="001F21E7">
        <w:trPr>
          <w:trHeight w:val="288"/>
        </w:trPr>
        <w:tc>
          <w:tcPr>
            <w:tcW w:w="3150" w:type="dxa"/>
            <w:noWrap/>
            <w:vAlign w:val="center"/>
            <w:hideMark/>
          </w:tcPr>
          <w:p w14:paraId="27776672"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Other non-ferrous metals</w:t>
            </w:r>
          </w:p>
        </w:tc>
        <w:tc>
          <w:tcPr>
            <w:tcW w:w="2700" w:type="dxa"/>
            <w:noWrap/>
            <w:vAlign w:val="bottom"/>
            <w:hideMark/>
          </w:tcPr>
          <w:p w14:paraId="2AA1F829"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4.21</w:t>
            </w:r>
          </w:p>
        </w:tc>
        <w:tc>
          <w:tcPr>
            <w:tcW w:w="1735" w:type="dxa"/>
            <w:noWrap/>
            <w:vAlign w:val="center"/>
            <w:hideMark/>
          </w:tcPr>
          <w:p w14:paraId="22BA0115"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31</w:t>
            </w:r>
          </w:p>
        </w:tc>
      </w:tr>
      <w:tr w:rsidR="008F30F4" w14:paraId="20AB8918" w14:textId="77777777" w:rsidTr="001F21E7">
        <w:trPr>
          <w:trHeight w:val="288"/>
        </w:trPr>
        <w:tc>
          <w:tcPr>
            <w:tcW w:w="3150" w:type="dxa"/>
            <w:noWrap/>
            <w:vAlign w:val="center"/>
            <w:hideMark/>
          </w:tcPr>
          <w:p w14:paraId="217FA815"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Raw chemicals</w:t>
            </w:r>
          </w:p>
        </w:tc>
        <w:tc>
          <w:tcPr>
            <w:tcW w:w="2700" w:type="dxa"/>
            <w:noWrap/>
            <w:vAlign w:val="bottom"/>
            <w:hideMark/>
          </w:tcPr>
          <w:p w14:paraId="396002AC"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8.49</w:t>
            </w:r>
          </w:p>
        </w:tc>
        <w:tc>
          <w:tcPr>
            <w:tcW w:w="1735" w:type="dxa"/>
            <w:noWrap/>
            <w:vAlign w:val="center"/>
            <w:hideMark/>
          </w:tcPr>
          <w:p w14:paraId="3353608B"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20</w:t>
            </w:r>
          </w:p>
        </w:tc>
      </w:tr>
      <w:tr w:rsidR="008F30F4" w14:paraId="087018F4" w14:textId="77777777" w:rsidTr="001F21E7">
        <w:trPr>
          <w:trHeight w:val="288"/>
        </w:trPr>
        <w:tc>
          <w:tcPr>
            <w:tcW w:w="3150" w:type="dxa"/>
            <w:noWrap/>
            <w:vAlign w:val="center"/>
            <w:hideMark/>
          </w:tcPr>
          <w:p w14:paraId="6FB713F7"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 xml:space="preserve">Agriculture </w:t>
            </w:r>
          </w:p>
        </w:tc>
        <w:tc>
          <w:tcPr>
            <w:tcW w:w="2700" w:type="dxa"/>
            <w:noWrap/>
            <w:vAlign w:val="bottom"/>
            <w:hideMark/>
          </w:tcPr>
          <w:p w14:paraId="5D85D80D"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11.89</w:t>
            </w:r>
          </w:p>
        </w:tc>
        <w:tc>
          <w:tcPr>
            <w:tcW w:w="1735" w:type="dxa"/>
            <w:noWrap/>
            <w:vAlign w:val="center"/>
            <w:hideMark/>
          </w:tcPr>
          <w:p w14:paraId="72BE4529"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5</w:t>
            </w:r>
          </w:p>
        </w:tc>
      </w:tr>
      <w:tr w:rsidR="008F30F4" w14:paraId="4585E5F9" w14:textId="77777777" w:rsidTr="001F21E7">
        <w:trPr>
          <w:trHeight w:val="288"/>
        </w:trPr>
        <w:tc>
          <w:tcPr>
            <w:tcW w:w="3150" w:type="dxa"/>
            <w:noWrap/>
            <w:vAlign w:val="center"/>
            <w:hideMark/>
          </w:tcPr>
          <w:p w14:paraId="4F7A0136"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Mining</w:t>
            </w:r>
          </w:p>
        </w:tc>
        <w:tc>
          <w:tcPr>
            <w:tcW w:w="2700" w:type="dxa"/>
            <w:noWrap/>
            <w:vAlign w:val="bottom"/>
            <w:hideMark/>
          </w:tcPr>
          <w:p w14:paraId="168D53C7"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1.98</w:t>
            </w:r>
          </w:p>
        </w:tc>
        <w:tc>
          <w:tcPr>
            <w:tcW w:w="1735" w:type="dxa"/>
            <w:noWrap/>
            <w:vAlign w:val="center"/>
            <w:hideMark/>
          </w:tcPr>
          <w:p w14:paraId="46D3C6FE"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51</w:t>
            </w:r>
          </w:p>
        </w:tc>
      </w:tr>
      <w:tr w:rsidR="008F30F4" w14:paraId="50E90CA3" w14:textId="77777777" w:rsidTr="001F21E7">
        <w:trPr>
          <w:trHeight w:val="288"/>
        </w:trPr>
        <w:tc>
          <w:tcPr>
            <w:tcW w:w="3150" w:type="dxa"/>
            <w:noWrap/>
            <w:vAlign w:val="center"/>
            <w:hideMark/>
          </w:tcPr>
          <w:p w14:paraId="3CD46A48"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Food</w:t>
            </w:r>
          </w:p>
        </w:tc>
        <w:tc>
          <w:tcPr>
            <w:tcW w:w="2700" w:type="dxa"/>
            <w:noWrap/>
            <w:vAlign w:val="bottom"/>
            <w:hideMark/>
          </w:tcPr>
          <w:p w14:paraId="3BFE2A6B"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13.22</w:t>
            </w:r>
          </w:p>
        </w:tc>
        <w:tc>
          <w:tcPr>
            <w:tcW w:w="1735" w:type="dxa"/>
            <w:noWrap/>
            <w:vAlign w:val="center"/>
            <w:hideMark/>
          </w:tcPr>
          <w:p w14:paraId="20AE11AE"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23</w:t>
            </w:r>
          </w:p>
        </w:tc>
      </w:tr>
      <w:tr w:rsidR="008F30F4" w14:paraId="55C73743" w14:textId="77777777" w:rsidTr="001F21E7">
        <w:trPr>
          <w:trHeight w:val="288"/>
        </w:trPr>
        <w:tc>
          <w:tcPr>
            <w:tcW w:w="3150" w:type="dxa"/>
            <w:noWrap/>
            <w:vAlign w:val="center"/>
            <w:hideMark/>
          </w:tcPr>
          <w:p w14:paraId="1796AD8C"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Textile</w:t>
            </w:r>
          </w:p>
        </w:tc>
        <w:tc>
          <w:tcPr>
            <w:tcW w:w="2700" w:type="dxa"/>
            <w:noWrap/>
            <w:vAlign w:val="bottom"/>
            <w:hideMark/>
          </w:tcPr>
          <w:p w14:paraId="0A8C8FA8"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4.04</w:t>
            </w:r>
          </w:p>
        </w:tc>
        <w:tc>
          <w:tcPr>
            <w:tcW w:w="1735" w:type="dxa"/>
            <w:noWrap/>
            <w:vAlign w:val="center"/>
            <w:hideMark/>
          </w:tcPr>
          <w:p w14:paraId="4D6FD18F"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3</w:t>
            </w:r>
          </w:p>
        </w:tc>
      </w:tr>
      <w:tr w:rsidR="008F30F4" w14:paraId="172F70CB" w14:textId="77777777" w:rsidTr="001F21E7">
        <w:trPr>
          <w:trHeight w:val="288"/>
        </w:trPr>
        <w:tc>
          <w:tcPr>
            <w:tcW w:w="3150" w:type="dxa"/>
            <w:noWrap/>
            <w:vAlign w:val="center"/>
            <w:hideMark/>
          </w:tcPr>
          <w:p w14:paraId="569FD6C9"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Clothing</w:t>
            </w:r>
          </w:p>
        </w:tc>
        <w:tc>
          <w:tcPr>
            <w:tcW w:w="2700" w:type="dxa"/>
            <w:noWrap/>
            <w:vAlign w:val="bottom"/>
            <w:hideMark/>
          </w:tcPr>
          <w:p w14:paraId="4CFFC7DE"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4.26</w:t>
            </w:r>
          </w:p>
        </w:tc>
        <w:tc>
          <w:tcPr>
            <w:tcW w:w="1735" w:type="dxa"/>
            <w:noWrap/>
            <w:vAlign w:val="center"/>
            <w:hideMark/>
          </w:tcPr>
          <w:p w14:paraId="0BA36A3E"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2</w:t>
            </w:r>
          </w:p>
        </w:tc>
      </w:tr>
      <w:tr w:rsidR="008F30F4" w14:paraId="691106CA" w14:textId="77777777" w:rsidTr="001F21E7">
        <w:trPr>
          <w:trHeight w:val="288"/>
        </w:trPr>
        <w:tc>
          <w:tcPr>
            <w:tcW w:w="3150" w:type="dxa"/>
            <w:noWrap/>
            <w:vAlign w:val="center"/>
            <w:hideMark/>
          </w:tcPr>
          <w:p w14:paraId="1206CBEE"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Log &amp; furniture</w:t>
            </w:r>
          </w:p>
        </w:tc>
        <w:tc>
          <w:tcPr>
            <w:tcW w:w="2700" w:type="dxa"/>
            <w:noWrap/>
            <w:vAlign w:val="bottom"/>
            <w:hideMark/>
          </w:tcPr>
          <w:p w14:paraId="29CA1512"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2.66</w:t>
            </w:r>
          </w:p>
        </w:tc>
        <w:tc>
          <w:tcPr>
            <w:tcW w:w="1735" w:type="dxa"/>
            <w:noWrap/>
            <w:vAlign w:val="center"/>
            <w:hideMark/>
          </w:tcPr>
          <w:p w14:paraId="48972270"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6</w:t>
            </w:r>
          </w:p>
        </w:tc>
      </w:tr>
      <w:tr w:rsidR="008F30F4" w14:paraId="45400B8A" w14:textId="77777777" w:rsidTr="001F21E7">
        <w:trPr>
          <w:trHeight w:val="288"/>
        </w:trPr>
        <w:tc>
          <w:tcPr>
            <w:tcW w:w="3150" w:type="dxa"/>
            <w:noWrap/>
            <w:vAlign w:val="center"/>
            <w:hideMark/>
          </w:tcPr>
          <w:p w14:paraId="4D3E66FF"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Printing &amp; stationery</w:t>
            </w:r>
          </w:p>
        </w:tc>
        <w:tc>
          <w:tcPr>
            <w:tcW w:w="2700" w:type="dxa"/>
            <w:noWrap/>
            <w:vAlign w:val="bottom"/>
            <w:hideMark/>
          </w:tcPr>
          <w:p w14:paraId="6E0228E3"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2.39</w:t>
            </w:r>
          </w:p>
        </w:tc>
        <w:tc>
          <w:tcPr>
            <w:tcW w:w="1735" w:type="dxa"/>
            <w:noWrap/>
            <w:vAlign w:val="center"/>
            <w:hideMark/>
          </w:tcPr>
          <w:p w14:paraId="63E78E04"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8</w:t>
            </w:r>
          </w:p>
        </w:tc>
      </w:tr>
      <w:tr w:rsidR="008F30F4" w14:paraId="0B124F00" w14:textId="77777777" w:rsidTr="001F21E7">
        <w:trPr>
          <w:trHeight w:val="288"/>
        </w:trPr>
        <w:tc>
          <w:tcPr>
            <w:tcW w:w="3150" w:type="dxa"/>
            <w:noWrap/>
            <w:vAlign w:val="center"/>
            <w:hideMark/>
          </w:tcPr>
          <w:p w14:paraId="4507900A"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Daily chemical products</w:t>
            </w:r>
          </w:p>
        </w:tc>
        <w:tc>
          <w:tcPr>
            <w:tcW w:w="2700" w:type="dxa"/>
            <w:noWrap/>
            <w:vAlign w:val="bottom"/>
            <w:hideMark/>
          </w:tcPr>
          <w:p w14:paraId="4E2DA07B"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7.06</w:t>
            </w:r>
          </w:p>
        </w:tc>
        <w:tc>
          <w:tcPr>
            <w:tcW w:w="1735" w:type="dxa"/>
            <w:noWrap/>
            <w:vAlign w:val="center"/>
            <w:hideMark/>
          </w:tcPr>
          <w:p w14:paraId="47726826"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8</w:t>
            </w:r>
          </w:p>
        </w:tc>
      </w:tr>
      <w:tr w:rsidR="008F30F4" w14:paraId="2E1DD2AE" w14:textId="77777777" w:rsidTr="001F21E7">
        <w:trPr>
          <w:trHeight w:val="288"/>
        </w:trPr>
        <w:tc>
          <w:tcPr>
            <w:tcW w:w="3150" w:type="dxa"/>
            <w:noWrap/>
            <w:vAlign w:val="center"/>
            <w:hideMark/>
          </w:tcPr>
          <w:p w14:paraId="586D7AA1"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Metal products</w:t>
            </w:r>
          </w:p>
        </w:tc>
        <w:tc>
          <w:tcPr>
            <w:tcW w:w="2700" w:type="dxa"/>
            <w:noWrap/>
            <w:vAlign w:val="bottom"/>
            <w:hideMark/>
          </w:tcPr>
          <w:p w14:paraId="7B066533"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4.49</w:t>
            </w:r>
          </w:p>
        </w:tc>
        <w:tc>
          <w:tcPr>
            <w:tcW w:w="1735" w:type="dxa"/>
            <w:noWrap/>
            <w:vAlign w:val="center"/>
            <w:hideMark/>
          </w:tcPr>
          <w:p w14:paraId="3F655940"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16</w:t>
            </w:r>
          </w:p>
        </w:tc>
      </w:tr>
      <w:tr w:rsidR="008F30F4" w14:paraId="11439E78" w14:textId="77777777" w:rsidTr="001F21E7">
        <w:trPr>
          <w:trHeight w:val="288"/>
        </w:trPr>
        <w:tc>
          <w:tcPr>
            <w:tcW w:w="3150" w:type="dxa"/>
            <w:noWrap/>
            <w:vAlign w:val="center"/>
            <w:hideMark/>
          </w:tcPr>
          <w:p w14:paraId="49281C4D"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General equipment</w:t>
            </w:r>
          </w:p>
        </w:tc>
        <w:tc>
          <w:tcPr>
            <w:tcW w:w="2700" w:type="dxa"/>
            <w:noWrap/>
            <w:vAlign w:val="bottom"/>
            <w:hideMark/>
          </w:tcPr>
          <w:p w14:paraId="22D28D91"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8.26</w:t>
            </w:r>
          </w:p>
        </w:tc>
        <w:tc>
          <w:tcPr>
            <w:tcW w:w="1735" w:type="dxa"/>
            <w:noWrap/>
            <w:vAlign w:val="center"/>
            <w:hideMark/>
          </w:tcPr>
          <w:p w14:paraId="028DB41E"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19</w:t>
            </w:r>
          </w:p>
        </w:tc>
      </w:tr>
      <w:tr w:rsidR="008F30F4" w14:paraId="704E8B5B" w14:textId="77777777" w:rsidTr="001F21E7">
        <w:trPr>
          <w:trHeight w:val="288"/>
        </w:trPr>
        <w:tc>
          <w:tcPr>
            <w:tcW w:w="3150" w:type="dxa"/>
            <w:noWrap/>
            <w:vAlign w:val="center"/>
            <w:hideMark/>
          </w:tcPr>
          <w:p w14:paraId="6A232494"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Transport equipment</w:t>
            </w:r>
          </w:p>
        </w:tc>
        <w:tc>
          <w:tcPr>
            <w:tcW w:w="2700" w:type="dxa"/>
            <w:noWrap/>
            <w:vAlign w:val="bottom"/>
            <w:hideMark/>
          </w:tcPr>
          <w:p w14:paraId="613F4171"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8.93</w:t>
            </w:r>
          </w:p>
        </w:tc>
        <w:tc>
          <w:tcPr>
            <w:tcW w:w="1735" w:type="dxa"/>
            <w:noWrap/>
            <w:vAlign w:val="center"/>
            <w:hideMark/>
          </w:tcPr>
          <w:p w14:paraId="52BE79AC"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40</w:t>
            </w:r>
          </w:p>
        </w:tc>
      </w:tr>
      <w:tr w:rsidR="008F30F4" w14:paraId="07272247" w14:textId="77777777" w:rsidTr="001F21E7">
        <w:trPr>
          <w:trHeight w:val="288"/>
        </w:trPr>
        <w:tc>
          <w:tcPr>
            <w:tcW w:w="3150" w:type="dxa"/>
            <w:noWrap/>
            <w:vAlign w:val="center"/>
            <w:hideMark/>
          </w:tcPr>
          <w:p w14:paraId="10451407"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Electronic equipment</w:t>
            </w:r>
          </w:p>
        </w:tc>
        <w:tc>
          <w:tcPr>
            <w:tcW w:w="2700" w:type="dxa"/>
            <w:noWrap/>
            <w:vAlign w:val="bottom"/>
            <w:hideMark/>
          </w:tcPr>
          <w:p w14:paraId="451E0EA9"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18.35</w:t>
            </w:r>
          </w:p>
        </w:tc>
        <w:tc>
          <w:tcPr>
            <w:tcW w:w="1735" w:type="dxa"/>
            <w:noWrap/>
            <w:vAlign w:val="center"/>
            <w:hideMark/>
          </w:tcPr>
          <w:p w14:paraId="2D253320"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9</w:t>
            </w:r>
          </w:p>
        </w:tc>
      </w:tr>
      <w:tr w:rsidR="008F30F4" w14:paraId="272112AB" w14:textId="77777777" w:rsidTr="001F21E7">
        <w:trPr>
          <w:trHeight w:val="288"/>
        </w:trPr>
        <w:tc>
          <w:tcPr>
            <w:tcW w:w="3150" w:type="dxa"/>
            <w:noWrap/>
            <w:vAlign w:val="center"/>
            <w:hideMark/>
          </w:tcPr>
          <w:p w14:paraId="035AB47F"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Other manufacturing</w:t>
            </w:r>
          </w:p>
        </w:tc>
        <w:tc>
          <w:tcPr>
            <w:tcW w:w="2700" w:type="dxa"/>
            <w:noWrap/>
            <w:vAlign w:val="bottom"/>
            <w:hideMark/>
          </w:tcPr>
          <w:p w14:paraId="49CB102D"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1.21</w:t>
            </w:r>
          </w:p>
        </w:tc>
        <w:tc>
          <w:tcPr>
            <w:tcW w:w="1735" w:type="dxa"/>
            <w:noWrap/>
            <w:vAlign w:val="center"/>
            <w:hideMark/>
          </w:tcPr>
          <w:p w14:paraId="0E38765A"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15</w:t>
            </w:r>
          </w:p>
        </w:tc>
      </w:tr>
      <w:tr w:rsidR="008F30F4" w14:paraId="68370EC2" w14:textId="77777777" w:rsidTr="001F21E7">
        <w:trPr>
          <w:trHeight w:val="288"/>
        </w:trPr>
        <w:tc>
          <w:tcPr>
            <w:tcW w:w="3150" w:type="dxa"/>
            <w:noWrap/>
            <w:vAlign w:val="center"/>
            <w:hideMark/>
          </w:tcPr>
          <w:p w14:paraId="3AD5F7E6"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Water</w:t>
            </w:r>
          </w:p>
        </w:tc>
        <w:tc>
          <w:tcPr>
            <w:tcW w:w="2700" w:type="dxa"/>
            <w:noWrap/>
            <w:vAlign w:val="bottom"/>
            <w:hideMark/>
          </w:tcPr>
          <w:p w14:paraId="3D93FADC"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0.26</w:t>
            </w:r>
          </w:p>
        </w:tc>
        <w:tc>
          <w:tcPr>
            <w:tcW w:w="1735" w:type="dxa"/>
            <w:noWrap/>
            <w:vAlign w:val="center"/>
            <w:hideMark/>
          </w:tcPr>
          <w:p w14:paraId="710BAE9F"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53</w:t>
            </w:r>
          </w:p>
        </w:tc>
      </w:tr>
      <w:tr w:rsidR="008F30F4" w14:paraId="6827FA2B" w14:textId="77777777" w:rsidTr="001F21E7">
        <w:trPr>
          <w:trHeight w:val="288"/>
        </w:trPr>
        <w:tc>
          <w:tcPr>
            <w:tcW w:w="3150" w:type="dxa"/>
            <w:noWrap/>
            <w:vAlign w:val="center"/>
            <w:hideMark/>
          </w:tcPr>
          <w:p w14:paraId="233E1234"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Construction</w:t>
            </w:r>
          </w:p>
        </w:tc>
        <w:tc>
          <w:tcPr>
            <w:tcW w:w="2700" w:type="dxa"/>
            <w:noWrap/>
            <w:vAlign w:val="bottom"/>
            <w:hideMark/>
          </w:tcPr>
          <w:p w14:paraId="1F4D13AF"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23.02</w:t>
            </w:r>
          </w:p>
        </w:tc>
        <w:tc>
          <w:tcPr>
            <w:tcW w:w="1735" w:type="dxa"/>
            <w:noWrap/>
            <w:vAlign w:val="center"/>
            <w:hideMark/>
          </w:tcPr>
          <w:p w14:paraId="6AF8DC4A"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39</w:t>
            </w:r>
          </w:p>
        </w:tc>
      </w:tr>
      <w:tr w:rsidR="008F30F4" w14:paraId="2B3890C0" w14:textId="77777777" w:rsidTr="001F21E7">
        <w:trPr>
          <w:trHeight w:val="288"/>
        </w:trPr>
        <w:tc>
          <w:tcPr>
            <w:tcW w:w="3150" w:type="dxa"/>
            <w:noWrap/>
            <w:vAlign w:val="center"/>
            <w:hideMark/>
          </w:tcPr>
          <w:p w14:paraId="60B5240D"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Transport</w:t>
            </w:r>
          </w:p>
        </w:tc>
        <w:tc>
          <w:tcPr>
            <w:tcW w:w="2700" w:type="dxa"/>
            <w:noWrap/>
            <w:vAlign w:val="bottom"/>
            <w:hideMark/>
          </w:tcPr>
          <w:p w14:paraId="2034FE29"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14.97</w:t>
            </w:r>
          </w:p>
        </w:tc>
        <w:tc>
          <w:tcPr>
            <w:tcW w:w="1735" w:type="dxa"/>
            <w:noWrap/>
            <w:vAlign w:val="center"/>
            <w:hideMark/>
          </w:tcPr>
          <w:p w14:paraId="2C0732E7"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77</w:t>
            </w:r>
          </w:p>
        </w:tc>
      </w:tr>
      <w:tr w:rsidR="008F30F4" w14:paraId="1B467352" w14:textId="77777777" w:rsidTr="001F21E7">
        <w:trPr>
          <w:trHeight w:val="288"/>
        </w:trPr>
        <w:tc>
          <w:tcPr>
            <w:tcW w:w="3150" w:type="dxa"/>
            <w:noWrap/>
            <w:vAlign w:val="center"/>
            <w:hideMark/>
          </w:tcPr>
          <w:p w14:paraId="3415DE82"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Services</w:t>
            </w:r>
          </w:p>
        </w:tc>
        <w:tc>
          <w:tcPr>
            <w:tcW w:w="2700" w:type="dxa"/>
            <w:noWrap/>
            <w:vAlign w:val="bottom"/>
            <w:hideMark/>
          </w:tcPr>
          <w:p w14:paraId="4605E303"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93.15</w:t>
            </w:r>
          </w:p>
        </w:tc>
        <w:tc>
          <w:tcPr>
            <w:tcW w:w="1735" w:type="dxa"/>
            <w:noWrap/>
            <w:vAlign w:val="center"/>
            <w:hideMark/>
          </w:tcPr>
          <w:p w14:paraId="6AE2D65C"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30</w:t>
            </w:r>
          </w:p>
        </w:tc>
      </w:tr>
      <w:tr w:rsidR="008F30F4" w14:paraId="053C2B12" w14:textId="77777777" w:rsidTr="001F21E7">
        <w:trPr>
          <w:trHeight w:val="288"/>
        </w:trPr>
        <w:tc>
          <w:tcPr>
            <w:tcW w:w="3150" w:type="dxa"/>
            <w:noWrap/>
            <w:vAlign w:val="center"/>
            <w:hideMark/>
          </w:tcPr>
          <w:p w14:paraId="78C2D9D7"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Electricity</w:t>
            </w:r>
          </w:p>
        </w:tc>
        <w:tc>
          <w:tcPr>
            <w:tcW w:w="2700" w:type="dxa"/>
            <w:noWrap/>
            <w:vAlign w:val="bottom"/>
            <w:hideMark/>
          </w:tcPr>
          <w:p w14:paraId="662C1121"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4.88</w:t>
            </w:r>
          </w:p>
        </w:tc>
        <w:tc>
          <w:tcPr>
            <w:tcW w:w="1735" w:type="dxa"/>
            <w:noWrap/>
            <w:vAlign w:val="center"/>
            <w:hideMark/>
          </w:tcPr>
          <w:p w14:paraId="4399FAED"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87</w:t>
            </w:r>
          </w:p>
        </w:tc>
      </w:tr>
      <w:tr w:rsidR="008F30F4" w14:paraId="64EA52A6" w14:textId="77777777" w:rsidTr="001F21E7">
        <w:trPr>
          <w:trHeight w:val="288"/>
        </w:trPr>
        <w:tc>
          <w:tcPr>
            <w:tcW w:w="3150" w:type="dxa"/>
            <w:noWrap/>
            <w:vAlign w:val="center"/>
            <w:hideMark/>
          </w:tcPr>
          <w:p w14:paraId="704D0443"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Petroleum refining</w:t>
            </w:r>
          </w:p>
        </w:tc>
        <w:tc>
          <w:tcPr>
            <w:tcW w:w="2700" w:type="dxa"/>
            <w:noWrap/>
            <w:vAlign w:val="bottom"/>
            <w:hideMark/>
          </w:tcPr>
          <w:p w14:paraId="55A97D6B"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5.77</w:t>
            </w:r>
          </w:p>
        </w:tc>
        <w:tc>
          <w:tcPr>
            <w:tcW w:w="1735" w:type="dxa"/>
            <w:noWrap/>
            <w:vAlign w:val="center"/>
            <w:hideMark/>
          </w:tcPr>
          <w:p w14:paraId="623D4E1B"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69</w:t>
            </w:r>
          </w:p>
        </w:tc>
      </w:tr>
      <w:tr w:rsidR="008F30F4" w14:paraId="0C311195" w14:textId="77777777" w:rsidTr="001F21E7">
        <w:trPr>
          <w:trHeight w:val="288"/>
        </w:trPr>
        <w:tc>
          <w:tcPr>
            <w:tcW w:w="3150" w:type="dxa"/>
            <w:noWrap/>
            <w:vAlign w:val="center"/>
            <w:hideMark/>
          </w:tcPr>
          <w:p w14:paraId="0C719947"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Heat</w:t>
            </w:r>
          </w:p>
        </w:tc>
        <w:tc>
          <w:tcPr>
            <w:tcW w:w="2700" w:type="dxa"/>
            <w:noWrap/>
            <w:vAlign w:val="bottom"/>
            <w:hideMark/>
          </w:tcPr>
          <w:p w14:paraId="7D11ECA4"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0.60</w:t>
            </w:r>
          </w:p>
        </w:tc>
        <w:tc>
          <w:tcPr>
            <w:tcW w:w="1735" w:type="dxa"/>
            <w:noWrap/>
            <w:vAlign w:val="center"/>
            <w:hideMark/>
          </w:tcPr>
          <w:p w14:paraId="33B04418"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87</w:t>
            </w:r>
          </w:p>
        </w:tc>
      </w:tr>
      <w:tr w:rsidR="008F30F4" w14:paraId="1C6CC321" w14:textId="77777777" w:rsidTr="001F21E7">
        <w:trPr>
          <w:trHeight w:val="288"/>
        </w:trPr>
        <w:tc>
          <w:tcPr>
            <w:tcW w:w="3150" w:type="dxa"/>
            <w:noWrap/>
            <w:vAlign w:val="center"/>
            <w:hideMark/>
          </w:tcPr>
          <w:p w14:paraId="517C31D5"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Coal</w:t>
            </w:r>
          </w:p>
        </w:tc>
        <w:tc>
          <w:tcPr>
            <w:tcW w:w="2700" w:type="dxa"/>
            <w:noWrap/>
            <w:vAlign w:val="bottom"/>
            <w:hideMark/>
          </w:tcPr>
          <w:p w14:paraId="249094C4"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2.34</w:t>
            </w:r>
          </w:p>
        </w:tc>
        <w:tc>
          <w:tcPr>
            <w:tcW w:w="1735" w:type="dxa"/>
            <w:noWrap/>
            <w:vAlign w:val="center"/>
            <w:hideMark/>
          </w:tcPr>
          <w:p w14:paraId="59A7FB9E"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69</w:t>
            </w:r>
          </w:p>
        </w:tc>
      </w:tr>
      <w:tr w:rsidR="008F30F4" w14:paraId="249854F8" w14:textId="77777777" w:rsidTr="001F21E7">
        <w:trPr>
          <w:trHeight w:val="288"/>
        </w:trPr>
        <w:tc>
          <w:tcPr>
            <w:tcW w:w="3150" w:type="dxa"/>
            <w:noWrap/>
            <w:vAlign w:val="center"/>
            <w:hideMark/>
          </w:tcPr>
          <w:p w14:paraId="13867D97"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Crude oil</w:t>
            </w:r>
          </w:p>
        </w:tc>
        <w:tc>
          <w:tcPr>
            <w:tcW w:w="2700" w:type="dxa"/>
            <w:noWrap/>
            <w:vAlign w:val="bottom"/>
            <w:hideMark/>
          </w:tcPr>
          <w:p w14:paraId="298CD0F7"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0.81</w:t>
            </w:r>
          </w:p>
        </w:tc>
        <w:tc>
          <w:tcPr>
            <w:tcW w:w="1735" w:type="dxa"/>
            <w:noWrap/>
            <w:vAlign w:val="center"/>
            <w:hideMark/>
          </w:tcPr>
          <w:p w14:paraId="1A3955AC"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92</w:t>
            </w:r>
          </w:p>
        </w:tc>
      </w:tr>
      <w:tr w:rsidR="008F30F4" w14:paraId="24CC5505" w14:textId="77777777" w:rsidTr="001F21E7">
        <w:trPr>
          <w:trHeight w:val="288"/>
        </w:trPr>
        <w:tc>
          <w:tcPr>
            <w:tcW w:w="3150" w:type="dxa"/>
            <w:noWrap/>
            <w:vAlign w:val="center"/>
            <w:hideMark/>
          </w:tcPr>
          <w:p w14:paraId="03006B64"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 xml:space="preserve">Natural gas </w:t>
            </w:r>
          </w:p>
        </w:tc>
        <w:tc>
          <w:tcPr>
            <w:tcW w:w="2700" w:type="dxa"/>
            <w:noWrap/>
            <w:vAlign w:val="bottom"/>
            <w:hideMark/>
          </w:tcPr>
          <w:p w14:paraId="42247EC5"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0.37</w:t>
            </w:r>
          </w:p>
        </w:tc>
        <w:tc>
          <w:tcPr>
            <w:tcW w:w="1735" w:type="dxa"/>
            <w:noWrap/>
            <w:vAlign w:val="center"/>
            <w:hideMark/>
          </w:tcPr>
          <w:p w14:paraId="0D202230"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46</w:t>
            </w:r>
          </w:p>
        </w:tc>
      </w:tr>
      <w:tr w:rsidR="008F30F4" w14:paraId="3DFBFF97" w14:textId="77777777" w:rsidTr="001F21E7">
        <w:trPr>
          <w:trHeight w:val="288"/>
        </w:trPr>
        <w:tc>
          <w:tcPr>
            <w:tcW w:w="3150" w:type="dxa"/>
            <w:noWrap/>
            <w:vAlign w:val="center"/>
            <w:hideMark/>
          </w:tcPr>
          <w:p w14:paraId="4DE66287"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r w:rsidRPr="00320E19">
              <w:rPr>
                <w:rFonts w:eastAsia="DengXian" w:cs="Times New Roman"/>
                <w:color w:val="000000"/>
                <w:sz w:val="22"/>
                <w:szCs w:val="22"/>
              </w:rPr>
              <w:t>Gas manufacture &amp; distribution</w:t>
            </w:r>
          </w:p>
        </w:tc>
        <w:tc>
          <w:tcPr>
            <w:tcW w:w="2700" w:type="dxa"/>
            <w:noWrap/>
            <w:vAlign w:val="bottom"/>
            <w:hideMark/>
          </w:tcPr>
          <w:p w14:paraId="1A5EBA59" w14:textId="77777777" w:rsidR="008F30F4" w:rsidRPr="00981D96" w:rsidRDefault="008F30F4" w:rsidP="001F21E7">
            <w:pPr>
              <w:spacing w:before="0" w:line="240" w:lineRule="auto"/>
              <w:ind w:firstLine="0"/>
              <w:contextualSpacing/>
              <w:jc w:val="center"/>
              <w:rPr>
                <w:rFonts w:eastAsia="DengXian" w:cs="Times New Roman"/>
                <w:color w:val="000000"/>
                <w:sz w:val="22"/>
                <w:szCs w:val="22"/>
              </w:rPr>
            </w:pPr>
            <w:r>
              <w:rPr>
                <w:rFonts w:eastAsia="DengXian" w:cs="Times New Roman"/>
                <w:color w:val="000000"/>
                <w:sz w:val="22"/>
                <w:szCs w:val="22"/>
              </w:rPr>
              <w:t>0.43</w:t>
            </w:r>
          </w:p>
        </w:tc>
        <w:tc>
          <w:tcPr>
            <w:tcW w:w="1735" w:type="dxa"/>
            <w:noWrap/>
            <w:vAlign w:val="center"/>
            <w:hideMark/>
          </w:tcPr>
          <w:p w14:paraId="3F1FB1FD" w14:textId="77777777" w:rsidR="008F30F4" w:rsidRPr="00320E19" w:rsidRDefault="008F30F4" w:rsidP="001F21E7">
            <w:pPr>
              <w:spacing w:before="0" w:line="240" w:lineRule="auto"/>
              <w:ind w:firstLine="0"/>
              <w:contextualSpacing/>
              <w:jc w:val="center"/>
              <w:rPr>
                <w:rFonts w:eastAsia="DengXian" w:cs="Times New Roman"/>
                <w:color w:val="000000"/>
                <w:sz w:val="22"/>
                <w:szCs w:val="22"/>
              </w:rPr>
            </w:pPr>
            <w:r w:rsidRPr="00320E19">
              <w:rPr>
                <w:rFonts w:eastAsia="DengXian" w:cs="Times New Roman"/>
                <w:color w:val="000000"/>
                <w:sz w:val="22"/>
                <w:szCs w:val="22"/>
              </w:rPr>
              <w:t>46</w:t>
            </w:r>
          </w:p>
        </w:tc>
      </w:tr>
      <w:tr w:rsidR="008F30F4" w14:paraId="2FFA93F3" w14:textId="77777777" w:rsidTr="001F21E7">
        <w:trPr>
          <w:trHeight w:val="288"/>
        </w:trPr>
        <w:tc>
          <w:tcPr>
            <w:tcW w:w="3150" w:type="dxa"/>
            <w:noWrap/>
            <w:vAlign w:val="center"/>
          </w:tcPr>
          <w:p w14:paraId="0789250B" w14:textId="77777777" w:rsidR="008F30F4" w:rsidRPr="00320E19" w:rsidRDefault="008F30F4" w:rsidP="001F21E7">
            <w:pPr>
              <w:spacing w:before="0" w:line="240" w:lineRule="auto"/>
              <w:ind w:hanging="13"/>
              <w:contextualSpacing/>
              <w:jc w:val="both"/>
              <w:rPr>
                <w:rFonts w:eastAsia="DengXian" w:cs="Times New Roman"/>
                <w:color w:val="000000"/>
                <w:sz w:val="22"/>
                <w:szCs w:val="22"/>
              </w:rPr>
            </w:pPr>
          </w:p>
        </w:tc>
        <w:tc>
          <w:tcPr>
            <w:tcW w:w="2700" w:type="dxa"/>
            <w:noWrap/>
            <w:vAlign w:val="center"/>
          </w:tcPr>
          <w:p w14:paraId="335EBAAA" w14:textId="77777777" w:rsidR="008F30F4" w:rsidRPr="00981D96" w:rsidRDefault="008F30F4" w:rsidP="001F21E7">
            <w:pPr>
              <w:spacing w:before="0" w:line="240" w:lineRule="auto"/>
              <w:ind w:firstLine="0"/>
              <w:contextualSpacing/>
              <w:jc w:val="center"/>
              <w:rPr>
                <w:sz w:val="22"/>
                <w:szCs w:val="22"/>
              </w:rPr>
            </w:pPr>
          </w:p>
        </w:tc>
        <w:tc>
          <w:tcPr>
            <w:tcW w:w="1735" w:type="dxa"/>
            <w:noWrap/>
            <w:vAlign w:val="center"/>
          </w:tcPr>
          <w:p w14:paraId="542BD0EA" w14:textId="77777777" w:rsidR="008F30F4" w:rsidRPr="00320E19" w:rsidRDefault="008F30F4" w:rsidP="001F21E7">
            <w:pPr>
              <w:spacing w:before="0" w:line="240" w:lineRule="auto"/>
              <w:contextualSpacing/>
              <w:jc w:val="center"/>
              <w:rPr>
                <w:rFonts w:eastAsia="DengXian" w:cs="Times New Roman"/>
                <w:color w:val="000000"/>
                <w:sz w:val="22"/>
                <w:szCs w:val="22"/>
              </w:rPr>
            </w:pPr>
          </w:p>
        </w:tc>
      </w:tr>
      <w:tr w:rsidR="008F30F4" w14:paraId="5F59BD78" w14:textId="77777777" w:rsidTr="001F21E7">
        <w:trPr>
          <w:trHeight w:val="288"/>
        </w:trPr>
        <w:tc>
          <w:tcPr>
            <w:tcW w:w="3150" w:type="dxa"/>
            <w:tcBorders>
              <w:top w:val="nil"/>
              <w:left w:val="nil"/>
              <w:bottom w:val="single" w:sz="4" w:space="0" w:color="auto"/>
              <w:right w:val="nil"/>
            </w:tcBorders>
            <w:noWrap/>
            <w:vAlign w:val="center"/>
            <w:hideMark/>
          </w:tcPr>
          <w:p w14:paraId="3B0A9D2E" w14:textId="77777777" w:rsidR="008F30F4" w:rsidRPr="00BE3F8D" w:rsidRDefault="008F30F4" w:rsidP="001F21E7">
            <w:pPr>
              <w:spacing w:before="0" w:line="240" w:lineRule="auto"/>
              <w:ind w:hanging="13"/>
              <w:contextualSpacing/>
              <w:rPr>
                <w:rFonts w:eastAsia="DengXian" w:cs="Times New Roman"/>
                <w:color w:val="000000"/>
                <w:sz w:val="22"/>
              </w:rPr>
            </w:pPr>
            <w:r w:rsidRPr="00BE3F8D">
              <w:rPr>
                <w:rFonts w:eastAsia="DengXian" w:cs="Times New Roman"/>
                <w:color w:val="000000"/>
                <w:sz w:val="22"/>
              </w:rPr>
              <w:t>Average</w:t>
            </w:r>
          </w:p>
        </w:tc>
        <w:tc>
          <w:tcPr>
            <w:tcW w:w="2700" w:type="dxa"/>
            <w:tcBorders>
              <w:top w:val="nil"/>
              <w:left w:val="nil"/>
              <w:bottom w:val="single" w:sz="4" w:space="0" w:color="auto"/>
              <w:right w:val="nil"/>
            </w:tcBorders>
            <w:noWrap/>
            <w:vAlign w:val="center"/>
            <w:hideMark/>
          </w:tcPr>
          <w:p w14:paraId="213CC7A1" w14:textId="77777777" w:rsidR="008F30F4" w:rsidRPr="00BE3F8D" w:rsidRDefault="008F30F4" w:rsidP="001F21E7">
            <w:pPr>
              <w:spacing w:before="0" w:line="240" w:lineRule="auto"/>
              <w:ind w:firstLine="0"/>
              <w:contextualSpacing/>
              <w:jc w:val="center"/>
              <w:rPr>
                <w:rFonts w:eastAsia="DengXian" w:cs="Times New Roman"/>
                <w:color w:val="000000"/>
                <w:sz w:val="22"/>
              </w:rPr>
            </w:pPr>
            <w:r w:rsidRPr="00BE3F8D">
              <w:rPr>
                <w:rFonts w:eastAsia="DengXian" w:cs="Times New Roman" w:hint="eastAsia"/>
                <w:color w:val="000000"/>
                <w:sz w:val="22"/>
              </w:rPr>
              <w:t>2</w:t>
            </w:r>
            <w:r w:rsidRPr="00BE3F8D">
              <w:rPr>
                <w:rFonts w:eastAsia="DengXian" w:cs="Times New Roman"/>
                <w:color w:val="000000"/>
                <w:sz w:val="22"/>
              </w:rPr>
              <w:t>.62</w:t>
            </w:r>
          </w:p>
        </w:tc>
        <w:tc>
          <w:tcPr>
            <w:tcW w:w="1735" w:type="dxa"/>
            <w:tcBorders>
              <w:top w:val="nil"/>
              <w:left w:val="nil"/>
              <w:bottom w:val="single" w:sz="4" w:space="0" w:color="auto"/>
              <w:right w:val="nil"/>
            </w:tcBorders>
            <w:noWrap/>
            <w:vAlign w:val="center"/>
            <w:hideMark/>
          </w:tcPr>
          <w:p w14:paraId="33C31DC4" w14:textId="77777777" w:rsidR="008F30F4" w:rsidRPr="00BE3F8D" w:rsidRDefault="008F30F4" w:rsidP="001F21E7">
            <w:pPr>
              <w:spacing w:before="0" w:line="240" w:lineRule="auto"/>
              <w:ind w:firstLine="0"/>
              <w:contextualSpacing/>
              <w:jc w:val="center"/>
              <w:rPr>
                <w:rFonts w:eastAsia="DengXian" w:cs="Times New Roman"/>
                <w:color w:val="000000"/>
                <w:sz w:val="22"/>
                <w:szCs w:val="22"/>
              </w:rPr>
            </w:pPr>
            <w:r w:rsidRPr="00BE3F8D">
              <w:rPr>
                <w:rFonts w:eastAsia="DengXian" w:cs="Times New Roman"/>
                <w:color w:val="000000"/>
                <w:sz w:val="22"/>
              </w:rPr>
              <w:t>31</w:t>
            </w:r>
          </w:p>
        </w:tc>
      </w:tr>
    </w:tbl>
    <w:p w14:paraId="10C6998F" w14:textId="77777777" w:rsidR="008F30F4" w:rsidRDefault="008F30F4" w:rsidP="008F30F4">
      <w:pPr>
        <w:rPr>
          <w:rFonts w:cs="Times New Roman"/>
          <w:kern w:val="2"/>
          <w:sz w:val="22"/>
          <w:szCs w:val="22"/>
        </w:rPr>
      </w:pPr>
    </w:p>
    <w:p w14:paraId="2DFDCB2E" w14:textId="77777777" w:rsidR="008F30F4" w:rsidRPr="00EC5B7E" w:rsidRDefault="008F30F4" w:rsidP="008F30F4">
      <w:pPr>
        <w:ind w:firstLineChars="327" w:firstLine="719"/>
        <w:rPr>
          <w:rFonts w:cs="Times New Roman"/>
          <w:sz w:val="22"/>
          <w:szCs w:val="22"/>
        </w:rPr>
      </w:pPr>
      <w:r w:rsidRPr="00EC5B7E">
        <w:rPr>
          <w:rFonts w:cs="Times New Roman"/>
          <w:sz w:val="22"/>
          <w:szCs w:val="22"/>
        </w:rPr>
        <w:t xml:space="preserve">To achieve consistency with specific benchmark (year-2020) data, several conditions must be met. They are as follows. We express the conditions as they apply to subsectors. In the sectors without subsectors, they apply only at the sector level. Definitions of symbols are indicated in Table </w:t>
      </w:r>
      <w:r>
        <w:rPr>
          <w:rFonts w:cs="Times New Roman"/>
          <w:sz w:val="22"/>
          <w:szCs w:val="22"/>
        </w:rPr>
        <w:t>C4</w:t>
      </w:r>
      <w:r w:rsidRPr="00EC5B7E">
        <w:rPr>
          <w:rFonts w:cs="Times New Roman"/>
          <w:sz w:val="22"/>
          <w:szCs w:val="22"/>
        </w:rPr>
        <w:t xml:space="preserve"> below.</w:t>
      </w:r>
    </w:p>
    <w:p w14:paraId="7C688171" w14:textId="77777777" w:rsidR="008F30F4" w:rsidRDefault="008F30F4" w:rsidP="008F30F4">
      <w:pPr>
        <w:ind w:firstLineChars="327" w:firstLine="719"/>
        <w:rPr>
          <w:rFonts w:cs="Times New Roman"/>
          <w:sz w:val="22"/>
          <w:szCs w:val="22"/>
        </w:rPr>
      </w:pPr>
      <w:r>
        <w:rPr>
          <w:rFonts w:cs="Times New Roman"/>
          <w:sz w:val="22"/>
          <w:szCs w:val="22"/>
        </w:rPr>
        <w:t>T</w:t>
      </w:r>
      <w:r w:rsidRPr="00F16489">
        <w:rPr>
          <w:rFonts w:cs="Times New Roman"/>
          <w:sz w:val="22"/>
          <w:szCs w:val="22"/>
        </w:rPr>
        <w:t>he co-existence of SOEs and POEs with outputs of the same type of good implies that their marginal costs of production are the same at the given market’s output price. The marginal cost curves for SOEs and POEs exhibit di</w:t>
      </w:r>
      <w:r w:rsidRPr="00327746">
        <w:rPr>
          <w:rFonts w:cs="Times New Roman"/>
          <w:sz w:val="22"/>
          <w:szCs w:val="22"/>
        </w:rPr>
        <w:t>fferent slopes</w:t>
      </w:r>
      <w:r>
        <w:rPr>
          <w:rFonts w:cs="Times New Roman"/>
          <w:sz w:val="22"/>
          <w:szCs w:val="22"/>
        </w:rPr>
        <w:t xml:space="preserve">.  We calibrate the production functions of </w:t>
      </w:r>
      <w:r>
        <w:rPr>
          <w:rFonts w:cs="Times New Roman"/>
          <w:sz w:val="22"/>
          <w:szCs w:val="22"/>
        </w:rPr>
        <w:lastRenderedPageBreak/>
        <w:t xml:space="preserve">the SOEs and POEs so that the differing marginal cost curves yield the same marginal cost at the benchmark levels of output.  The differences in the slopes of the marginal cost curves </w:t>
      </w:r>
      <w:r w:rsidRPr="00327746">
        <w:rPr>
          <w:rFonts w:cs="Times New Roman"/>
          <w:sz w:val="22"/>
          <w:szCs w:val="22"/>
        </w:rPr>
        <w:t>is attributable in significant part to the fact that the share of reproducible capital (an imperfectly mobile factor) differ</w:t>
      </w:r>
      <w:r w:rsidRPr="004548E1">
        <w:rPr>
          <w:rFonts w:cs="Times New Roman"/>
          <w:sz w:val="22"/>
          <w:szCs w:val="22"/>
        </w:rPr>
        <w:t>s</w:t>
      </w:r>
      <w:r w:rsidRPr="00F16489">
        <w:rPr>
          <w:rFonts w:cs="Times New Roman"/>
          <w:sz w:val="22"/>
          <w:szCs w:val="22"/>
        </w:rPr>
        <w:t xml:space="preserve"> at given output levels for the two types of firms. </w:t>
      </w:r>
    </w:p>
    <w:p w14:paraId="503AD52B" w14:textId="77777777" w:rsidR="008F30F4" w:rsidRPr="00AF2737" w:rsidRDefault="008F30F4" w:rsidP="008F30F4">
      <w:pPr>
        <w:ind w:firstLineChars="327" w:firstLine="719"/>
        <w:rPr>
          <w:rFonts w:cs="Times New Roman"/>
          <w:sz w:val="22"/>
          <w:szCs w:val="22"/>
        </w:rPr>
      </w:pPr>
      <w:r>
        <w:rPr>
          <w:rFonts w:cs="Times New Roman"/>
          <w:sz w:val="22"/>
          <w:szCs w:val="22"/>
        </w:rPr>
        <w:t xml:space="preserve">The calibration method is as follows.  </w:t>
      </w:r>
      <w:r w:rsidRPr="004548E1">
        <w:rPr>
          <w:rFonts w:cs="Times New Roman"/>
          <w:sz w:val="22"/>
          <w:szCs w:val="22"/>
        </w:rPr>
        <w:t xml:space="preserve">The parameter </w:t>
      </w:r>
      <w:r w:rsidR="0038014B" w:rsidRPr="00327746">
        <w:rPr>
          <w:noProof/>
          <w:position w:val="-16"/>
        </w:rPr>
        <w:object w:dxaOrig="380" w:dyaOrig="380" w14:anchorId="17B422AE">
          <v:shape id="_x0000_i1075" type="#_x0000_t75" alt="" style="width:19.75pt;height:19.75pt;mso-width-percent:0;mso-height-percent:0;mso-width-percent:0;mso-height-percent:0" o:ole="">
            <v:imagedata r:id="rId312" o:title=""/>
          </v:shape>
          <o:OLEObject Type="Embed" ProgID="Equation.DSMT4" ShapeID="_x0000_i1075" DrawAspect="Content" ObjectID="_1758969556" r:id="rId313"/>
        </w:object>
      </w:r>
      <w:r w:rsidRPr="00F16489">
        <w:rPr>
          <w:rFonts w:cs="Times New Roman"/>
          <w:sz w:val="22"/>
          <w:szCs w:val="22"/>
        </w:rPr>
        <w:t xml:space="preserve"> </w:t>
      </w:r>
      <w:r w:rsidRPr="004548E1">
        <w:rPr>
          <w:rFonts w:cs="Times New Roman"/>
          <w:sz w:val="22"/>
          <w:szCs w:val="22"/>
        </w:rPr>
        <w:t>denotes</w:t>
      </w:r>
      <w:r w:rsidRPr="00F16489">
        <w:rPr>
          <w:rFonts w:cs="Times New Roman"/>
          <w:sz w:val="22"/>
          <w:szCs w:val="22"/>
        </w:rPr>
        <w:t xml:space="preserve"> </w:t>
      </w:r>
      <w:r w:rsidRPr="00327746">
        <w:rPr>
          <w:rFonts w:cs="Times New Roman"/>
          <w:sz w:val="22"/>
          <w:szCs w:val="22"/>
        </w:rPr>
        <w:t xml:space="preserve">the </w:t>
      </w:r>
      <w:r w:rsidRPr="004548E1">
        <w:rPr>
          <w:rFonts w:cs="Times New Roman"/>
          <w:sz w:val="22"/>
          <w:szCs w:val="22"/>
        </w:rPr>
        <w:t xml:space="preserve">observed </w:t>
      </w:r>
      <w:r w:rsidRPr="00F16489">
        <w:rPr>
          <w:rFonts w:cs="Times New Roman"/>
          <w:sz w:val="22"/>
          <w:szCs w:val="22"/>
        </w:rPr>
        <w:t>benchmark</w:t>
      </w:r>
      <w:r w:rsidRPr="00327746">
        <w:rPr>
          <w:rFonts w:cs="Times New Roman"/>
          <w:sz w:val="22"/>
          <w:szCs w:val="22"/>
        </w:rPr>
        <w:t xml:space="preserve"> share of </w:t>
      </w:r>
      <w:r w:rsidRPr="004548E1">
        <w:rPr>
          <w:rFonts w:cs="Times New Roman"/>
          <w:sz w:val="22"/>
          <w:szCs w:val="22"/>
        </w:rPr>
        <w:t xml:space="preserve">reproducible </w:t>
      </w:r>
      <w:r w:rsidRPr="00F16489">
        <w:rPr>
          <w:rFonts w:cs="Times New Roman"/>
          <w:sz w:val="22"/>
          <w:szCs w:val="22"/>
        </w:rPr>
        <w:t xml:space="preserve">capital inputs </w:t>
      </w:r>
      <w:r w:rsidRPr="004548E1">
        <w:rPr>
          <w:rFonts w:cs="Times New Roman"/>
          <w:sz w:val="22"/>
          <w:szCs w:val="22"/>
        </w:rPr>
        <w:t>in</w:t>
      </w:r>
      <w:r w:rsidRPr="00F16489">
        <w:rPr>
          <w:rFonts w:cs="Times New Roman"/>
          <w:sz w:val="22"/>
          <w:szCs w:val="22"/>
        </w:rPr>
        <w:t xml:space="preserve"> marginal cost</w:t>
      </w:r>
      <w:r w:rsidRPr="004548E1">
        <w:rPr>
          <w:rFonts w:cs="Times New Roman"/>
          <w:sz w:val="22"/>
          <w:szCs w:val="22"/>
        </w:rPr>
        <w:t>:</w:t>
      </w:r>
    </w:p>
    <w:p w14:paraId="7C10BC0B" w14:textId="77777777" w:rsidR="008F30F4" w:rsidRPr="0018629E" w:rsidRDefault="008F30F4" w:rsidP="008F30F4">
      <w:pPr>
        <w:pStyle w:val="a2"/>
      </w:pPr>
      <w:r w:rsidRPr="004548E1">
        <w:tab/>
      </w:r>
      <w:r w:rsidR="0038014B" w:rsidRPr="00327746">
        <w:rPr>
          <w:noProof/>
          <w:position w:val="-32"/>
        </w:rPr>
        <w:object w:dxaOrig="2540" w:dyaOrig="740" w14:anchorId="34D2E773">
          <v:shape id="_x0000_i1074" type="#_x0000_t75" alt="" style="width:129.2pt;height:38.8pt;mso-width-percent:0;mso-height-percent:0;mso-width-percent:0;mso-height-percent:0" o:ole="">
            <v:imagedata r:id="rId314" o:title=""/>
          </v:shape>
          <o:OLEObject Type="Embed" ProgID="Equation.DSMT4" ShapeID="_x0000_i1074" DrawAspect="Content" ObjectID="_1758969557" r:id="rId315"/>
        </w:object>
      </w:r>
      <w:r w:rsidRPr="004548E1">
        <w:tab/>
      </w:r>
      <w:r w:rsidRPr="004548E1">
        <w:fldChar w:fldCharType="begin"/>
      </w:r>
      <w:r w:rsidRPr="004548E1">
        <w:instrText xml:space="preserve"> MACROBUTTON MTPlaceRef \* MERGEFORMAT </w:instrText>
      </w:r>
      <w:r w:rsidRPr="004548E1">
        <w:fldChar w:fldCharType="begin"/>
      </w:r>
      <w:r w:rsidRPr="004548E1">
        <w:instrText xml:space="preserve"> SEQ MTEqn \h \* MERGEFORMAT </w:instrText>
      </w:r>
      <w:r w:rsidRPr="004548E1">
        <w:fldChar w:fldCharType="end"/>
      </w:r>
      <w:r w:rsidRPr="004548E1">
        <w:instrText>(</w:instrText>
      </w:r>
      <w:fldSimple w:instr=" SEQ MTSec \c \* Alphabetic \* MERGEFORMAT ">
        <w:r>
          <w:rPr>
            <w:noProof/>
          </w:rPr>
          <w:instrText>A</w:instrText>
        </w:r>
      </w:fldSimple>
      <w:fldSimple w:instr=" SEQ MTEqn \c \* Arabic \* MERGEFORMAT ">
        <w:r>
          <w:rPr>
            <w:noProof/>
          </w:rPr>
          <w:instrText>23</w:instrText>
        </w:r>
      </w:fldSimple>
      <w:r w:rsidRPr="004548E1">
        <w:instrText>)</w:instrText>
      </w:r>
      <w:r w:rsidRPr="004548E1">
        <w:fldChar w:fldCharType="end"/>
      </w:r>
    </w:p>
    <w:p w14:paraId="290AE1A4" w14:textId="77777777" w:rsidR="008F30F4" w:rsidRPr="00EC5B7E" w:rsidRDefault="008F30F4" w:rsidP="008F30F4">
      <w:pPr>
        <w:ind w:firstLineChars="327" w:firstLine="719"/>
        <w:rPr>
          <w:rFonts w:cs="Times New Roman"/>
          <w:sz w:val="22"/>
          <w:szCs w:val="22"/>
        </w:rPr>
      </w:pPr>
      <w:r w:rsidRPr="004548E1">
        <w:rPr>
          <w:rFonts w:cs="Times New Roman"/>
          <w:sz w:val="22"/>
          <w:szCs w:val="22"/>
        </w:rPr>
        <w:t xml:space="preserve">The notations are in Table </w:t>
      </w:r>
      <w:r>
        <w:rPr>
          <w:rFonts w:cs="Times New Roman"/>
          <w:sz w:val="22"/>
          <w:szCs w:val="22"/>
        </w:rPr>
        <w:t>C4</w:t>
      </w:r>
      <w:r w:rsidRPr="004548E1">
        <w:rPr>
          <w:rFonts w:cs="Times New Roman"/>
          <w:sz w:val="22"/>
          <w:szCs w:val="22"/>
        </w:rPr>
        <w:t xml:space="preserve">. </w:t>
      </w:r>
      <w:r w:rsidRPr="004548E1">
        <w:rPr>
          <w:sz w:val="22"/>
          <w:szCs w:val="22"/>
        </w:rPr>
        <w:t>W</w:t>
      </w:r>
      <w:r w:rsidRPr="0018629E">
        <w:rPr>
          <w:rFonts w:cs="Times New Roman"/>
          <w:sz w:val="22"/>
          <w:szCs w:val="22"/>
        </w:rPr>
        <w:t xml:space="preserve">e identify the values of </w:t>
      </w:r>
      <w:r w:rsidR="0038014B" w:rsidRPr="00327746">
        <w:rPr>
          <w:noProof/>
          <w:position w:val="-14"/>
        </w:rPr>
        <w:object w:dxaOrig="340" w:dyaOrig="360" w14:anchorId="73248123">
          <v:shape id="_x0000_i1073" type="#_x0000_t75" alt="" style="width:15.55pt;height:19.75pt;mso-width-percent:0;mso-height-percent:0;mso-width-percent:0;mso-height-percent:0" o:ole="">
            <v:imagedata r:id="rId316" o:title=""/>
          </v:shape>
          <o:OLEObject Type="Embed" ProgID="Equation.DSMT4" ShapeID="_x0000_i1073" DrawAspect="Content" ObjectID="_1758969558" r:id="rId317"/>
        </w:object>
      </w:r>
      <w:r w:rsidRPr="0018629E">
        <w:rPr>
          <w:noProof/>
        </w:rPr>
        <w:t xml:space="preserve"> </w:t>
      </w:r>
      <w:r w:rsidRPr="0018629E">
        <w:rPr>
          <w:rFonts w:cs="Times New Roman"/>
          <w:sz w:val="22"/>
          <w:szCs w:val="22"/>
        </w:rPr>
        <w:t xml:space="preserve">consistent with equal marginal costs at the observed benchmark input and output levels. Equation systems below denote </w:t>
      </w:r>
      <w:r w:rsidRPr="004548E1">
        <w:rPr>
          <w:rFonts w:cs="Times New Roman"/>
          <w:sz w:val="22"/>
          <w:szCs w:val="22"/>
        </w:rPr>
        <w:t>the</w:t>
      </w:r>
      <w:r w:rsidRPr="0018629E">
        <w:rPr>
          <w:rFonts w:cs="Times New Roman"/>
          <w:sz w:val="22"/>
          <w:szCs w:val="22"/>
        </w:rPr>
        <w:t xml:space="preserve"> condition</w:t>
      </w:r>
      <w:r w:rsidRPr="004548E1">
        <w:rPr>
          <w:rFonts w:cs="Times New Roman"/>
          <w:sz w:val="22"/>
          <w:szCs w:val="22"/>
        </w:rPr>
        <w:t>s</w:t>
      </w:r>
      <w:r w:rsidRPr="0018629E">
        <w:rPr>
          <w:rFonts w:cs="Times New Roman"/>
          <w:sz w:val="22"/>
          <w:szCs w:val="22"/>
        </w:rPr>
        <w:t>.</w:t>
      </w:r>
    </w:p>
    <w:bookmarkEnd w:id="8"/>
    <w:p w14:paraId="217F1CEF" w14:textId="77777777" w:rsidR="008F30F4" w:rsidRPr="00EC5B7E" w:rsidRDefault="008F30F4" w:rsidP="008F30F4">
      <w:pPr>
        <w:pStyle w:val="ListParagraph"/>
        <w:widowControl w:val="0"/>
        <w:numPr>
          <w:ilvl w:val="0"/>
          <w:numId w:val="44"/>
        </w:numPr>
        <w:spacing w:before="0"/>
        <w:rPr>
          <w:rFonts w:cs="Times New Roman"/>
          <w:noProof/>
          <w:sz w:val="22"/>
          <w:szCs w:val="22"/>
        </w:rPr>
      </w:pPr>
      <w:r w:rsidRPr="00EC5B7E">
        <w:rPr>
          <w:rFonts w:cs="Times New Roman"/>
          <w:sz w:val="22"/>
          <w:szCs w:val="22"/>
        </w:rPr>
        <w:t>The equal-marginal-cost condition is:</w:t>
      </w:r>
    </w:p>
    <w:p w14:paraId="2485B3D3" w14:textId="77777777" w:rsidR="008F30F4" w:rsidRPr="00EC5B7E" w:rsidRDefault="008F30F4" w:rsidP="008F30F4">
      <w:pPr>
        <w:pStyle w:val="a2"/>
        <w:rPr>
          <w:noProof/>
        </w:rPr>
      </w:pPr>
      <w:r w:rsidRPr="00EC5B7E">
        <w:rPr>
          <w:noProof/>
        </w:rPr>
        <w:tab/>
      </w:r>
      <w:r w:rsidR="0038014B" w:rsidRPr="00EC5B7E">
        <w:rPr>
          <w:noProof/>
          <w:position w:val="-60"/>
        </w:rPr>
        <w:object w:dxaOrig="5700" w:dyaOrig="1020" w14:anchorId="3E3BAB84">
          <v:shape id="_x0000_i1072" type="#_x0000_t75" alt="" style="width:283.75pt;height:52.25pt;mso-width-percent:0;mso-height-percent:0;mso-width-percent:0;mso-height-percent:0" o:ole="">
            <v:imagedata r:id="rId318" o:title=""/>
          </v:shape>
          <o:OLEObject Type="Embed" ProgID="Equation.DSMT4" ShapeID="_x0000_i1072" DrawAspect="Content" ObjectID="_1758969559" r:id="rId319"/>
        </w:object>
      </w:r>
      <w:r w:rsidRPr="00EC5B7E">
        <w:rPr>
          <w:noProof/>
        </w:rPr>
        <w:tab/>
      </w:r>
      <w:r w:rsidRPr="00EC5B7E">
        <w:rPr>
          <w:noProof/>
        </w:rPr>
        <w:fldChar w:fldCharType="begin"/>
      </w:r>
      <w:r w:rsidRPr="00EC5B7E">
        <w:rPr>
          <w:noProof/>
        </w:rPr>
        <w:instrText xml:space="preserve"> MACROBUTTON MTPlaceRef \* MERGEFORMAT </w:instrText>
      </w:r>
      <w:r w:rsidRPr="00EC5B7E">
        <w:rPr>
          <w:noProof/>
        </w:rPr>
        <w:fldChar w:fldCharType="begin"/>
      </w:r>
      <w:r w:rsidRPr="00EC5B7E">
        <w:rPr>
          <w:noProof/>
        </w:rPr>
        <w:instrText xml:space="preserve"> SEQ MTEqn \h \* MERGEFORMAT </w:instrText>
      </w:r>
      <w:r w:rsidRPr="00EC5B7E">
        <w:rPr>
          <w:noProof/>
        </w:rPr>
        <w:fldChar w:fldCharType="end"/>
      </w:r>
      <w:r w:rsidRPr="00EC5B7E">
        <w:rPr>
          <w:noProof/>
        </w:rPr>
        <w:instrText>(</w:instrText>
      </w:r>
      <w:r w:rsidRPr="00EC5B7E">
        <w:rPr>
          <w:noProof/>
        </w:rPr>
        <w:fldChar w:fldCharType="begin"/>
      </w:r>
      <w:r w:rsidRPr="00EC5B7E">
        <w:rPr>
          <w:noProof/>
        </w:rPr>
        <w:instrText xml:space="preserve"> SEQ MTSec \c \* Alphabetic \* MERGEFORMAT </w:instrText>
      </w:r>
      <w:r w:rsidRPr="00EC5B7E">
        <w:rPr>
          <w:noProof/>
        </w:rPr>
        <w:fldChar w:fldCharType="separate"/>
      </w:r>
      <w:r>
        <w:rPr>
          <w:noProof/>
        </w:rPr>
        <w:instrText>A</w:instrText>
      </w:r>
      <w:r w:rsidRPr="00EC5B7E">
        <w:rPr>
          <w:noProof/>
        </w:rPr>
        <w:fldChar w:fldCharType="end"/>
      </w:r>
      <w:r w:rsidRPr="00EC5B7E">
        <w:rPr>
          <w:noProof/>
        </w:rPr>
        <w:fldChar w:fldCharType="begin"/>
      </w:r>
      <w:r w:rsidRPr="00EC5B7E">
        <w:rPr>
          <w:noProof/>
        </w:rPr>
        <w:instrText xml:space="preserve"> SEQ MTEqn \c \* Arabic \* MERGEFORMAT </w:instrText>
      </w:r>
      <w:r w:rsidRPr="00EC5B7E">
        <w:rPr>
          <w:noProof/>
        </w:rPr>
        <w:fldChar w:fldCharType="separate"/>
      </w:r>
      <w:r>
        <w:rPr>
          <w:noProof/>
        </w:rPr>
        <w:instrText>24</w:instrText>
      </w:r>
      <w:r w:rsidRPr="00EC5B7E">
        <w:rPr>
          <w:noProof/>
        </w:rPr>
        <w:fldChar w:fldCharType="end"/>
      </w:r>
      <w:r w:rsidRPr="00EC5B7E">
        <w:rPr>
          <w:noProof/>
        </w:rPr>
        <w:instrText>)</w:instrText>
      </w:r>
      <w:r w:rsidRPr="00EC5B7E">
        <w:rPr>
          <w:noProof/>
        </w:rPr>
        <w:fldChar w:fldCharType="end"/>
      </w:r>
    </w:p>
    <w:p w14:paraId="38506591" w14:textId="77777777" w:rsidR="008F30F4" w:rsidRPr="00EC5B7E" w:rsidRDefault="008F30F4" w:rsidP="008F30F4">
      <w:pPr>
        <w:pStyle w:val="ListParagraph"/>
        <w:widowControl w:val="0"/>
        <w:numPr>
          <w:ilvl w:val="0"/>
          <w:numId w:val="44"/>
        </w:numPr>
        <w:spacing w:before="0" w:line="240" w:lineRule="auto"/>
        <w:jc w:val="both"/>
        <w:rPr>
          <w:rFonts w:cs="Times New Roman"/>
          <w:sz w:val="22"/>
          <w:szCs w:val="22"/>
        </w:rPr>
      </w:pPr>
      <w:r w:rsidRPr="00EC5B7E">
        <w:rPr>
          <w:rFonts w:cs="Times New Roman"/>
          <w:sz w:val="22"/>
          <w:szCs w:val="22"/>
        </w:rPr>
        <w:t>In each subsector, the ratio of SOE to POE capital intensities matches the observed level in the data.</w:t>
      </w:r>
    </w:p>
    <w:p w14:paraId="7F554330" w14:textId="77777777" w:rsidR="008F30F4" w:rsidRPr="00EC5B7E" w:rsidRDefault="008F30F4" w:rsidP="008F30F4">
      <w:pPr>
        <w:pStyle w:val="a2"/>
      </w:pPr>
      <w:r w:rsidRPr="00EC5B7E">
        <w:tab/>
      </w:r>
      <w:r w:rsidR="0038014B" w:rsidRPr="00EC5B7E">
        <w:rPr>
          <w:noProof/>
          <w:position w:val="-34"/>
        </w:rPr>
        <w:object w:dxaOrig="1520" w:dyaOrig="760" w14:anchorId="4EA4CAAA">
          <v:shape id="_x0000_i1071" type="#_x0000_t75" alt="" style="width:79.05pt;height:38.1pt;mso-width-percent:0;mso-height-percent:0;mso-width-percent:0;mso-height-percent:0" o:ole="">
            <v:imagedata r:id="rId320" o:title=""/>
          </v:shape>
          <o:OLEObject Type="Embed" ProgID="Equation.DSMT4" ShapeID="_x0000_i1071" DrawAspect="Content" ObjectID="_1758969560" r:id="rId321"/>
        </w:object>
      </w:r>
      <w:r w:rsidRPr="00EC5B7E">
        <w:tab/>
      </w:r>
      <w:r w:rsidRPr="00EC5B7E">
        <w:fldChar w:fldCharType="begin"/>
      </w:r>
      <w:r w:rsidRPr="00EC5B7E">
        <w:instrText xml:space="preserve"> MACROBUTTON MTPlaceRef \* MERGEFORMAT </w:instrText>
      </w:r>
      <w:r w:rsidRPr="00EC5B7E">
        <w:fldChar w:fldCharType="begin"/>
      </w:r>
      <w:r w:rsidRPr="00EC5B7E">
        <w:instrText xml:space="preserve"> SEQ MTEqn \h \* MERGEFORMAT </w:instrText>
      </w:r>
      <w:r w:rsidRPr="00EC5B7E">
        <w:fldChar w:fldCharType="end"/>
      </w:r>
      <w:r w:rsidRPr="00EC5B7E">
        <w:instrText>(</w:instrText>
      </w:r>
      <w:fldSimple w:instr=" SEQ MTSec \c \* Alphabetic \* MERGEFORMAT ">
        <w:r>
          <w:rPr>
            <w:noProof/>
          </w:rPr>
          <w:instrText>A</w:instrText>
        </w:r>
      </w:fldSimple>
      <w:fldSimple w:instr=" SEQ MTEqn \c \* Arabic \* MERGEFORMAT ">
        <w:r>
          <w:rPr>
            <w:noProof/>
          </w:rPr>
          <w:instrText>25</w:instrText>
        </w:r>
      </w:fldSimple>
      <w:r w:rsidRPr="00EC5B7E">
        <w:instrText>)</w:instrText>
      </w:r>
      <w:r w:rsidRPr="00EC5B7E">
        <w:fldChar w:fldCharType="end"/>
      </w:r>
    </w:p>
    <w:p w14:paraId="04FF8EA3" w14:textId="77777777" w:rsidR="008F30F4" w:rsidRPr="00EC5B7E" w:rsidRDefault="008F30F4" w:rsidP="008F30F4">
      <w:pPr>
        <w:pStyle w:val="ListParagraph"/>
        <w:widowControl w:val="0"/>
        <w:numPr>
          <w:ilvl w:val="0"/>
          <w:numId w:val="44"/>
        </w:numPr>
        <w:spacing w:before="0" w:line="240" w:lineRule="auto"/>
        <w:rPr>
          <w:rFonts w:cs="Times New Roman"/>
          <w:sz w:val="22"/>
          <w:szCs w:val="22"/>
        </w:rPr>
      </w:pPr>
      <w:r w:rsidRPr="00EC5B7E">
        <w:rPr>
          <w:rFonts w:cs="Times New Roman"/>
          <w:sz w:val="22"/>
          <w:szCs w:val="22"/>
        </w:rPr>
        <w:t>In each subsector, the combined capital used by SOEs and POEs matches the data.</w:t>
      </w:r>
    </w:p>
    <w:p w14:paraId="5B0FC2FA" w14:textId="77777777" w:rsidR="008F30F4" w:rsidRPr="00EC5B7E" w:rsidRDefault="008F30F4" w:rsidP="008F30F4">
      <w:pPr>
        <w:pStyle w:val="a2"/>
      </w:pPr>
      <w:r w:rsidRPr="00EC5B7E">
        <w:tab/>
      </w:r>
      <w:r w:rsidR="0038014B" w:rsidRPr="00EC5B7E">
        <w:rPr>
          <w:noProof/>
          <w:position w:val="-14"/>
        </w:rPr>
        <w:object w:dxaOrig="1560" w:dyaOrig="400" w14:anchorId="494504F7">
          <v:shape id="_x0000_i1070" type="#_x0000_t75" alt="" style="width:79.75pt;height:20.45pt;mso-width-percent:0;mso-height-percent:0;mso-width-percent:0;mso-height-percent:0" o:ole="">
            <v:imagedata r:id="rId322" o:title=""/>
          </v:shape>
          <o:OLEObject Type="Embed" ProgID="Equation.DSMT4" ShapeID="_x0000_i1070" DrawAspect="Content" ObjectID="_1758969561" r:id="rId323"/>
        </w:object>
      </w:r>
      <w:r w:rsidRPr="00EC5B7E">
        <w:tab/>
      </w:r>
      <w:r w:rsidRPr="00EC5B7E">
        <w:fldChar w:fldCharType="begin"/>
      </w:r>
      <w:r w:rsidRPr="00EC5B7E">
        <w:instrText xml:space="preserve"> MACROBUTTON MTPlaceRef \* MERGEFORMAT </w:instrText>
      </w:r>
      <w:r w:rsidRPr="00EC5B7E">
        <w:fldChar w:fldCharType="begin"/>
      </w:r>
      <w:r w:rsidRPr="00EC5B7E">
        <w:instrText xml:space="preserve"> SEQ MTEqn \h \* MERGEFORMAT </w:instrText>
      </w:r>
      <w:r w:rsidRPr="00EC5B7E">
        <w:fldChar w:fldCharType="end"/>
      </w:r>
      <w:r w:rsidRPr="00EC5B7E">
        <w:instrText>(</w:instrText>
      </w:r>
      <w:fldSimple w:instr=" SEQ MTSec \c \* Alphabetic \* MERGEFORMAT ">
        <w:r>
          <w:rPr>
            <w:noProof/>
          </w:rPr>
          <w:instrText>A</w:instrText>
        </w:r>
      </w:fldSimple>
      <w:fldSimple w:instr=" SEQ MTEqn \c \* Arabic \* MERGEFORMAT ">
        <w:r>
          <w:rPr>
            <w:noProof/>
          </w:rPr>
          <w:instrText>26</w:instrText>
        </w:r>
      </w:fldSimple>
      <w:r w:rsidRPr="00EC5B7E">
        <w:instrText>)</w:instrText>
      </w:r>
      <w:r w:rsidRPr="00EC5B7E">
        <w:fldChar w:fldCharType="end"/>
      </w:r>
    </w:p>
    <w:p w14:paraId="06B7E0C4" w14:textId="77777777" w:rsidR="008F30F4" w:rsidRPr="00EC5B7E" w:rsidRDefault="008F30F4" w:rsidP="008F30F4">
      <w:pPr>
        <w:pStyle w:val="ListParagraph"/>
        <w:widowControl w:val="0"/>
        <w:numPr>
          <w:ilvl w:val="0"/>
          <w:numId w:val="44"/>
        </w:numPr>
        <w:spacing w:before="0" w:line="240" w:lineRule="auto"/>
        <w:rPr>
          <w:rFonts w:cs="Times New Roman"/>
          <w:sz w:val="22"/>
          <w:szCs w:val="22"/>
        </w:rPr>
      </w:pPr>
      <w:r w:rsidRPr="00EC5B7E">
        <w:rPr>
          <w:rFonts w:cs="Times New Roman"/>
          <w:sz w:val="22"/>
          <w:szCs w:val="22"/>
        </w:rPr>
        <w:t xml:space="preserve">In each subsector, the combined labor used by SOEs and POEs matches the data. </w:t>
      </w:r>
    </w:p>
    <w:p w14:paraId="573680EA" w14:textId="77777777" w:rsidR="008F30F4" w:rsidRPr="00EC5B7E" w:rsidRDefault="008F30F4" w:rsidP="008F30F4">
      <w:pPr>
        <w:pStyle w:val="a2"/>
      </w:pPr>
      <w:r w:rsidRPr="00EC5B7E">
        <w:tab/>
      </w:r>
      <w:r w:rsidR="0038014B" w:rsidRPr="00EC5B7E">
        <w:rPr>
          <w:noProof/>
          <w:position w:val="-14"/>
        </w:rPr>
        <w:object w:dxaOrig="1600" w:dyaOrig="400" w14:anchorId="5C0C6A5F">
          <v:shape id="_x0000_i1069" type="#_x0000_t75" alt="" style="width:81.2pt;height:20.45pt;mso-width-percent:0;mso-height-percent:0;mso-width-percent:0;mso-height-percent:0" o:ole="">
            <v:imagedata r:id="rId324" o:title=""/>
          </v:shape>
          <o:OLEObject Type="Embed" ProgID="Equation.DSMT4" ShapeID="_x0000_i1069" DrawAspect="Content" ObjectID="_1758969562" r:id="rId325"/>
        </w:object>
      </w:r>
      <w:r w:rsidRPr="00EC5B7E">
        <w:tab/>
      </w:r>
      <w:r w:rsidRPr="00EC5B7E">
        <w:fldChar w:fldCharType="begin"/>
      </w:r>
      <w:r w:rsidRPr="00EC5B7E">
        <w:instrText xml:space="preserve"> MACROBUTTON MTPlaceRef \* MERGEFORMAT </w:instrText>
      </w:r>
      <w:r w:rsidRPr="00EC5B7E">
        <w:fldChar w:fldCharType="begin"/>
      </w:r>
      <w:r w:rsidRPr="00EC5B7E">
        <w:instrText xml:space="preserve"> SEQ MTEqn \h \* MERGEFORMAT </w:instrText>
      </w:r>
      <w:r w:rsidRPr="00EC5B7E">
        <w:fldChar w:fldCharType="end"/>
      </w:r>
      <w:r w:rsidRPr="00EC5B7E">
        <w:instrText>(</w:instrText>
      </w:r>
      <w:fldSimple w:instr=" SEQ MTSec \c \* Alphabetic \* MERGEFORMAT ">
        <w:r>
          <w:rPr>
            <w:noProof/>
          </w:rPr>
          <w:instrText>A</w:instrText>
        </w:r>
      </w:fldSimple>
      <w:fldSimple w:instr=" SEQ MTEqn \c \* Arabic \* MERGEFORMAT ">
        <w:r>
          <w:rPr>
            <w:noProof/>
          </w:rPr>
          <w:instrText>27</w:instrText>
        </w:r>
      </w:fldSimple>
      <w:r w:rsidRPr="00EC5B7E">
        <w:instrText>)</w:instrText>
      </w:r>
      <w:r w:rsidRPr="00EC5B7E">
        <w:fldChar w:fldCharType="end"/>
      </w:r>
    </w:p>
    <w:p w14:paraId="60FC764F" w14:textId="77777777" w:rsidR="008F30F4" w:rsidRPr="00EC5B7E" w:rsidRDefault="008F30F4" w:rsidP="008F30F4">
      <w:pPr>
        <w:pStyle w:val="ListParagraph"/>
        <w:widowControl w:val="0"/>
        <w:numPr>
          <w:ilvl w:val="0"/>
          <w:numId w:val="44"/>
        </w:numPr>
        <w:spacing w:before="0" w:line="240" w:lineRule="auto"/>
        <w:rPr>
          <w:rFonts w:cs="Times New Roman"/>
          <w:sz w:val="22"/>
          <w:szCs w:val="22"/>
        </w:rPr>
      </w:pPr>
      <w:r w:rsidRPr="00EC5B7E">
        <w:rPr>
          <w:rFonts w:cs="Times New Roman"/>
          <w:sz w:val="22"/>
          <w:szCs w:val="22"/>
        </w:rPr>
        <w:t>The combined tax revenue of SOEs and POEs, after deducting subsidies to each subsector matches the data.</w:t>
      </w:r>
    </w:p>
    <w:p w14:paraId="5053A4B7" w14:textId="77777777" w:rsidR="008F30F4" w:rsidRPr="00EC5B7E" w:rsidRDefault="008F30F4" w:rsidP="008F30F4">
      <w:pPr>
        <w:pStyle w:val="a2"/>
      </w:pPr>
      <w:r w:rsidRPr="00EC5B7E">
        <w:tab/>
      </w:r>
      <w:r w:rsidR="0038014B" w:rsidRPr="00EC5B7E">
        <w:rPr>
          <w:noProof/>
          <w:position w:val="-26"/>
        </w:rPr>
        <w:object w:dxaOrig="5920" w:dyaOrig="540" w14:anchorId="00BD74C8">
          <v:shape id="_x0000_i1068" type="#_x0000_t75" alt="" style="width:295.05pt;height:24pt;mso-width-percent:0;mso-height-percent:0;mso-width-percent:0;mso-height-percent:0" o:ole="">
            <v:imagedata r:id="rId326" o:title=""/>
          </v:shape>
          <o:OLEObject Type="Embed" ProgID="Equation.DSMT4" ShapeID="_x0000_i1068" DrawAspect="Content" ObjectID="_1758969563" r:id="rId327"/>
        </w:object>
      </w:r>
      <w:r w:rsidRPr="00EC5B7E">
        <w:tab/>
      </w:r>
      <w:r w:rsidRPr="00EC5B7E">
        <w:fldChar w:fldCharType="begin"/>
      </w:r>
      <w:r w:rsidRPr="00EC5B7E">
        <w:instrText xml:space="preserve"> MACROBUTTON MTPlaceRef \* MERGEFORMAT </w:instrText>
      </w:r>
      <w:r w:rsidRPr="00EC5B7E">
        <w:fldChar w:fldCharType="begin"/>
      </w:r>
      <w:r w:rsidRPr="00EC5B7E">
        <w:instrText xml:space="preserve"> SEQ MTEqn \h \* MERGEFORMAT </w:instrText>
      </w:r>
      <w:r w:rsidRPr="00EC5B7E">
        <w:fldChar w:fldCharType="end"/>
      </w:r>
      <w:r w:rsidRPr="00EC5B7E">
        <w:instrText>(</w:instrText>
      </w:r>
      <w:fldSimple w:instr=" SEQ MTSec \c \* Alphabetic \* MERGEFORMAT ">
        <w:r>
          <w:rPr>
            <w:noProof/>
          </w:rPr>
          <w:instrText>A</w:instrText>
        </w:r>
      </w:fldSimple>
      <w:fldSimple w:instr=" SEQ MTEqn \c \* Arabic \* MERGEFORMAT ">
        <w:r>
          <w:rPr>
            <w:noProof/>
          </w:rPr>
          <w:instrText>28</w:instrText>
        </w:r>
      </w:fldSimple>
      <w:r w:rsidRPr="00EC5B7E">
        <w:instrText>)</w:instrText>
      </w:r>
      <w:r w:rsidRPr="00EC5B7E">
        <w:fldChar w:fldCharType="end"/>
      </w:r>
    </w:p>
    <w:p w14:paraId="33E2EF86" w14:textId="77777777" w:rsidR="008F30F4" w:rsidRPr="00EC5B7E" w:rsidRDefault="008F30F4" w:rsidP="008F30F4">
      <w:pPr>
        <w:ind w:firstLine="720"/>
        <w:rPr>
          <w:rFonts w:cs="Times New Roman"/>
          <w:sz w:val="22"/>
          <w:szCs w:val="22"/>
        </w:rPr>
      </w:pPr>
      <w:r w:rsidRPr="00EC5B7E">
        <w:rPr>
          <w:rFonts w:cs="Times New Roman"/>
          <w:sz w:val="22"/>
          <w:szCs w:val="22"/>
        </w:rPr>
        <w:t xml:space="preserve">The five sets of conditions correspond to five types </w:t>
      </w:r>
      <w:r>
        <w:rPr>
          <w:rFonts w:cs="Times New Roman"/>
          <w:sz w:val="22"/>
          <w:szCs w:val="22"/>
        </w:rPr>
        <w:t xml:space="preserve">of </w:t>
      </w:r>
      <w:r w:rsidRPr="00EC5B7E">
        <w:rPr>
          <w:rFonts w:cs="Times New Roman"/>
          <w:sz w:val="22"/>
          <w:szCs w:val="22"/>
        </w:rPr>
        <w:t xml:space="preserve">parameters. For the cases where a subsector </w:t>
      </w:r>
      <w:r w:rsidRPr="00EC5B7E">
        <w:rPr>
          <w:rFonts w:cs="Times New Roman"/>
          <w:i/>
          <w:iCs/>
          <w:sz w:val="22"/>
          <w:szCs w:val="22"/>
        </w:rPr>
        <w:t xml:space="preserve">k </w:t>
      </w:r>
      <w:r w:rsidRPr="00EC5B7E">
        <w:rPr>
          <w:rFonts w:cs="Times New Roman"/>
          <w:sz w:val="22"/>
          <w:szCs w:val="22"/>
        </w:rPr>
        <w:t>applies, the five parameters are: (1)</w:t>
      </w:r>
      <w:r w:rsidRPr="00EC5B7E">
        <w:rPr>
          <w:rFonts w:hint="eastAsia"/>
          <w:noProof/>
          <w:sz w:val="22"/>
          <w:szCs w:val="22"/>
        </w:rPr>
        <w:t xml:space="preserve"> </w:t>
      </w:r>
      <w:r w:rsidR="0038014B" w:rsidRPr="00EC5B7E">
        <w:rPr>
          <w:noProof/>
          <w:position w:val="-14"/>
          <w:sz w:val="22"/>
          <w:szCs w:val="22"/>
        </w:rPr>
        <w:object w:dxaOrig="440" w:dyaOrig="380" w14:anchorId="50AC20EF">
          <v:shape id="_x0000_i1067" type="#_x0000_t75" alt="" style="width:19.75pt;height:20.45pt;mso-width-percent:0;mso-height-percent:0;mso-width-percent:0;mso-height-percent:0" o:ole="">
            <v:imagedata r:id="rId328" o:title=""/>
          </v:shape>
          <o:OLEObject Type="Embed" ProgID="Equation.DSMT4" ShapeID="_x0000_i1067" DrawAspect="Content" ObjectID="_1758969564" r:id="rId329"/>
        </w:object>
      </w:r>
      <w:r w:rsidRPr="00EC5B7E">
        <w:rPr>
          <w:rFonts w:cs="Times New Roman"/>
          <w:sz w:val="22"/>
          <w:szCs w:val="22"/>
        </w:rPr>
        <w:t xml:space="preserve">, the benchmark capital input quantity of SOEs of sector </w:t>
      </w:r>
      <w:r w:rsidRPr="00EC5B7E">
        <w:rPr>
          <w:rFonts w:cs="Times New Roman"/>
          <w:i/>
          <w:iCs/>
          <w:sz w:val="22"/>
          <w:szCs w:val="22"/>
        </w:rPr>
        <w:t>j</w:t>
      </w:r>
      <w:r w:rsidRPr="00EC5B7E">
        <w:rPr>
          <w:rFonts w:cs="Times New Roman"/>
          <w:sz w:val="22"/>
          <w:szCs w:val="22"/>
        </w:rPr>
        <w:t xml:space="preserve">, subsector </w:t>
      </w:r>
      <w:r w:rsidRPr="00EC5B7E">
        <w:rPr>
          <w:rFonts w:cs="Times New Roman"/>
          <w:i/>
          <w:iCs/>
          <w:sz w:val="22"/>
          <w:szCs w:val="22"/>
        </w:rPr>
        <w:t>k</w:t>
      </w:r>
      <w:r w:rsidRPr="00EC5B7E">
        <w:rPr>
          <w:rFonts w:cs="Times New Roman"/>
          <w:sz w:val="22"/>
          <w:szCs w:val="22"/>
        </w:rPr>
        <w:t>; (2)</w:t>
      </w:r>
      <w:r w:rsidRPr="00EC5B7E">
        <w:rPr>
          <w:rFonts w:hint="eastAsia"/>
          <w:noProof/>
          <w:sz w:val="22"/>
          <w:szCs w:val="22"/>
        </w:rPr>
        <w:t xml:space="preserve"> </w:t>
      </w:r>
      <w:r w:rsidR="0038014B" w:rsidRPr="00EC5B7E">
        <w:rPr>
          <w:noProof/>
          <w:position w:val="-14"/>
          <w:sz w:val="22"/>
          <w:szCs w:val="22"/>
        </w:rPr>
        <w:object w:dxaOrig="440" w:dyaOrig="380" w14:anchorId="026A4FB0">
          <v:shape id="_x0000_i1066" type="#_x0000_t75" alt="" style="width:19.75pt;height:20.45pt;mso-width-percent:0;mso-height-percent:0;mso-width-percent:0;mso-height-percent:0" o:ole="">
            <v:imagedata r:id="rId330" o:title=""/>
          </v:shape>
          <o:OLEObject Type="Embed" ProgID="Equation.DSMT4" ShapeID="_x0000_i1066" DrawAspect="Content" ObjectID="_1758969565" r:id="rId331"/>
        </w:object>
      </w:r>
      <w:r w:rsidRPr="00EC5B7E">
        <w:rPr>
          <w:rFonts w:cs="Times New Roman"/>
          <w:sz w:val="22"/>
          <w:szCs w:val="22"/>
        </w:rPr>
        <w:t xml:space="preserve">, the benchmark capital input quantity of POEs of sector </w:t>
      </w:r>
      <w:r w:rsidRPr="00EC5B7E">
        <w:rPr>
          <w:rFonts w:cs="Times New Roman"/>
          <w:i/>
          <w:iCs/>
          <w:sz w:val="22"/>
          <w:szCs w:val="22"/>
        </w:rPr>
        <w:t>j</w:t>
      </w:r>
      <w:r w:rsidRPr="00EC5B7E">
        <w:rPr>
          <w:rFonts w:cs="Times New Roman"/>
          <w:sz w:val="22"/>
          <w:szCs w:val="22"/>
        </w:rPr>
        <w:t xml:space="preserve">, subsector </w:t>
      </w:r>
      <w:r w:rsidRPr="00EC5B7E">
        <w:rPr>
          <w:rFonts w:cs="Times New Roman"/>
          <w:i/>
          <w:iCs/>
          <w:sz w:val="22"/>
          <w:szCs w:val="22"/>
        </w:rPr>
        <w:t>k</w:t>
      </w:r>
      <w:r w:rsidRPr="00EC5B7E">
        <w:rPr>
          <w:rFonts w:cs="Times New Roman"/>
          <w:sz w:val="22"/>
          <w:szCs w:val="22"/>
        </w:rPr>
        <w:t>; (3)</w:t>
      </w:r>
      <w:r w:rsidRPr="00EC5B7E">
        <w:rPr>
          <w:rFonts w:hint="eastAsia"/>
          <w:noProof/>
          <w:sz w:val="22"/>
          <w:szCs w:val="22"/>
        </w:rPr>
        <w:t xml:space="preserve"> </w:t>
      </w:r>
      <w:r w:rsidR="0038014B" w:rsidRPr="00EC5B7E">
        <w:rPr>
          <w:noProof/>
          <w:position w:val="-14"/>
          <w:sz w:val="22"/>
          <w:szCs w:val="22"/>
        </w:rPr>
        <w:object w:dxaOrig="440" w:dyaOrig="380" w14:anchorId="19898F90">
          <v:shape id="_x0000_i1065" type="#_x0000_t75" alt="" style="width:19.75pt;height:20.45pt;mso-width-percent:0;mso-height-percent:0;mso-width-percent:0;mso-height-percent:0" o:ole="">
            <v:imagedata r:id="rId332" o:title=""/>
          </v:shape>
          <o:OLEObject Type="Embed" ProgID="Equation.DSMT4" ShapeID="_x0000_i1065" DrawAspect="Content" ObjectID="_1758969566" r:id="rId333"/>
        </w:object>
      </w:r>
      <w:r w:rsidRPr="00EC5B7E">
        <w:rPr>
          <w:rFonts w:cs="Times New Roman"/>
          <w:sz w:val="22"/>
          <w:szCs w:val="22"/>
        </w:rPr>
        <w:t xml:space="preserve">, the benchmark labor input quantity of SOEs of sector </w:t>
      </w:r>
      <w:r w:rsidRPr="00EC5B7E">
        <w:rPr>
          <w:rFonts w:cs="Times New Roman"/>
          <w:i/>
          <w:iCs/>
          <w:sz w:val="22"/>
          <w:szCs w:val="22"/>
        </w:rPr>
        <w:t>j</w:t>
      </w:r>
      <w:r w:rsidRPr="00EC5B7E">
        <w:rPr>
          <w:rFonts w:cs="Times New Roman"/>
          <w:sz w:val="22"/>
          <w:szCs w:val="22"/>
        </w:rPr>
        <w:t xml:space="preserve">, subsector </w:t>
      </w:r>
      <w:r w:rsidRPr="00EC5B7E">
        <w:rPr>
          <w:rFonts w:cs="Times New Roman"/>
          <w:i/>
          <w:iCs/>
          <w:sz w:val="22"/>
          <w:szCs w:val="22"/>
        </w:rPr>
        <w:t>k</w:t>
      </w:r>
      <w:r w:rsidRPr="00EC5B7E">
        <w:rPr>
          <w:rFonts w:cs="Times New Roman"/>
          <w:sz w:val="22"/>
          <w:szCs w:val="22"/>
        </w:rPr>
        <w:t>; (4)</w:t>
      </w:r>
      <w:r w:rsidRPr="00EC5B7E">
        <w:rPr>
          <w:rFonts w:hint="eastAsia"/>
          <w:noProof/>
          <w:sz w:val="22"/>
          <w:szCs w:val="22"/>
        </w:rPr>
        <w:t xml:space="preserve"> </w:t>
      </w:r>
      <w:r w:rsidR="0038014B" w:rsidRPr="00EC5B7E">
        <w:rPr>
          <w:noProof/>
          <w:position w:val="-14"/>
          <w:sz w:val="22"/>
          <w:szCs w:val="22"/>
        </w:rPr>
        <w:object w:dxaOrig="460" w:dyaOrig="380" w14:anchorId="5A6C812A">
          <v:shape id="_x0000_i1064" type="#_x0000_t75" alt="" style="width:24pt;height:20.45pt;mso-width-percent:0;mso-height-percent:0;mso-width-percent:0;mso-height-percent:0" o:ole="">
            <v:imagedata r:id="rId334" o:title=""/>
          </v:shape>
          <o:OLEObject Type="Embed" ProgID="Equation.DSMT4" ShapeID="_x0000_i1064" DrawAspect="Content" ObjectID="_1758969567" r:id="rId335"/>
        </w:object>
      </w:r>
      <w:r w:rsidRPr="00EC5B7E">
        <w:rPr>
          <w:rFonts w:cs="Times New Roman"/>
          <w:sz w:val="22"/>
          <w:szCs w:val="22"/>
        </w:rPr>
        <w:t xml:space="preserve">, the benchmark labor input quantity of POEs of sector </w:t>
      </w:r>
      <w:r w:rsidRPr="00EC5B7E">
        <w:rPr>
          <w:rFonts w:cs="Times New Roman"/>
          <w:i/>
          <w:iCs/>
          <w:sz w:val="22"/>
          <w:szCs w:val="22"/>
        </w:rPr>
        <w:t>j</w:t>
      </w:r>
      <w:r w:rsidRPr="00EC5B7E">
        <w:rPr>
          <w:rFonts w:cs="Times New Roman"/>
          <w:sz w:val="22"/>
          <w:szCs w:val="22"/>
        </w:rPr>
        <w:t xml:space="preserve">, subsector </w:t>
      </w:r>
      <w:r w:rsidRPr="00EC5B7E">
        <w:rPr>
          <w:rFonts w:cs="Times New Roman"/>
          <w:i/>
          <w:iCs/>
          <w:sz w:val="22"/>
          <w:szCs w:val="22"/>
        </w:rPr>
        <w:t>k</w:t>
      </w:r>
      <w:r w:rsidRPr="00EC5B7E">
        <w:rPr>
          <w:rFonts w:cs="Times New Roman"/>
          <w:sz w:val="22"/>
          <w:szCs w:val="22"/>
        </w:rPr>
        <w:t xml:space="preserve">; and (5) </w:t>
      </w:r>
      <w:r w:rsidR="0038014B" w:rsidRPr="00EC5B7E">
        <w:rPr>
          <w:noProof/>
          <w:position w:val="-14"/>
          <w:sz w:val="22"/>
          <w:szCs w:val="22"/>
        </w:rPr>
        <w:object w:dxaOrig="420" w:dyaOrig="380" w14:anchorId="24724DEB">
          <v:shape id="_x0000_i1063" type="#_x0000_t75" alt="" style="width:19.75pt;height:20.45pt;mso-width-percent:0;mso-height-percent:0;mso-width-percent:0;mso-height-percent:0" o:ole="">
            <v:imagedata r:id="rId336" o:title=""/>
          </v:shape>
          <o:OLEObject Type="Embed" ProgID="Equation.DSMT4" ShapeID="_x0000_i1063" DrawAspect="Content" ObjectID="_1758969568" r:id="rId337"/>
        </w:object>
      </w:r>
      <w:r w:rsidRPr="00EC5B7E">
        <w:rPr>
          <w:rFonts w:cs="Times New Roman"/>
          <w:sz w:val="22"/>
          <w:szCs w:val="22"/>
        </w:rPr>
        <w:t xml:space="preserve">, the labor tax rate of SOEs of sector </w:t>
      </w:r>
      <w:r w:rsidRPr="00EC5B7E">
        <w:rPr>
          <w:rFonts w:cs="Times New Roman"/>
          <w:i/>
          <w:iCs/>
          <w:sz w:val="22"/>
          <w:szCs w:val="22"/>
        </w:rPr>
        <w:t>j</w:t>
      </w:r>
      <w:r w:rsidRPr="00EC5B7E">
        <w:rPr>
          <w:rFonts w:cs="Times New Roman"/>
          <w:sz w:val="22"/>
          <w:szCs w:val="22"/>
        </w:rPr>
        <w:t xml:space="preserve">, subsector </w:t>
      </w:r>
      <w:r w:rsidRPr="00EC5B7E">
        <w:rPr>
          <w:rFonts w:cs="Times New Roman"/>
          <w:i/>
          <w:iCs/>
          <w:sz w:val="22"/>
          <w:szCs w:val="22"/>
        </w:rPr>
        <w:t>k.</w:t>
      </w:r>
    </w:p>
    <w:p w14:paraId="240BC8DD" w14:textId="77777777" w:rsidR="008F30F4" w:rsidRPr="00EC5B7E" w:rsidRDefault="008F30F4" w:rsidP="008F30F4">
      <w:pPr>
        <w:ind w:firstLine="720"/>
        <w:rPr>
          <w:rFonts w:cs="Times New Roman"/>
          <w:sz w:val="22"/>
          <w:szCs w:val="22"/>
        </w:rPr>
      </w:pPr>
      <w:r w:rsidRPr="00EC5B7E">
        <w:rPr>
          <w:rFonts w:cs="Times New Roman"/>
          <w:sz w:val="22"/>
          <w:szCs w:val="22"/>
        </w:rPr>
        <w:t>The relationship between parameters and conditions is not a simple one-to-one mapping, since some conditions (e.g., conditions 1 and 5) are met by combinations of parameters. The conditions and parameters imply a</w:t>
      </w:r>
      <w:r w:rsidRPr="00EC5B7E">
        <w:rPr>
          <w:rFonts w:cs="Times New Roman"/>
          <w:i/>
          <w:iCs/>
          <w:sz w:val="22"/>
          <w:szCs w:val="22"/>
        </w:rPr>
        <w:t xml:space="preserve"> 5jk </w:t>
      </w:r>
      <w:r w:rsidRPr="00EC5B7E">
        <w:rPr>
          <w:rFonts w:cs="Times New Roman"/>
          <w:sz w:val="22"/>
          <w:szCs w:val="22"/>
        </w:rPr>
        <w:t xml:space="preserve">simultaneous equation system, which we solve by Gaussian Elimination. </w:t>
      </w:r>
    </w:p>
    <w:p w14:paraId="73259050" w14:textId="77777777" w:rsidR="008F30F4" w:rsidRPr="004548E1" w:rsidRDefault="008F30F4" w:rsidP="008F30F4">
      <w:pPr>
        <w:ind w:firstLine="0"/>
        <w:jc w:val="center"/>
        <w:rPr>
          <w:rFonts w:cs="Times New Roman"/>
          <w:b/>
          <w:bCs/>
          <w:sz w:val="22"/>
          <w:szCs w:val="22"/>
        </w:rPr>
      </w:pPr>
      <w:r w:rsidRPr="004548E1">
        <w:rPr>
          <w:rFonts w:cs="Times New Roman"/>
          <w:b/>
          <w:bCs/>
          <w:sz w:val="22"/>
          <w:szCs w:val="22"/>
        </w:rPr>
        <w:t xml:space="preserve">Table </w:t>
      </w:r>
      <w:r>
        <w:rPr>
          <w:rFonts w:cs="Times New Roman"/>
          <w:b/>
          <w:bCs/>
          <w:sz w:val="22"/>
          <w:szCs w:val="22"/>
        </w:rPr>
        <w:t>C4</w:t>
      </w:r>
      <w:r w:rsidRPr="004548E1">
        <w:rPr>
          <w:rFonts w:cs="Times New Roman"/>
          <w:b/>
          <w:bCs/>
          <w:sz w:val="22"/>
          <w:szCs w:val="22"/>
        </w:rPr>
        <w:t xml:space="preserve">. </w:t>
      </w:r>
      <w:r w:rsidRPr="00C71EF6">
        <w:rPr>
          <w:rFonts w:cs="Times New Roman"/>
          <w:b/>
          <w:bCs/>
          <w:sz w:val="22"/>
          <w:szCs w:val="22"/>
        </w:rPr>
        <w:t xml:space="preserve">Parameters </w:t>
      </w:r>
      <w:r>
        <w:rPr>
          <w:rFonts w:cs="Times New Roman"/>
          <w:b/>
          <w:bCs/>
          <w:sz w:val="22"/>
          <w:szCs w:val="22"/>
        </w:rPr>
        <w:t>R</w:t>
      </w:r>
      <w:r w:rsidRPr="00C71EF6">
        <w:rPr>
          <w:rFonts w:cs="Times New Roman"/>
          <w:b/>
          <w:bCs/>
          <w:sz w:val="22"/>
          <w:szCs w:val="22"/>
        </w:rPr>
        <w:t>elated to State-Owned Enterprises</w:t>
      </w:r>
      <w:r w:rsidRPr="00F2284A">
        <w:rPr>
          <w:rFonts w:cs="Times New Roman"/>
          <w:b/>
          <w:bCs/>
          <w:sz w:val="22"/>
          <w:szCs w:val="22"/>
        </w:rPr>
        <w:t xml:space="preserve"> </w:t>
      </w:r>
      <w:r w:rsidRPr="00EC5B7E">
        <w:rPr>
          <w:rFonts w:cs="Times New Roman"/>
          <w:b/>
          <w:bCs/>
          <w:sz w:val="22"/>
          <w:szCs w:val="22"/>
        </w:rPr>
        <w:t xml:space="preserve"> </w:t>
      </w:r>
    </w:p>
    <w:tbl>
      <w:tblPr>
        <w:tblStyle w:val="TableGrid"/>
        <w:tblW w:w="7449"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0"/>
        <w:gridCol w:w="6119"/>
      </w:tblGrid>
      <w:tr w:rsidR="008F30F4" w:rsidRPr="00EC5B7E" w14:paraId="3D7F2151" w14:textId="77777777" w:rsidTr="001F21E7">
        <w:trPr>
          <w:trHeight w:val="376"/>
          <w:jc w:val="center"/>
        </w:trPr>
        <w:tc>
          <w:tcPr>
            <w:tcW w:w="1330" w:type="dxa"/>
            <w:tcBorders>
              <w:top w:val="single" w:sz="4" w:space="0" w:color="auto"/>
              <w:bottom w:val="single" w:sz="4" w:space="0" w:color="auto"/>
            </w:tcBorders>
            <w:vAlign w:val="center"/>
            <w:hideMark/>
          </w:tcPr>
          <w:p w14:paraId="031E3897" w14:textId="77777777" w:rsidR="008F30F4" w:rsidRPr="00306BDC" w:rsidRDefault="008F30F4" w:rsidP="001F21E7">
            <w:pPr>
              <w:spacing w:before="0" w:line="240" w:lineRule="auto"/>
              <w:ind w:leftChars="-6" w:left="-3" w:hangingChars="5" w:hanging="11"/>
              <w:contextualSpacing/>
              <w:jc w:val="center"/>
              <w:rPr>
                <w:rFonts w:eastAsia="SimSun" w:cs="Times New Roman"/>
                <w:color w:val="000000"/>
                <w:sz w:val="22"/>
              </w:rPr>
            </w:pPr>
            <w:r w:rsidRPr="00306BDC">
              <w:rPr>
                <w:rFonts w:eastAsia="SimSun" w:cs="Times New Roman"/>
                <w:color w:val="000000"/>
                <w:sz w:val="22"/>
              </w:rPr>
              <w:t>Symbol</w:t>
            </w:r>
          </w:p>
        </w:tc>
        <w:tc>
          <w:tcPr>
            <w:tcW w:w="6119" w:type="dxa"/>
            <w:tcBorders>
              <w:top w:val="single" w:sz="4" w:space="0" w:color="auto"/>
              <w:bottom w:val="single" w:sz="4" w:space="0" w:color="auto"/>
            </w:tcBorders>
            <w:vAlign w:val="center"/>
            <w:hideMark/>
          </w:tcPr>
          <w:p w14:paraId="396D9F25" w14:textId="77777777" w:rsidR="008F30F4" w:rsidRPr="00306BDC" w:rsidRDefault="008F30F4" w:rsidP="001F21E7">
            <w:pPr>
              <w:spacing w:before="0" w:line="240" w:lineRule="auto"/>
              <w:ind w:firstLine="0"/>
              <w:contextualSpacing/>
              <w:jc w:val="center"/>
              <w:rPr>
                <w:rFonts w:eastAsia="SimSun" w:cs="Times New Roman"/>
                <w:color w:val="000000"/>
                <w:sz w:val="22"/>
              </w:rPr>
            </w:pPr>
            <w:r w:rsidRPr="00306BDC">
              <w:rPr>
                <w:rFonts w:eastAsia="SimSun" w:cs="Times New Roman"/>
                <w:color w:val="000000"/>
                <w:sz w:val="22"/>
              </w:rPr>
              <w:t>Definition</w:t>
            </w:r>
          </w:p>
        </w:tc>
      </w:tr>
      <w:tr w:rsidR="008F30F4" w:rsidRPr="00EC5B7E" w14:paraId="00311E96" w14:textId="77777777" w:rsidTr="001F21E7">
        <w:trPr>
          <w:trHeight w:val="376"/>
          <w:jc w:val="center"/>
        </w:trPr>
        <w:tc>
          <w:tcPr>
            <w:tcW w:w="1330" w:type="dxa"/>
            <w:tcBorders>
              <w:top w:val="single" w:sz="4" w:space="0" w:color="auto"/>
            </w:tcBorders>
            <w:vAlign w:val="center"/>
            <w:hideMark/>
          </w:tcPr>
          <w:p w14:paraId="512DE6DC" w14:textId="77777777" w:rsidR="008F30F4" w:rsidRPr="00EC5B7E" w:rsidRDefault="008F30F4" w:rsidP="001F21E7">
            <w:pPr>
              <w:spacing w:before="0" w:line="240" w:lineRule="auto"/>
              <w:ind w:leftChars="-6" w:left="-3" w:hangingChars="5" w:hanging="11"/>
              <w:contextualSpacing/>
              <w:jc w:val="center"/>
              <w:rPr>
                <w:rFonts w:cs="Times New Roman"/>
                <w:i/>
                <w:iCs/>
                <w:sz w:val="22"/>
              </w:rPr>
            </w:pPr>
            <w:r w:rsidRPr="00EC5B7E">
              <w:rPr>
                <w:rFonts w:cs="Times New Roman"/>
                <w:i/>
                <w:iCs/>
                <w:sz w:val="22"/>
              </w:rPr>
              <w:t>j</w:t>
            </w:r>
          </w:p>
        </w:tc>
        <w:tc>
          <w:tcPr>
            <w:tcW w:w="6119" w:type="dxa"/>
            <w:tcBorders>
              <w:top w:val="single" w:sz="4" w:space="0" w:color="auto"/>
            </w:tcBorders>
            <w:vAlign w:val="center"/>
            <w:hideMark/>
          </w:tcPr>
          <w:p w14:paraId="68FE55DE"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Index for sector</w:t>
            </w:r>
          </w:p>
        </w:tc>
      </w:tr>
      <w:tr w:rsidR="008F30F4" w:rsidRPr="00EC5B7E" w14:paraId="6778F393" w14:textId="77777777" w:rsidTr="001F21E7">
        <w:trPr>
          <w:trHeight w:val="376"/>
          <w:jc w:val="center"/>
        </w:trPr>
        <w:tc>
          <w:tcPr>
            <w:tcW w:w="1330" w:type="dxa"/>
            <w:vAlign w:val="center"/>
            <w:hideMark/>
          </w:tcPr>
          <w:p w14:paraId="776F1A69" w14:textId="77777777" w:rsidR="008F30F4" w:rsidRPr="00EC5B7E" w:rsidRDefault="008F30F4" w:rsidP="001F21E7">
            <w:pPr>
              <w:spacing w:before="0" w:line="240" w:lineRule="auto"/>
              <w:ind w:leftChars="-6" w:left="-3" w:hangingChars="5" w:hanging="11"/>
              <w:contextualSpacing/>
              <w:jc w:val="center"/>
              <w:rPr>
                <w:rFonts w:cs="Times New Roman"/>
                <w:i/>
                <w:iCs/>
                <w:sz w:val="22"/>
              </w:rPr>
            </w:pPr>
            <w:r w:rsidRPr="00EC5B7E">
              <w:rPr>
                <w:rFonts w:cs="Times New Roman"/>
                <w:i/>
                <w:iCs/>
                <w:sz w:val="22"/>
              </w:rPr>
              <w:t>k</w:t>
            </w:r>
          </w:p>
        </w:tc>
        <w:tc>
          <w:tcPr>
            <w:tcW w:w="6119" w:type="dxa"/>
            <w:vAlign w:val="center"/>
            <w:hideMark/>
          </w:tcPr>
          <w:p w14:paraId="7C5517A4"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Index for subsector</w:t>
            </w:r>
          </w:p>
        </w:tc>
      </w:tr>
      <w:tr w:rsidR="008F30F4" w:rsidRPr="00EC5B7E" w14:paraId="46489C60" w14:textId="77777777" w:rsidTr="001F21E7">
        <w:trPr>
          <w:trHeight w:val="376"/>
          <w:jc w:val="center"/>
        </w:trPr>
        <w:tc>
          <w:tcPr>
            <w:tcW w:w="1330" w:type="dxa"/>
            <w:vAlign w:val="center"/>
            <w:hideMark/>
          </w:tcPr>
          <w:p w14:paraId="26253821" w14:textId="77777777" w:rsidR="008F30F4" w:rsidRPr="00EC5B7E" w:rsidRDefault="008F30F4" w:rsidP="001F21E7">
            <w:pPr>
              <w:spacing w:before="0" w:line="240" w:lineRule="auto"/>
              <w:ind w:leftChars="-6" w:left="-3" w:hangingChars="5" w:hanging="11"/>
              <w:contextualSpacing/>
              <w:jc w:val="center"/>
              <w:rPr>
                <w:rFonts w:cs="Times New Roman"/>
                <w:i/>
                <w:iCs/>
                <w:sz w:val="22"/>
              </w:rPr>
            </w:pPr>
            <w:r w:rsidRPr="00EC5B7E">
              <w:rPr>
                <w:rFonts w:cs="Times New Roman"/>
                <w:i/>
                <w:iCs/>
                <w:sz w:val="22"/>
              </w:rPr>
              <w:t>P</w:t>
            </w:r>
          </w:p>
        </w:tc>
        <w:tc>
          <w:tcPr>
            <w:tcW w:w="6119" w:type="dxa"/>
            <w:vAlign w:val="center"/>
            <w:hideMark/>
          </w:tcPr>
          <w:p w14:paraId="7CE708C6"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Superscript for POEs</w:t>
            </w:r>
          </w:p>
        </w:tc>
      </w:tr>
      <w:tr w:rsidR="008F30F4" w:rsidRPr="00EC5B7E" w14:paraId="72699075" w14:textId="77777777" w:rsidTr="001F21E7">
        <w:trPr>
          <w:trHeight w:val="376"/>
          <w:jc w:val="center"/>
        </w:trPr>
        <w:tc>
          <w:tcPr>
            <w:tcW w:w="1330" w:type="dxa"/>
            <w:vAlign w:val="center"/>
            <w:hideMark/>
          </w:tcPr>
          <w:p w14:paraId="6AA3DFDF" w14:textId="77777777" w:rsidR="008F30F4" w:rsidRPr="00EC5B7E" w:rsidRDefault="008F30F4" w:rsidP="001F21E7">
            <w:pPr>
              <w:spacing w:before="0" w:line="240" w:lineRule="auto"/>
              <w:ind w:leftChars="-6" w:left="-3" w:hangingChars="5" w:hanging="11"/>
              <w:contextualSpacing/>
              <w:jc w:val="center"/>
              <w:rPr>
                <w:rFonts w:cs="Times New Roman"/>
                <w:i/>
                <w:iCs/>
                <w:sz w:val="22"/>
              </w:rPr>
            </w:pPr>
            <w:r w:rsidRPr="00EC5B7E">
              <w:rPr>
                <w:rFonts w:cs="Times New Roman"/>
                <w:i/>
                <w:iCs/>
                <w:sz w:val="22"/>
              </w:rPr>
              <w:t>S</w:t>
            </w:r>
          </w:p>
        </w:tc>
        <w:tc>
          <w:tcPr>
            <w:tcW w:w="6119" w:type="dxa"/>
            <w:vAlign w:val="center"/>
            <w:hideMark/>
          </w:tcPr>
          <w:p w14:paraId="2BD0556A"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Superscript for SOEs</w:t>
            </w:r>
          </w:p>
        </w:tc>
      </w:tr>
      <w:tr w:rsidR="008F30F4" w:rsidRPr="00EC5B7E" w14:paraId="3A45B334" w14:textId="77777777" w:rsidTr="001F21E7">
        <w:trPr>
          <w:trHeight w:val="376"/>
          <w:jc w:val="center"/>
        </w:trPr>
        <w:tc>
          <w:tcPr>
            <w:tcW w:w="1330" w:type="dxa"/>
            <w:vAlign w:val="center"/>
            <w:hideMark/>
          </w:tcPr>
          <w:p w14:paraId="56D7C73F" w14:textId="77777777" w:rsidR="008F30F4" w:rsidRPr="00EC5B7E" w:rsidRDefault="0038014B" w:rsidP="001F21E7">
            <w:pPr>
              <w:spacing w:before="0" w:line="240" w:lineRule="auto"/>
              <w:ind w:leftChars="-6" w:left="-2" w:hangingChars="5" w:hanging="12"/>
              <w:contextualSpacing/>
              <w:jc w:val="center"/>
              <w:rPr>
                <w:rFonts w:eastAsia="SimSun" w:cs="Times New Roman"/>
                <w:i/>
                <w:iCs/>
                <w:color w:val="000000"/>
                <w:sz w:val="22"/>
              </w:rPr>
            </w:pPr>
            <w:r w:rsidRPr="0038014B">
              <w:rPr>
                <w:noProof/>
                <w:kern w:val="0"/>
                <w:position w:val="-14"/>
                <w:sz w:val="24"/>
                <w:szCs w:val="24"/>
              </w:rPr>
              <w:object w:dxaOrig="320" w:dyaOrig="400" w14:anchorId="0C19AB4F">
                <v:shape id="_x0000_i1062" type="#_x0000_t75" alt="" style="width:15.55pt;height:20.45pt;mso-width-percent:0;mso-height-percent:0;mso-width-percent:0;mso-height-percent:0" o:ole="">
                  <v:imagedata r:id="rId338" o:title=""/>
                </v:shape>
                <o:OLEObject Type="Embed" ProgID="Equation.DSMT4" ShapeID="_x0000_i1062" DrawAspect="Content" ObjectID="_1758969569" r:id="rId339"/>
              </w:object>
            </w:r>
          </w:p>
        </w:tc>
        <w:tc>
          <w:tcPr>
            <w:tcW w:w="6119" w:type="dxa"/>
            <w:vAlign w:val="center"/>
            <w:hideMark/>
          </w:tcPr>
          <w:p w14:paraId="2F03A7B6"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Total output quantity</w:t>
            </w:r>
          </w:p>
        </w:tc>
      </w:tr>
      <w:tr w:rsidR="008F30F4" w:rsidRPr="00EC5B7E" w14:paraId="2E894A1C" w14:textId="77777777" w:rsidTr="001F21E7">
        <w:trPr>
          <w:trHeight w:val="376"/>
          <w:jc w:val="center"/>
        </w:trPr>
        <w:tc>
          <w:tcPr>
            <w:tcW w:w="1330" w:type="dxa"/>
            <w:vAlign w:val="center"/>
          </w:tcPr>
          <w:p w14:paraId="1EF8B3AD" w14:textId="77777777" w:rsidR="008F30F4" w:rsidRPr="00622E94" w:rsidRDefault="0038014B" w:rsidP="001F21E7">
            <w:pPr>
              <w:spacing w:before="0" w:line="240" w:lineRule="auto"/>
              <w:ind w:leftChars="-6" w:left="-2" w:hangingChars="5" w:hanging="12"/>
              <w:contextualSpacing/>
              <w:jc w:val="center"/>
              <w:rPr>
                <w:noProof/>
              </w:rPr>
            </w:pPr>
            <w:r w:rsidRPr="0038014B">
              <w:rPr>
                <w:noProof/>
                <w:kern w:val="0"/>
                <w:position w:val="-16"/>
                <w:sz w:val="24"/>
                <w:szCs w:val="24"/>
              </w:rPr>
              <w:object w:dxaOrig="380" w:dyaOrig="380" w14:anchorId="20CE8A4A">
                <v:shape id="_x0000_i1061" type="#_x0000_t75" alt="" style="width:19.75pt;height:19.75pt;mso-width-percent:0;mso-height-percent:0;mso-width-percent:0;mso-height-percent:0" o:ole="">
                  <v:imagedata r:id="rId312" o:title=""/>
                </v:shape>
                <o:OLEObject Type="Embed" ProgID="Equation.DSMT4" ShapeID="_x0000_i1061" DrawAspect="Content" ObjectID="_1758969570" r:id="rId340"/>
              </w:object>
            </w:r>
          </w:p>
        </w:tc>
        <w:tc>
          <w:tcPr>
            <w:tcW w:w="6119" w:type="dxa"/>
            <w:vAlign w:val="center"/>
          </w:tcPr>
          <w:p w14:paraId="4611A8E6" w14:textId="77777777" w:rsidR="008F30F4" w:rsidRPr="00EC5B7E" w:rsidRDefault="008F30F4" w:rsidP="001F21E7">
            <w:pPr>
              <w:spacing w:before="0" w:line="240" w:lineRule="auto"/>
              <w:ind w:firstLine="0"/>
              <w:contextualSpacing/>
              <w:rPr>
                <w:rFonts w:eastAsia="SimSun" w:cs="Times New Roman"/>
                <w:color w:val="000000"/>
                <w:sz w:val="22"/>
              </w:rPr>
            </w:pPr>
            <w:r>
              <w:rPr>
                <w:rFonts w:eastAsia="SimSun" w:cs="Times New Roman"/>
                <w:color w:val="000000"/>
                <w:sz w:val="22"/>
              </w:rPr>
              <w:t>Benchmark share of capital input in marginal cost</w:t>
            </w:r>
          </w:p>
        </w:tc>
      </w:tr>
      <w:tr w:rsidR="008F30F4" w:rsidRPr="00EC5B7E" w14:paraId="5621F935" w14:textId="77777777" w:rsidTr="001F21E7">
        <w:trPr>
          <w:trHeight w:val="376"/>
          <w:jc w:val="center"/>
        </w:trPr>
        <w:tc>
          <w:tcPr>
            <w:tcW w:w="1330" w:type="dxa"/>
            <w:vAlign w:val="center"/>
            <w:hideMark/>
          </w:tcPr>
          <w:p w14:paraId="63ECE3BE"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20" w:dyaOrig="420" w14:anchorId="2F31B24F">
                <v:shape id="_x0000_i1060" type="#_x0000_t75" alt="" style="width:19.75pt;height:19.75pt;mso-width-percent:0;mso-height-percent:0;mso-width-percent:0;mso-height-percent:0" o:ole="">
                  <v:imagedata r:id="rId341" o:title=""/>
                </v:shape>
                <o:OLEObject Type="Embed" ProgID="Equation.DSMT4" ShapeID="_x0000_i1060" DrawAspect="Content" ObjectID="_1758969571" r:id="rId342"/>
              </w:object>
            </w:r>
          </w:p>
        </w:tc>
        <w:tc>
          <w:tcPr>
            <w:tcW w:w="6119" w:type="dxa"/>
            <w:vAlign w:val="center"/>
            <w:hideMark/>
          </w:tcPr>
          <w:p w14:paraId="11E9EC7C"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Output quantity of the SOEs</w:t>
            </w:r>
          </w:p>
        </w:tc>
      </w:tr>
      <w:tr w:rsidR="008F30F4" w:rsidRPr="00EC5B7E" w14:paraId="28CEB3C0" w14:textId="77777777" w:rsidTr="001F21E7">
        <w:trPr>
          <w:trHeight w:val="376"/>
          <w:jc w:val="center"/>
        </w:trPr>
        <w:tc>
          <w:tcPr>
            <w:tcW w:w="1330" w:type="dxa"/>
            <w:vAlign w:val="center"/>
            <w:hideMark/>
          </w:tcPr>
          <w:p w14:paraId="70624DE1" w14:textId="77777777" w:rsidR="008F30F4" w:rsidRPr="00EC5B7E" w:rsidRDefault="0038014B" w:rsidP="001F21E7">
            <w:pPr>
              <w:spacing w:before="0" w:line="240" w:lineRule="auto"/>
              <w:ind w:leftChars="-6" w:left="-2" w:hangingChars="5" w:hanging="12"/>
              <w:contextualSpacing/>
              <w:jc w:val="center"/>
              <w:rPr>
                <w:rFonts w:cs="Times New Roman"/>
                <w:noProof/>
                <w:sz w:val="22"/>
              </w:rPr>
            </w:pPr>
            <w:r w:rsidRPr="0038014B">
              <w:rPr>
                <w:noProof/>
                <w:kern w:val="0"/>
                <w:position w:val="-14"/>
                <w:sz w:val="24"/>
                <w:szCs w:val="24"/>
              </w:rPr>
              <w:object w:dxaOrig="420" w:dyaOrig="420" w14:anchorId="29BC50E7">
                <v:shape id="_x0000_i1059" type="#_x0000_t75" alt="" style="width:19.75pt;height:19.75pt;mso-width-percent:0;mso-height-percent:0;mso-width-percent:0;mso-height-percent:0" o:ole="">
                  <v:imagedata r:id="rId343" o:title=""/>
                </v:shape>
                <o:OLEObject Type="Embed" ProgID="Equation.DSMT4" ShapeID="_x0000_i1059" DrawAspect="Content" ObjectID="_1758969572" r:id="rId344"/>
              </w:object>
            </w:r>
          </w:p>
        </w:tc>
        <w:tc>
          <w:tcPr>
            <w:tcW w:w="6119" w:type="dxa"/>
            <w:vAlign w:val="center"/>
            <w:hideMark/>
          </w:tcPr>
          <w:p w14:paraId="06529299"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Output quantity of the POEs</w:t>
            </w:r>
          </w:p>
        </w:tc>
      </w:tr>
      <w:tr w:rsidR="008F30F4" w:rsidRPr="00EC5B7E" w14:paraId="47CBA26A" w14:textId="77777777" w:rsidTr="001F21E7">
        <w:trPr>
          <w:trHeight w:val="376"/>
          <w:jc w:val="center"/>
        </w:trPr>
        <w:tc>
          <w:tcPr>
            <w:tcW w:w="1330" w:type="dxa"/>
            <w:vAlign w:val="center"/>
            <w:hideMark/>
          </w:tcPr>
          <w:p w14:paraId="1CD2A11F"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00" w:dyaOrig="400" w14:anchorId="7E9901B6">
                <v:shape id="_x0000_i1058" type="#_x0000_t75" alt="" style="width:20.45pt;height:20.45pt;mso-width-percent:0;mso-height-percent:0;mso-width-percent:0;mso-height-percent:0" o:ole="">
                  <v:imagedata r:id="rId345" o:title=""/>
                </v:shape>
                <o:OLEObject Type="Embed" ProgID="Equation.DSMT4" ShapeID="_x0000_i1058" DrawAspect="Content" ObjectID="_1758969573" r:id="rId346"/>
              </w:object>
            </w:r>
          </w:p>
        </w:tc>
        <w:tc>
          <w:tcPr>
            <w:tcW w:w="6119" w:type="dxa"/>
            <w:vAlign w:val="center"/>
            <w:hideMark/>
          </w:tcPr>
          <w:p w14:paraId="577BE9F8" w14:textId="77777777" w:rsidR="008F30F4" w:rsidRPr="00EC5B7E" w:rsidRDefault="008F30F4" w:rsidP="001F21E7">
            <w:pPr>
              <w:spacing w:before="0" w:line="240" w:lineRule="auto"/>
              <w:ind w:firstLine="0"/>
              <w:contextualSpacing/>
              <w:rPr>
                <w:rFonts w:eastAsia="SimSun" w:cs="Times New Roman"/>
                <w:color w:val="000000"/>
                <w:sz w:val="22"/>
              </w:rPr>
            </w:pPr>
            <w:r>
              <w:rPr>
                <w:rFonts w:eastAsia="SimSun" w:cs="Times New Roman"/>
                <w:color w:val="000000"/>
                <w:sz w:val="22"/>
              </w:rPr>
              <w:t>SOE and POE t</w:t>
            </w:r>
            <w:r w:rsidRPr="00EC5B7E">
              <w:rPr>
                <w:rFonts w:eastAsia="SimSun" w:cs="Times New Roman"/>
                <w:color w:val="000000"/>
                <w:sz w:val="22"/>
              </w:rPr>
              <w:t>otal quantity of intermediate inputs</w:t>
            </w:r>
          </w:p>
        </w:tc>
      </w:tr>
      <w:tr w:rsidR="008F30F4" w:rsidRPr="00EC5B7E" w14:paraId="2B2FFEA1" w14:textId="77777777" w:rsidTr="001F21E7">
        <w:trPr>
          <w:trHeight w:val="376"/>
          <w:jc w:val="center"/>
        </w:trPr>
        <w:tc>
          <w:tcPr>
            <w:tcW w:w="1330" w:type="dxa"/>
            <w:vAlign w:val="center"/>
            <w:hideMark/>
          </w:tcPr>
          <w:p w14:paraId="6A2295BF"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380" w:dyaOrig="400" w14:anchorId="0DEEF343">
                <v:shape id="_x0000_i1057" type="#_x0000_t75" alt="" style="width:20.45pt;height:20.45pt;mso-width-percent:0;mso-height-percent:0;mso-width-percent:0;mso-height-percent:0" o:ole="">
                  <v:imagedata r:id="rId347" o:title=""/>
                </v:shape>
                <o:OLEObject Type="Embed" ProgID="Equation.DSMT4" ShapeID="_x0000_i1057" DrawAspect="Content" ObjectID="_1758969574" r:id="rId348"/>
              </w:object>
            </w:r>
          </w:p>
        </w:tc>
        <w:tc>
          <w:tcPr>
            <w:tcW w:w="6119" w:type="dxa"/>
            <w:vAlign w:val="center"/>
            <w:hideMark/>
          </w:tcPr>
          <w:p w14:paraId="4BD7A70A" w14:textId="77777777" w:rsidR="008F30F4" w:rsidRPr="00EC5B7E" w:rsidRDefault="008F30F4" w:rsidP="001F21E7">
            <w:pPr>
              <w:spacing w:before="0" w:line="240" w:lineRule="auto"/>
              <w:ind w:firstLine="0"/>
              <w:contextualSpacing/>
              <w:rPr>
                <w:rFonts w:eastAsia="SimSun" w:cs="Times New Roman"/>
                <w:color w:val="000000"/>
                <w:sz w:val="22"/>
              </w:rPr>
            </w:pPr>
            <w:r>
              <w:rPr>
                <w:rFonts w:eastAsia="SimSun" w:cs="Times New Roman"/>
                <w:color w:val="000000"/>
                <w:sz w:val="22"/>
              </w:rPr>
              <w:t>SOE and POE t</w:t>
            </w:r>
            <w:r w:rsidRPr="00EC5B7E">
              <w:rPr>
                <w:rFonts w:eastAsia="SimSun" w:cs="Times New Roman"/>
                <w:color w:val="000000"/>
                <w:sz w:val="22"/>
              </w:rPr>
              <w:t>otal quantity of labor inputs</w:t>
            </w:r>
          </w:p>
        </w:tc>
      </w:tr>
      <w:tr w:rsidR="008F30F4" w:rsidRPr="00EC5B7E" w14:paraId="0C166A3A" w14:textId="77777777" w:rsidTr="001F21E7">
        <w:trPr>
          <w:trHeight w:val="376"/>
          <w:jc w:val="center"/>
        </w:trPr>
        <w:tc>
          <w:tcPr>
            <w:tcW w:w="1330" w:type="dxa"/>
            <w:vAlign w:val="center"/>
            <w:hideMark/>
          </w:tcPr>
          <w:p w14:paraId="6B4831B7"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360" w:dyaOrig="400" w14:anchorId="78DCBEF7">
                <v:shape id="_x0000_i1056" type="#_x0000_t75" alt="" style="width:19.75pt;height:20.45pt;mso-width-percent:0;mso-height-percent:0;mso-width-percent:0;mso-height-percent:0" o:ole="">
                  <v:imagedata r:id="rId349" o:title=""/>
                </v:shape>
                <o:OLEObject Type="Embed" ProgID="Equation.DSMT4" ShapeID="_x0000_i1056" DrawAspect="Content" ObjectID="_1758969575" r:id="rId350"/>
              </w:object>
            </w:r>
          </w:p>
        </w:tc>
        <w:tc>
          <w:tcPr>
            <w:tcW w:w="6119" w:type="dxa"/>
            <w:vAlign w:val="center"/>
            <w:hideMark/>
          </w:tcPr>
          <w:p w14:paraId="4BA82168" w14:textId="77777777" w:rsidR="008F30F4" w:rsidRPr="00EC5B7E" w:rsidRDefault="008F30F4" w:rsidP="001F21E7">
            <w:pPr>
              <w:spacing w:before="0" w:line="240" w:lineRule="auto"/>
              <w:ind w:firstLine="0"/>
              <w:contextualSpacing/>
              <w:rPr>
                <w:rFonts w:eastAsia="SimSun" w:cs="Times New Roman"/>
                <w:color w:val="000000"/>
                <w:sz w:val="22"/>
              </w:rPr>
            </w:pPr>
            <w:r>
              <w:rPr>
                <w:rFonts w:eastAsia="SimSun" w:cs="Times New Roman"/>
                <w:color w:val="000000"/>
                <w:sz w:val="22"/>
              </w:rPr>
              <w:t>SOE and POE t</w:t>
            </w:r>
            <w:r w:rsidRPr="00EC5B7E">
              <w:rPr>
                <w:rFonts w:eastAsia="SimSun" w:cs="Times New Roman"/>
                <w:color w:val="000000"/>
                <w:sz w:val="22"/>
              </w:rPr>
              <w:t>otal quantity of capital inputs</w:t>
            </w:r>
          </w:p>
        </w:tc>
      </w:tr>
      <w:tr w:rsidR="008F30F4" w:rsidRPr="00EC5B7E" w14:paraId="28FC8C38" w14:textId="77777777" w:rsidTr="001F21E7">
        <w:trPr>
          <w:trHeight w:val="376"/>
          <w:jc w:val="center"/>
        </w:trPr>
        <w:tc>
          <w:tcPr>
            <w:tcW w:w="1330" w:type="dxa"/>
            <w:vAlign w:val="center"/>
            <w:hideMark/>
          </w:tcPr>
          <w:p w14:paraId="52F5E592"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40" w:dyaOrig="380" w14:anchorId="0908C021">
                <v:shape id="_x0000_i1055" type="#_x0000_t75" alt="" style="width:19.75pt;height:20.45pt;mso-width-percent:0;mso-height-percent:0;mso-width-percent:0;mso-height-percent:0" o:ole="">
                  <v:imagedata r:id="rId351" o:title=""/>
                </v:shape>
                <o:OLEObject Type="Embed" ProgID="Equation.DSMT4" ShapeID="_x0000_i1055" DrawAspect="Content" ObjectID="_1758969576" r:id="rId352"/>
              </w:object>
            </w:r>
          </w:p>
        </w:tc>
        <w:tc>
          <w:tcPr>
            <w:tcW w:w="6119" w:type="dxa"/>
            <w:vAlign w:val="center"/>
            <w:hideMark/>
          </w:tcPr>
          <w:p w14:paraId="3E74FC36"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Quantity of SOEs’ capital inputs</w:t>
            </w:r>
          </w:p>
        </w:tc>
      </w:tr>
      <w:tr w:rsidR="008F30F4" w:rsidRPr="00EC5B7E" w14:paraId="5247CEFB" w14:textId="77777777" w:rsidTr="001F21E7">
        <w:trPr>
          <w:trHeight w:val="376"/>
          <w:jc w:val="center"/>
        </w:trPr>
        <w:tc>
          <w:tcPr>
            <w:tcW w:w="1330" w:type="dxa"/>
            <w:vAlign w:val="center"/>
            <w:hideMark/>
          </w:tcPr>
          <w:p w14:paraId="7B9C09B2" w14:textId="77777777" w:rsidR="008F30F4" w:rsidRPr="00EC5B7E" w:rsidRDefault="0038014B" w:rsidP="001F21E7">
            <w:pPr>
              <w:spacing w:before="0" w:line="240" w:lineRule="auto"/>
              <w:ind w:leftChars="-6" w:left="-2" w:hangingChars="5" w:hanging="12"/>
              <w:contextualSpacing/>
              <w:jc w:val="center"/>
              <w:rPr>
                <w:rFonts w:cs="Times New Roman"/>
                <w:noProof/>
                <w:sz w:val="22"/>
              </w:rPr>
            </w:pPr>
            <w:r w:rsidRPr="0038014B">
              <w:rPr>
                <w:noProof/>
                <w:kern w:val="0"/>
                <w:position w:val="-14"/>
                <w:sz w:val="24"/>
                <w:szCs w:val="24"/>
              </w:rPr>
              <w:object w:dxaOrig="440" w:dyaOrig="380" w14:anchorId="5BDE00D3">
                <v:shape id="_x0000_i1054" type="#_x0000_t75" alt="" style="width:19.75pt;height:20.45pt;mso-width-percent:0;mso-height-percent:0;mso-width-percent:0;mso-height-percent:0" o:ole="">
                  <v:imagedata r:id="rId353" o:title=""/>
                </v:shape>
                <o:OLEObject Type="Embed" ProgID="Equation.DSMT4" ShapeID="_x0000_i1054" DrawAspect="Content" ObjectID="_1758969577" r:id="rId354"/>
              </w:object>
            </w:r>
          </w:p>
        </w:tc>
        <w:tc>
          <w:tcPr>
            <w:tcW w:w="6119" w:type="dxa"/>
            <w:vAlign w:val="center"/>
            <w:hideMark/>
          </w:tcPr>
          <w:p w14:paraId="2C2CEB33"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Quantity of POEs’ capital inputs</w:t>
            </w:r>
          </w:p>
        </w:tc>
      </w:tr>
      <w:tr w:rsidR="008F30F4" w:rsidRPr="00EC5B7E" w14:paraId="79C3D780" w14:textId="77777777" w:rsidTr="001F21E7">
        <w:trPr>
          <w:trHeight w:val="376"/>
          <w:jc w:val="center"/>
        </w:trPr>
        <w:tc>
          <w:tcPr>
            <w:tcW w:w="1330" w:type="dxa"/>
            <w:vAlign w:val="center"/>
            <w:hideMark/>
          </w:tcPr>
          <w:p w14:paraId="27DC49A7"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40" w:dyaOrig="380" w14:anchorId="1DB290F0">
                <v:shape id="_x0000_i1053" type="#_x0000_t75" alt="" style="width:19.75pt;height:20.45pt;mso-width-percent:0;mso-height-percent:0;mso-width-percent:0;mso-height-percent:0" o:ole="">
                  <v:imagedata r:id="rId355" o:title=""/>
                </v:shape>
                <o:OLEObject Type="Embed" ProgID="Equation.DSMT4" ShapeID="_x0000_i1053" DrawAspect="Content" ObjectID="_1758969578" r:id="rId356"/>
              </w:object>
            </w:r>
          </w:p>
        </w:tc>
        <w:tc>
          <w:tcPr>
            <w:tcW w:w="6119" w:type="dxa"/>
            <w:vAlign w:val="center"/>
            <w:hideMark/>
          </w:tcPr>
          <w:p w14:paraId="490256AC"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Quantity of SOEs’ labor inputs</w:t>
            </w:r>
          </w:p>
        </w:tc>
      </w:tr>
      <w:tr w:rsidR="008F30F4" w:rsidRPr="00EC5B7E" w14:paraId="32FCC8A4" w14:textId="77777777" w:rsidTr="001F21E7">
        <w:trPr>
          <w:trHeight w:val="376"/>
          <w:jc w:val="center"/>
        </w:trPr>
        <w:tc>
          <w:tcPr>
            <w:tcW w:w="1330" w:type="dxa"/>
            <w:vAlign w:val="center"/>
            <w:hideMark/>
          </w:tcPr>
          <w:p w14:paraId="692F5397" w14:textId="77777777" w:rsidR="008F30F4" w:rsidRPr="00EC5B7E" w:rsidRDefault="0038014B" w:rsidP="001F21E7">
            <w:pPr>
              <w:spacing w:before="0" w:line="240" w:lineRule="auto"/>
              <w:ind w:leftChars="-6" w:left="-2" w:hangingChars="5" w:hanging="12"/>
              <w:contextualSpacing/>
              <w:jc w:val="center"/>
              <w:rPr>
                <w:rFonts w:cs="Times New Roman"/>
                <w:noProof/>
                <w:sz w:val="22"/>
              </w:rPr>
            </w:pPr>
            <w:r w:rsidRPr="0038014B">
              <w:rPr>
                <w:noProof/>
                <w:kern w:val="0"/>
                <w:position w:val="-14"/>
                <w:sz w:val="24"/>
                <w:szCs w:val="24"/>
              </w:rPr>
              <w:object w:dxaOrig="460" w:dyaOrig="380" w14:anchorId="4A651F80">
                <v:shape id="_x0000_i1052" type="#_x0000_t75" alt="" style="width:24pt;height:20.45pt;mso-width-percent:0;mso-height-percent:0;mso-width-percent:0;mso-height-percent:0" o:ole="">
                  <v:imagedata r:id="rId357" o:title=""/>
                </v:shape>
                <o:OLEObject Type="Embed" ProgID="Equation.DSMT4" ShapeID="_x0000_i1052" DrawAspect="Content" ObjectID="_1758969579" r:id="rId358"/>
              </w:object>
            </w:r>
          </w:p>
        </w:tc>
        <w:tc>
          <w:tcPr>
            <w:tcW w:w="6119" w:type="dxa"/>
            <w:vAlign w:val="center"/>
            <w:hideMark/>
          </w:tcPr>
          <w:p w14:paraId="57A6BF11"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Quantity of POEs’ labor inputs</w:t>
            </w:r>
          </w:p>
        </w:tc>
      </w:tr>
      <w:tr w:rsidR="008F30F4" w:rsidRPr="00EC5B7E" w14:paraId="1FF6B7AB" w14:textId="77777777" w:rsidTr="001F21E7">
        <w:trPr>
          <w:trHeight w:val="376"/>
          <w:jc w:val="center"/>
        </w:trPr>
        <w:tc>
          <w:tcPr>
            <w:tcW w:w="1330" w:type="dxa"/>
            <w:vAlign w:val="center"/>
            <w:hideMark/>
          </w:tcPr>
          <w:p w14:paraId="26AA10C6"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320" w:dyaOrig="400" w14:anchorId="6785EDAD">
                <v:shape id="_x0000_i1051" type="#_x0000_t75" alt="" style="width:15.55pt;height:20.45pt;mso-width-percent:0;mso-height-percent:0;mso-width-percent:0;mso-height-percent:0" o:ole="">
                  <v:imagedata r:id="rId359" o:title=""/>
                </v:shape>
                <o:OLEObject Type="Embed" ProgID="Equation.DSMT4" ShapeID="_x0000_i1051" DrawAspect="Content" ObjectID="_1758969580" r:id="rId360"/>
              </w:object>
            </w:r>
          </w:p>
        </w:tc>
        <w:tc>
          <w:tcPr>
            <w:tcW w:w="6119" w:type="dxa"/>
            <w:vAlign w:val="center"/>
            <w:hideMark/>
          </w:tcPr>
          <w:p w14:paraId="6552438F"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Total taxes</w:t>
            </w:r>
            <w:r>
              <w:rPr>
                <w:rFonts w:eastAsia="SimSun" w:cs="Times New Roman"/>
                <w:color w:val="000000"/>
                <w:sz w:val="22"/>
              </w:rPr>
              <w:t xml:space="preserve"> paid by SOEs and POEs</w:t>
            </w:r>
          </w:p>
        </w:tc>
      </w:tr>
      <w:tr w:rsidR="008F30F4" w:rsidRPr="00EC5B7E" w14:paraId="418228DD" w14:textId="77777777" w:rsidTr="001F21E7">
        <w:trPr>
          <w:trHeight w:val="376"/>
          <w:jc w:val="center"/>
        </w:trPr>
        <w:tc>
          <w:tcPr>
            <w:tcW w:w="1330" w:type="dxa"/>
            <w:vAlign w:val="center"/>
            <w:hideMark/>
          </w:tcPr>
          <w:p w14:paraId="56F0D21E"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340" w:dyaOrig="400" w14:anchorId="3556ADE3">
                <v:shape id="_x0000_i1050" type="#_x0000_t75" alt="" style="width:15.55pt;height:20.45pt;mso-width-percent:0;mso-height-percent:0;mso-width-percent:0;mso-height-percent:0" o:ole="">
                  <v:imagedata r:id="rId361" o:title=""/>
                </v:shape>
                <o:OLEObject Type="Embed" ProgID="Equation.DSMT4" ShapeID="_x0000_i1050" DrawAspect="Content" ObjectID="_1758969581" r:id="rId362"/>
              </w:object>
            </w:r>
          </w:p>
        </w:tc>
        <w:tc>
          <w:tcPr>
            <w:tcW w:w="6119" w:type="dxa"/>
            <w:vAlign w:val="center"/>
            <w:hideMark/>
          </w:tcPr>
          <w:p w14:paraId="6FB9AF2C"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Tax rate of intermediate inputs</w:t>
            </w:r>
          </w:p>
        </w:tc>
      </w:tr>
      <w:tr w:rsidR="008F30F4" w:rsidRPr="00EC5B7E" w14:paraId="41C7DD41" w14:textId="77777777" w:rsidTr="001F21E7">
        <w:trPr>
          <w:trHeight w:val="376"/>
          <w:jc w:val="center"/>
        </w:trPr>
        <w:tc>
          <w:tcPr>
            <w:tcW w:w="1330" w:type="dxa"/>
            <w:vAlign w:val="center"/>
            <w:hideMark/>
          </w:tcPr>
          <w:p w14:paraId="3966861F"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40" w:dyaOrig="420" w14:anchorId="5E6A6494">
                <v:shape id="_x0000_i1049" type="#_x0000_t75" alt="" style="width:19.75pt;height:19.75pt;mso-width-percent:0;mso-height-percent:0;mso-width-percent:0;mso-height-percent:0" o:ole="">
                  <v:imagedata r:id="rId363" o:title=""/>
                </v:shape>
                <o:OLEObject Type="Embed" ProgID="Equation.DSMT4" ShapeID="_x0000_i1049" DrawAspect="Content" ObjectID="_1758969582" r:id="rId364"/>
              </w:object>
            </w:r>
          </w:p>
        </w:tc>
        <w:tc>
          <w:tcPr>
            <w:tcW w:w="6119" w:type="dxa"/>
            <w:vAlign w:val="center"/>
            <w:hideMark/>
          </w:tcPr>
          <w:p w14:paraId="2D3412F4"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Tax rate o</w:t>
            </w:r>
            <w:r>
              <w:rPr>
                <w:rFonts w:eastAsia="SimSun" w:cs="Times New Roman"/>
                <w:color w:val="000000"/>
                <w:sz w:val="22"/>
              </w:rPr>
              <w:t>n</w:t>
            </w:r>
            <w:r w:rsidRPr="00EC5B7E">
              <w:rPr>
                <w:rFonts w:eastAsia="SimSun" w:cs="Times New Roman"/>
                <w:color w:val="000000"/>
                <w:sz w:val="22"/>
              </w:rPr>
              <w:t xml:space="preserve"> POEs’ labor inputs</w:t>
            </w:r>
          </w:p>
        </w:tc>
      </w:tr>
      <w:tr w:rsidR="008F30F4" w:rsidRPr="00EC5B7E" w14:paraId="1D0CFB26" w14:textId="77777777" w:rsidTr="001F21E7">
        <w:trPr>
          <w:trHeight w:val="376"/>
          <w:jc w:val="center"/>
        </w:trPr>
        <w:tc>
          <w:tcPr>
            <w:tcW w:w="1330" w:type="dxa"/>
            <w:vAlign w:val="center"/>
            <w:hideMark/>
          </w:tcPr>
          <w:p w14:paraId="2B7FCC73"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20" w:dyaOrig="380" w14:anchorId="7834E213">
                <v:shape id="_x0000_i1048" type="#_x0000_t75" alt="" style="width:19.75pt;height:20.45pt;mso-width-percent:0;mso-height-percent:0;mso-width-percent:0;mso-height-percent:0" o:ole="">
                  <v:imagedata r:id="rId365" o:title=""/>
                </v:shape>
                <o:OLEObject Type="Embed" ProgID="Equation.DSMT4" ShapeID="_x0000_i1048" DrawAspect="Content" ObjectID="_1758969583" r:id="rId366"/>
              </w:object>
            </w:r>
          </w:p>
        </w:tc>
        <w:tc>
          <w:tcPr>
            <w:tcW w:w="6119" w:type="dxa"/>
            <w:vAlign w:val="center"/>
            <w:hideMark/>
          </w:tcPr>
          <w:p w14:paraId="60D31657"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Tax rates o</w:t>
            </w:r>
            <w:r>
              <w:rPr>
                <w:rFonts w:eastAsia="SimSun" w:cs="Times New Roman"/>
                <w:color w:val="000000"/>
                <w:sz w:val="22"/>
              </w:rPr>
              <w:t>n</w:t>
            </w:r>
            <w:r w:rsidRPr="00EC5B7E">
              <w:rPr>
                <w:rFonts w:eastAsia="SimSun" w:cs="Times New Roman"/>
                <w:color w:val="000000"/>
                <w:sz w:val="22"/>
              </w:rPr>
              <w:t xml:space="preserve"> SOEs’ labor inputs</w:t>
            </w:r>
          </w:p>
        </w:tc>
      </w:tr>
      <w:tr w:rsidR="008F30F4" w:rsidRPr="00EC5B7E" w14:paraId="0BC42861" w14:textId="77777777" w:rsidTr="001F21E7">
        <w:trPr>
          <w:trHeight w:val="376"/>
          <w:jc w:val="center"/>
        </w:trPr>
        <w:tc>
          <w:tcPr>
            <w:tcW w:w="1330" w:type="dxa"/>
            <w:vAlign w:val="center"/>
            <w:hideMark/>
          </w:tcPr>
          <w:p w14:paraId="160B97BB"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40" w:dyaOrig="420" w14:anchorId="52CFF6EB">
                <v:shape id="_x0000_i1047" type="#_x0000_t75" alt="" style="width:19.75pt;height:19.75pt;mso-width-percent:0;mso-height-percent:0;mso-width-percent:0;mso-height-percent:0" o:ole="">
                  <v:imagedata r:id="rId367" o:title=""/>
                </v:shape>
                <o:OLEObject Type="Embed" ProgID="Equation.DSMT4" ShapeID="_x0000_i1047" DrawAspect="Content" ObjectID="_1758969584" r:id="rId368"/>
              </w:object>
            </w:r>
          </w:p>
        </w:tc>
        <w:tc>
          <w:tcPr>
            <w:tcW w:w="6119" w:type="dxa"/>
            <w:vAlign w:val="center"/>
            <w:hideMark/>
          </w:tcPr>
          <w:p w14:paraId="55C899E1"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Tax rate o</w:t>
            </w:r>
            <w:r>
              <w:rPr>
                <w:rFonts w:eastAsia="SimSun" w:cs="Times New Roman"/>
                <w:color w:val="000000"/>
                <w:sz w:val="22"/>
              </w:rPr>
              <w:t>n</w:t>
            </w:r>
            <w:r w:rsidRPr="00EC5B7E">
              <w:rPr>
                <w:rFonts w:eastAsia="SimSun" w:cs="Times New Roman"/>
                <w:color w:val="000000"/>
                <w:sz w:val="22"/>
              </w:rPr>
              <w:t xml:space="preserve"> POEs’ capital inputs</w:t>
            </w:r>
          </w:p>
        </w:tc>
      </w:tr>
      <w:tr w:rsidR="008F30F4" w:rsidRPr="00EC5B7E" w14:paraId="5A49216E" w14:textId="77777777" w:rsidTr="001F21E7">
        <w:trPr>
          <w:trHeight w:val="376"/>
          <w:jc w:val="center"/>
        </w:trPr>
        <w:tc>
          <w:tcPr>
            <w:tcW w:w="1330" w:type="dxa"/>
            <w:vAlign w:val="center"/>
            <w:hideMark/>
          </w:tcPr>
          <w:p w14:paraId="7F4DCA55"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499" w:dyaOrig="420" w14:anchorId="3867003A">
                <v:shape id="_x0000_i1046" type="#_x0000_t75" alt="" style="width:24pt;height:19.75pt;mso-width-percent:0;mso-height-percent:0;mso-width-percent:0;mso-height-percent:0" o:ole="">
                  <v:imagedata r:id="rId369" o:title=""/>
                </v:shape>
                <o:OLEObject Type="Embed" ProgID="Equation.DSMT4" ShapeID="_x0000_i1046" DrawAspect="Content" ObjectID="_1758969585" r:id="rId370"/>
              </w:object>
            </w:r>
          </w:p>
        </w:tc>
        <w:tc>
          <w:tcPr>
            <w:tcW w:w="6119" w:type="dxa"/>
            <w:vAlign w:val="center"/>
            <w:hideMark/>
          </w:tcPr>
          <w:p w14:paraId="66580873"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 xml:space="preserve">Subsidy rate </w:t>
            </w:r>
            <w:r>
              <w:rPr>
                <w:rFonts w:eastAsia="SimSun" w:cs="Times New Roman"/>
                <w:color w:val="000000"/>
                <w:sz w:val="22"/>
              </w:rPr>
              <w:t>on</w:t>
            </w:r>
            <w:r w:rsidRPr="00EC5B7E">
              <w:rPr>
                <w:rFonts w:eastAsia="SimSun" w:cs="Times New Roman"/>
                <w:color w:val="000000"/>
                <w:sz w:val="22"/>
              </w:rPr>
              <w:t xml:space="preserve"> SOEs’ capital inputs</w:t>
            </w:r>
          </w:p>
        </w:tc>
      </w:tr>
      <w:tr w:rsidR="008F30F4" w:rsidRPr="00EC5B7E" w14:paraId="3975609C" w14:textId="77777777" w:rsidTr="001F21E7">
        <w:trPr>
          <w:trHeight w:val="376"/>
          <w:jc w:val="center"/>
        </w:trPr>
        <w:tc>
          <w:tcPr>
            <w:tcW w:w="1330" w:type="dxa"/>
            <w:tcBorders>
              <w:bottom w:val="nil"/>
            </w:tcBorders>
            <w:vAlign w:val="center"/>
            <w:hideMark/>
          </w:tcPr>
          <w:p w14:paraId="42946A41" w14:textId="77777777" w:rsidR="008F30F4" w:rsidRPr="00EC5B7E" w:rsidRDefault="0038014B" w:rsidP="001F21E7">
            <w:pPr>
              <w:spacing w:before="0" w:line="240" w:lineRule="auto"/>
              <w:ind w:leftChars="-6" w:left="-2" w:hangingChars="5" w:hanging="12"/>
              <w:contextualSpacing/>
              <w:jc w:val="center"/>
              <w:rPr>
                <w:rFonts w:cs="Times New Roman"/>
                <w:sz w:val="22"/>
              </w:rPr>
            </w:pPr>
            <w:r w:rsidRPr="0038014B">
              <w:rPr>
                <w:noProof/>
                <w:kern w:val="0"/>
                <w:position w:val="-14"/>
                <w:sz w:val="24"/>
                <w:szCs w:val="24"/>
              </w:rPr>
              <w:object w:dxaOrig="320" w:dyaOrig="400" w14:anchorId="768393A7">
                <v:shape id="_x0000_i1045" type="#_x0000_t75" alt="" style="width:15.55pt;height:20.45pt;mso-width-percent:0;mso-height-percent:0;mso-width-percent:0;mso-height-percent:0" o:ole="">
                  <v:imagedata r:id="rId371" o:title=""/>
                </v:shape>
                <o:OLEObject Type="Embed" ProgID="Equation.DSMT4" ShapeID="_x0000_i1045" DrawAspect="Content" ObjectID="_1758969586" r:id="rId372"/>
              </w:object>
            </w:r>
          </w:p>
        </w:tc>
        <w:tc>
          <w:tcPr>
            <w:tcW w:w="6119" w:type="dxa"/>
            <w:tcBorders>
              <w:bottom w:val="nil"/>
            </w:tcBorders>
            <w:vAlign w:val="center"/>
            <w:hideMark/>
          </w:tcPr>
          <w:p w14:paraId="52BD0BAA"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 xml:space="preserve">Tax rate </w:t>
            </w:r>
            <w:r>
              <w:rPr>
                <w:rFonts w:eastAsia="SimSun" w:cs="Times New Roman"/>
                <w:color w:val="000000"/>
                <w:sz w:val="22"/>
              </w:rPr>
              <w:t xml:space="preserve">per unit of output </w:t>
            </w:r>
          </w:p>
        </w:tc>
      </w:tr>
      <w:tr w:rsidR="008F30F4" w:rsidRPr="00EC5B7E" w14:paraId="46D8F681" w14:textId="77777777" w:rsidTr="001F21E7">
        <w:trPr>
          <w:trHeight w:val="376"/>
          <w:jc w:val="center"/>
        </w:trPr>
        <w:tc>
          <w:tcPr>
            <w:tcW w:w="1330" w:type="dxa"/>
            <w:tcBorders>
              <w:top w:val="nil"/>
              <w:bottom w:val="single" w:sz="4" w:space="0" w:color="auto"/>
            </w:tcBorders>
            <w:vAlign w:val="center"/>
            <w:hideMark/>
          </w:tcPr>
          <w:p w14:paraId="67081111" w14:textId="77777777" w:rsidR="008F30F4" w:rsidRPr="00EC5B7E" w:rsidRDefault="0038014B" w:rsidP="001F21E7">
            <w:pPr>
              <w:spacing w:before="0" w:line="240" w:lineRule="auto"/>
              <w:ind w:leftChars="-6" w:left="-2" w:hangingChars="5" w:hanging="12"/>
              <w:contextualSpacing/>
              <w:jc w:val="center"/>
              <w:rPr>
                <w:rFonts w:cs="Times New Roman"/>
                <w:noProof/>
                <w:sz w:val="22"/>
              </w:rPr>
            </w:pPr>
            <w:r w:rsidRPr="0038014B">
              <w:rPr>
                <w:noProof/>
                <w:kern w:val="0"/>
                <w:position w:val="-14"/>
                <w:sz w:val="24"/>
                <w:szCs w:val="24"/>
              </w:rPr>
              <w:object w:dxaOrig="300" w:dyaOrig="400" w14:anchorId="791148B1">
                <v:shape id="_x0000_i1044" type="#_x0000_t75" alt="" style="width:14.1pt;height:20.45pt;mso-width-percent:0;mso-height-percent:0;mso-width-percent:0;mso-height-percent:0" o:ole="">
                  <v:imagedata r:id="rId373" o:title=""/>
                </v:shape>
                <o:OLEObject Type="Embed" ProgID="Equation.DSMT4" ShapeID="_x0000_i1044" DrawAspect="Content" ObjectID="_1758969587" r:id="rId374"/>
              </w:object>
            </w:r>
          </w:p>
        </w:tc>
        <w:tc>
          <w:tcPr>
            <w:tcW w:w="6119" w:type="dxa"/>
            <w:tcBorders>
              <w:top w:val="nil"/>
              <w:bottom w:val="single" w:sz="4" w:space="0" w:color="auto"/>
            </w:tcBorders>
            <w:vAlign w:val="center"/>
            <w:hideMark/>
          </w:tcPr>
          <w:p w14:paraId="3B83B58F" w14:textId="77777777" w:rsidR="008F30F4" w:rsidRPr="00EC5B7E" w:rsidRDefault="008F30F4" w:rsidP="001F21E7">
            <w:pPr>
              <w:spacing w:before="0" w:line="240" w:lineRule="auto"/>
              <w:ind w:firstLine="0"/>
              <w:contextualSpacing/>
              <w:rPr>
                <w:rFonts w:eastAsia="SimSun" w:cs="Times New Roman"/>
                <w:color w:val="000000"/>
                <w:sz w:val="22"/>
              </w:rPr>
            </w:pPr>
            <w:r w:rsidRPr="00EC5B7E">
              <w:rPr>
                <w:rFonts w:eastAsia="SimSun" w:cs="Times New Roman"/>
                <w:color w:val="000000"/>
                <w:sz w:val="22"/>
              </w:rPr>
              <w:t>The ratio of capital input intensity of SOEs to that of POEs</w:t>
            </w:r>
          </w:p>
        </w:tc>
      </w:tr>
    </w:tbl>
    <w:p w14:paraId="0C759E9D" w14:textId="77777777" w:rsidR="008F30F4" w:rsidRPr="004548E1" w:rsidRDefault="008F30F4" w:rsidP="008F30F4">
      <w:pPr>
        <w:spacing w:before="0" w:line="240" w:lineRule="auto"/>
        <w:ind w:left="540" w:right="476" w:firstLine="0"/>
        <w:rPr>
          <w:rFonts w:cs="Times New Roman"/>
          <w:sz w:val="20"/>
          <w:szCs w:val="21"/>
        </w:rPr>
      </w:pPr>
      <w:r w:rsidRPr="004548E1">
        <w:rPr>
          <w:rFonts w:cs="Times New Roman"/>
          <w:kern w:val="2"/>
          <w:sz w:val="21"/>
          <w:szCs w:val="21"/>
        </w:rPr>
        <w:t xml:space="preserve">Note: </w:t>
      </w:r>
      <w:r w:rsidRPr="004548E1">
        <w:rPr>
          <w:rFonts w:cs="Times New Roman"/>
          <w:sz w:val="20"/>
          <w:szCs w:val="21"/>
        </w:rPr>
        <w:t xml:space="preserve">Symbols with bars represent the data or parameters that are observed or obtained from other studies. Symbols without bars are the parameters that require calibration. </w:t>
      </w:r>
    </w:p>
    <w:p w14:paraId="1752A828" w14:textId="77777777" w:rsidR="008F30F4" w:rsidRPr="00313C68" w:rsidRDefault="008F30F4" w:rsidP="008F30F4">
      <w:pPr>
        <w:ind w:firstLineChars="200" w:firstLine="442"/>
        <w:rPr>
          <w:rFonts w:cs="Times New Roman"/>
          <w:sz w:val="22"/>
          <w:szCs w:val="22"/>
        </w:rPr>
      </w:pPr>
      <w:r w:rsidRPr="00313C68">
        <w:rPr>
          <w:rFonts w:eastAsia="SimSun" w:cs="Times New Roman"/>
          <w:b/>
          <w:bCs/>
          <w:i/>
          <w:iCs/>
          <w:color w:val="000000"/>
          <w:sz w:val="22"/>
          <w:szCs w:val="22"/>
        </w:rPr>
        <w:tab/>
      </w:r>
      <w:r w:rsidRPr="00313C68">
        <w:rPr>
          <w:rFonts w:cs="Times New Roman"/>
          <w:sz w:val="22"/>
          <w:szCs w:val="22"/>
        </w:rPr>
        <w:t xml:space="preserve"> </w:t>
      </w:r>
    </w:p>
    <w:p w14:paraId="5909C612" w14:textId="77777777" w:rsidR="008F30F4" w:rsidRPr="00415D56" w:rsidRDefault="008F30F4" w:rsidP="008F30F4">
      <w:pPr>
        <w:ind w:firstLine="0"/>
        <w:rPr>
          <w:rFonts w:eastAsia="SimSun" w:cs="Times New Roman"/>
          <w:b/>
          <w:bCs/>
          <w:i/>
          <w:iCs/>
          <w:color w:val="000000"/>
          <w:szCs w:val="21"/>
        </w:rPr>
      </w:pPr>
      <w:r w:rsidRPr="00AA2E3B">
        <w:rPr>
          <w:rFonts w:eastAsia="SimSun" w:cs="Times New Roman"/>
          <w:b/>
          <w:bCs/>
          <w:i/>
          <w:iCs/>
          <w:color w:val="000000"/>
          <w:szCs w:val="21"/>
        </w:rPr>
        <w:lastRenderedPageBreak/>
        <w:t xml:space="preserve">Other Parameters </w:t>
      </w:r>
    </w:p>
    <w:p w14:paraId="67007B93" w14:textId="77777777" w:rsidR="008F30F4" w:rsidRPr="00AA2E3B" w:rsidRDefault="008F30F4" w:rsidP="008F30F4">
      <w:pPr>
        <w:ind w:firstLineChars="327" w:firstLine="719"/>
        <w:rPr>
          <w:rFonts w:eastAsia="DengXian" w:cs="Times New Roman"/>
          <w:sz w:val="22"/>
          <w:szCs w:val="22"/>
        </w:rPr>
      </w:pPr>
      <w:r w:rsidRPr="00AA2E3B">
        <w:rPr>
          <w:rFonts w:eastAsia="DengXian" w:cs="Times New Roman"/>
          <w:sz w:val="22"/>
          <w:szCs w:val="22"/>
        </w:rPr>
        <w:t xml:space="preserve">Other elasticities employed in the production and demand functions are adopted from the GTAP database </w:t>
      </w:r>
      <w:r w:rsidRPr="00AA2E3B">
        <w:rPr>
          <w:rFonts w:eastAsia="DengXian" w:cs="Times New Roman"/>
          <w:sz w:val="22"/>
          <w:szCs w:val="22"/>
        </w:rPr>
        <w:fldChar w:fldCharType="begin"/>
      </w:r>
      <w:r>
        <w:rPr>
          <w:rFonts w:eastAsia="DengXian" w:cs="Times New Roman"/>
          <w:sz w:val="22"/>
          <w:szCs w:val="22"/>
        </w:rPr>
        <w:instrText xml:space="preserve"> ADDIN ZOTERO_ITEM CSL_CITATION {"citationID":"OOEWlg7U","properties":{"formattedCitation":"(Aguiar, Chepeliev, Corong, &amp; van der Mensbrugghe, 2019)","plainCitation":"(Aguiar, Chepeliev, Corong, &amp; van der Mensbrugghe, 2019)","dontUpdate":true,"noteIndex":0},"citationItems":[{"id":"VlUszWYZ/JqVWzxQU","uris":["http://zotero.org/users/7551265/items/AELK3V79"],"itemData":{"id":961,"type":"article-journal","container-title":"Journal of Global Economic Analysis","issue":"1","page":"1-27","title":"The GTAP Data Base: Version 10.","volume":"4","author":[{"family":"Aguiar","given":"A"},{"family":"Chepeliev","given":"M"},{"family":"Corong","given":"E"},{"family":"Mensbrugghe","given":"D","non-dropping-particle":"van der"}],"issued":{"date-parts":[["2019"]]}}}],"schema":"https://github.com/citation-style-language/schema/raw/master/csl-citation.json"} </w:instrText>
      </w:r>
      <w:r w:rsidRPr="00AA2E3B">
        <w:rPr>
          <w:rFonts w:eastAsia="DengXian" w:cs="Times New Roman"/>
          <w:sz w:val="22"/>
          <w:szCs w:val="22"/>
        </w:rPr>
        <w:fldChar w:fldCharType="separate"/>
      </w:r>
      <w:r w:rsidRPr="00AA2E3B">
        <w:rPr>
          <w:rFonts w:eastAsia="DengXian" w:cs="Times New Roman"/>
          <w:sz w:val="22"/>
          <w:szCs w:val="22"/>
        </w:rPr>
        <w:t>(Aguiar</w:t>
      </w:r>
      <w:r w:rsidRPr="00AA2E3B">
        <w:rPr>
          <w:rFonts w:eastAsia="DengXian" w:cs="Times New Roman"/>
          <w:i/>
          <w:iCs/>
          <w:sz w:val="22"/>
          <w:szCs w:val="22"/>
        </w:rPr>
        <w:t xml:space="preserve"> </w:t>
      </w:r>
      <w:r w:rsidRPr="00AA2E3B">
        <w:rPr>
          <w:rFonts w:eastAsia="DengXian" w:cs="Times New Roman" w:hint="eastAsia"/>
          <w:i/>
          <w:iCs/>
          <w:sz w:val="22"/>
          <w:szCs w:val="22"/>
        </w:rPr>
        <w:t>et</w:t>
      </w:r>
      <w:r w:rsidRPr="00AA2E3B">
        <w:rPr>
          <w:rFonts w:eastAsia="DengXian" w:cs="Times New Roman"/>
          <w:i/>
          <w:iCs/>
          <w:sz w:val="22"/>
          <w:szCs w:val="22"/>
        </w:rPr>
        <w:t xml:space="preserve"> al.</w:t>
      </w:r>
      <w:r w:rsidRPr="00AA2E3B">
        <w:rPr>
          <w:rFonts w:eastAsia="DengXian" w:cs="Times New Roman"/>
          <w:sz w:val="22"/>
          <w:szCs w:val="22"/>
        </w:rPr>
        <w:t>, 2019)</w:t>
      </w:r>
      <w:r w:rsidRPr="00AA2E3B">
        <w:rPr>
          <w:rFonts w:eastAsia="DengXian" w:cs="Times New Roman"/>
          <w:sz w:val="22"/>
          <w:szCs w:val="22"/>
        </w:rPr>
        <w:fldChar w:fldCharType="end"/>
      </w:r>
      <w:r w:rsidRPr="00AA2E3B">
        <w:rPr>
          <w:rFonts w:eastAsia="DengXian" w:cs="Times New Roman"/>
          <w:sz w:val="22"/>
          <w:szCs w:val="22"/>
        </w:rPr>
        <w:t xml:space="preserve">, the MIT-EPPA model </w:t>
      </w:r>
      <w:r w:rsidRPr="00AA2E3B">
        <w:rPr>
          <w:rFonts w:eastAsia="DengXian" w:cs="Times New Roman"/>
          <w:sz w:val="22"/>
          <w:szCs w:val="22"/>
        </w:rPr>
        <w:fldChar w:fldCharType="begin"/>
      </w:r>
      <w:r>
        <w:rPr>
          <w:rFonts w:eastAsia="DengXian" w:cs="Times New Roman"/>
          <w:sz w:val="22"/>
          <w:szCs w:val="22"/>
        </w:rPr>
        <w:instrText xml:space="preserve"> ADDIN ZOTERO_ITEM CSL_CITATION {"citationID":"CvUd0FiP","properties":{"formattedCitation":"(Chen, Paltsev, Reilly, &amp; Karplus, 2017)","plainCitation":"(Chen, Paltsev, Reilly, &amp; Karplus, 2017)","dontUpdate":true,"noteIndex":0},"citationItems":[{"id":"VlUszWYZ/JhvtvtC4","uris":["http://zotero.org/users/7551265/items/4F5R979A"],"itemData":{"id":663,"type":"report","collection-title":"Joint Program Technical Note TN #16","page":"32p","title":"The MIT Economic Projection and Policy Analysis (EPPA) Model: Version 5","URL":"https://globalchange.mit.edu/sites/default/files/MITJPSPGC_TechNote16.pdf","author":[{"family":"Chen","given":"Y. -H.H"},{"family":"Paltsev","given":"S"},{"family":"Reilly","given":"J.Morris"},{"family":"Karplus","given":"Valerie"}],"accessed":{"date-parts":[["2021",8,23]]},"issued":{"date-parts":[["2017"]]}}}],"schema":"https://github.com/citation-style-language/schema/raw/master/csl-citation.json"} </w:instrText>
      </w:r>
      <w:r w:rsidRPr="00AA2E3B">
        <w:rPr>
          <w:rFonts w:eastAsia="DengXian" w:cs="Times New Roman"/>
          <w:sz w:val="22"/>
          <w:szCs w:val="22"/>
        </w:rPr>
        <w:fldChar w:fldCharType="separate"/>
      </w:r>
      <w:r w:rsidRPr="00AA2E3B">
        <w:rPr>
          <w:rFonts w:eastAsia="DengXian" w:cs="Times New Roman"/>
          <w:sz w:val="22"/>
          <w:szCs w:val="22"/>
        </w:rPr>
        <w:t xml:space="preserve">(Chen </w:t>
      </w:r>
      <w:r w:rsidRPr="00AA2E3B">
        <w:rPr>
          <w:rFonts w:eastAsia="DengXian" w:cs="Times New Roman"/>
          <w:i/>
          <w:iCs/>
          <w:sz w:val="22"/>
          <w:szCs w:val="22"/>
        </w:rPr>
        <w:t>et al</w:t>
      </w:r>
      <w:r w:rsidRPr="00AA2E3B">
        <w:rPr>
          <w:rFonts w:eastAsia="DengXian" w:cs="Times New Roman"/>
          <w:sz w:val="22"/>
          <w:szCs w:val="22"/>
        </w:rPr>
        <w:t>., 2017)</w:t>
      </w:r>
      <w:r w:rsidRPr="00AA2E3B">
        <w:rPr>
          <w:rFonts w:eastAsia="DengXian" w:cs="Times New Roman"/>
          <w:sz w:val="22"/>
          <w:szCs w:val="22"/>
        </w:rPr>
        <w:fldChar w:fldCharType="end"/>
      </w:r>
      <w:r w:rsidRPr="00AA2E3B">
        <w:rPr>
          <w:rFonts w:eastAsia="DengXian" w:cs="Times New Roman"/>
          <w:sz w:val="22"/>
          <w:szCs w:val="22"/>
        </w:rPr>
        <w:t xml:space="preserve">, the RTI-ADAGE model </w:t>
      </w:r>
      <w:r w:rsidRPr="00AA2E3B">
        <w:rPr>
          <w:rFonts w:eastAsia="DengXian" w:cs="Times New Roman"/>
          <w:sz w:val="22"/>
          <w:szCs w:val="22"/>
        </w:rPr>
        <w:fldChar w:fldCharType="begin"/>
      </w:r>
      <w:r>
        <w:rPr>
          <w:rFonts w:eastAsia="DengXian" w:cs="Times New Roman"/>
          <w:sz w:val="22"/>
          <w:szCs w:val="22"/>
        </w:rPr>
        <w:instrText xml:space="preserve"> ADDIN ZOTERO_ITEM CSL_CITATION {"citationID":"rp6nsMl4","properties":{"formattedCitation":"(RTI International, 2015)","plainCitation":"(RTI International, 2015)","noteIndex":0},"citationItems":[{"id":"VlUszWYZ/MPmcs5pX","uris":["http://zotero.org/users/7551265/items/F93N7JGI"],"itemData":{"id":661,"type":"report","collection-title":"U.S. regional module final release","publisher":"RTI International","title":"The Applied Dynamic Analysis of the Global Economy (RTI ADAGE) model","author":[{"literal":"RTI International"}],"issued":{"date-parts":[["2015"]]}}}],"schema":"https://github.com/citation-style-language/schema/raw/master/csl-citation.json"} </w:instrText>
      </w:r>
      <w:r w:rsidRPr="00AA2E3B">
        <w:rPr>
          <w:rFonts w:eastAsia="DengXian" w:cs="Times New Roman"/>
          <w:sz w:val="22"/>
          <w:szCs w:val="22"/>
        </w:rPr>
        <w:fldChar w:fldCharType="separate"/>
      </w:r>
      <w:r w:rsidRPr="001E172D">
        <w:rPr>
          <w:rFonts w:cs="Times New Roman"/>
          <w:sz w:val="22"/>
        </w:rPr>
        <w:t>(RTI International, 2015)</w:t>
      </w:r>
      <w:r w:rsidRPr="00AA2E3B">
        <w:rPr>
          <w:rFonts w:eastAsia="DengXian" w:cs="Times New Roman"/>
          <w:sz w:val="22"/>
          <w:szCs w:val="22"/>
        </w:rPr>
        <w:fldChar w:fldCharType="end"/>
      </w:r>
      <w:r w:rsidRPr="00AA2E3B">
        <w:rPr>
          <w:rFonts w:eastAsia="DengXian" w:cs="Times New Roman"/>
          <w:sz w:val="22"/>
          <w:szCs w:val="22"/>
        </w:rPr>
        <w:t xml:space="preserve">, the DIEM model </w:t>
      </w:r>
      <w:r w:rsidRPr="00AA2E3B">
        <w:rPr>
          <w:rFonts w:eastAsia="DengXian" w:cs="Times New Roman"/>
          <w:sz w:val="22"/>
          <w:szCs w:val="22"/>
        </w:rPr>
        <w:fldChar w:fldCharType="begin"/>
      </w:r>
      <w:r>
        <w:rPr>
          <w:rFonts w:eastAsia="DengXian" w:cs="Times New Roman"/>
          <w:sz w:val="22"/>
          <w:szCs w:val="22"/>
        </w:rPr>
        <w:instrText xml:space="preserve"> ADDIN ZOTERO_ITEM CSL_CITATION {"citationID":"0y9HiMp3","properties":{"formattedCitation":"(Ross, 2014)","plainCitation":"(Ross, 2014)","noteIndex":0},"citationItems":[{"id":"VlUszWYZ/vYwGa8fJ","uris":["http://zotero.org/users/7551265/items/2RRMQFPK"],"itemData":{"id":667,"type":"report","collection-title":"NI WP 14-12","event-place":"Durham,NC: Duke University","publisher-place":"Durham,NC: Duke University","title":"Structure of the Dynamic Integrated Economy/Energy/Emissions Model: Computable General Equilbrium Component, DIEM-CGE.","author":[{"family":"Ross","given":"Martin T"}],"issued":{"date-parts":[["2014"]]}}}],"schema":"https://github.com/citation-style-language/schema/raw/master/csl-citation.json"} </w:instrText>
      </w:r>
      <w:r w:rsidRPr="00AA2E3B">
        <w:rPr>
          <w:rFonts w:eastAsia="DengXian" w:cs="Times New Roman"/>
          <w:sz w:val="22"/>
          <w:szCs w:val="22"/>
        </w:rPr>
        <w:fldChar w:fldCharType="separate"/>
      </w:r>
      <w:r w:rsidRPr="001E172D">
        <w:rPr>
          <w:rFonts w:cs="Times New Roman"/>
          <w:sz w:val="22"/>
        </w:rPr>
        <w:t>(Ross, 2014)</w:t>
      </w:r>
      <w:r w:rsidRPr="00AA2E3B">
        <w:rPr>
          <w:rFonts w:eastAsia="DengXian" w:cs="Times New Roman"/>
          <w:sz w:val="22"/>
          <w:szCs w:val="22"/>
        </w:rPr>
        <w:fldChar w:fldCharType="end"/>
      </w:r>
      <w:r w:rsidRPr="00AA2E3B">
        <w:rPr>
          <w:rFonts w:eastAsia="DengXian" w:cs="Times New Roman"/>
          <w:sz w:val="22"/>
          <w:szCs w:val="22"/>
        </w:rPr>
        <w:t xml:space="preserve">, and literature </w:t>
      </w:r>
      <w:r w:rsidRPr="00AA2E3B">
        <w:rPr>
          <w:rFonts w:eastAsia="DengXian" w:cs="Times New Roman"/>
          <w:sz w:val="22"/>
          <w:szCs w:val="22"/>
        </w:rPr>
        <w:fldChar w:fldCharType="begin"/>
      </w:r>
      <w:r>
        <w:rPr>
          <w:rFonts w:eastAsia="DengXian" w:cs="Times New Roman"/>
          <w:sz w:val="22"/>
          <w:szCs w:val="22"/>
        </w:rPr>
        <w:instrText xml:space="preserve"> ADDIN ZOTERO_ITEM CSL_CITATION {"citationID":"99sd4dTA","properties":{"formattedCitation":"(Cossa, 2004; Hertel, Hummels, Ivanic, &amp; Keeney, 2007; Hertel &amp; van der Mensbrugghe, 2019; Jomini et al., 1991)","plainCitation":"(Cossa, 2004; Hertel, Hummels, Ivanic, &amp; Keeney, 2007; Hertel &amp; van der Mensbrugghe, 2019; Jomini et al., 1991)","dontUpdate":true,"noteIndex":0},"citationItems":[{"id":"VlUszWYZ/jgKI5GZj","uris":["http://zotero.org/users/7551265/items/3UANH2SP"],"itemData":{"id":668,"type":"thesis","genre":"PhD Thesis","publisher":"Massachusetts Institute of Technology","source":"Google Scholar","title":"Uncertainty analysis of the cost of climate policies","author":[{"family":"Cossa","given":"Paul Francois"}],"issued":{"date-parts":[["2004"]]}},"label":"page"},{"id":"VlUszWYZ/BQ4emBam","uris":["http://zotero.org/users/7551265/items/PSPGN9NK"],"itemData":{"id":676,"type":"article-journal","container-title":"Economic Modelling","issue":"4","note":"publisher: Elsevier","page":"611–635","source":"Google Scholar","title":"How confident can we be of CGE-based assessments </w:instrText>
      </w:r>
      <w:r w:rsidRPr="006B4940">
        <w:rPr>
          <w:rFonts w:eastAsia="DengXian" w:cs="Times New Roman"/>
          <w:sz w:val="22"/>
          <w:szCs w:val="22"/>
          <w:lang w:val="fr-FR"/>
        </w:rPr>
        <w:instrText xml:space="preserve">of Free Trade Agreements?","volume":"24","author":[{"family":"Hertel","given":"Thomas"},{"family":"Hummels","given":"David"},{"family":"Ivanic","given":"Maros"},{"family":"Keeney","given":"Roman"}],"issued":{"date-parts":[["2007"]]}},"label":"page"},{"id":"VlUszWYZ/TPa2HN8q","uris":["http://zotero.org/users/7551265/items/6RCA93C4"],"itemData":{"id":674,"type":"article-journal","container-title":"Purdue University, West Lafayette, IN: Global Trade Analysis Project (GTAP).","source":"Google Scholar","title":"Chapter 14: Behavioral Parameters (Center for Global Trade Analysis).","author":[{"family":"Hertel","given":"Thomas"},{"family":"Mensbrugghe","given":"Dominique","non-dropping-particle":"van der"}],"issued":{"date-parts":[["2019"]]}},"label":"page"},{"id":"VlUszWYZ/jUzx20gF","uris":["http://zotero.org/users/7551265/items/LX4SDCW7"],"itemData":{"id":678,"type":"article-journal","container-title":"Database and Parameters, Industry Commission, Canberra","source":"Google Scholar","title":"SALTER: A General Equilibrium Model of the World Economy, vol. 1, Model Structure","title-short":"SALTER","author":[{"family":"Jomini","given":"P."},{"family":"Zeitsch","given":"J. F."},{"family":"McDougall","given":"R."},{"family":"Welsh","given":"A."},{"family":"Brown","given":"S."},{"family":"Hambley","given":"J."},{"family":"Kelly","given":"J."}],"issued":{"date-parts":[["1991"]]}},"label":"page"}],"schema":"https://github.com/citation-style-language/schema/raw/master/csl-citation.json"} </w:instrText>
      </w:r>
      <w:r w:rsidRPr="00AA2E3B">
        <w:rPr>
          <w:rFonts w:eastAsia="DengXian" w:cs="Times New Roman"/>
          <w:sz w:val="22"/>
          <w:szCs w:val="22"/>
        </w:rPr>
        <w:fldChar w:fldCharType="separate"/>
      </w:r>
      <w:r w:rsidRPr="006B4940">
        <w:rPr>
          <w:rFonts w:eastAsia="DengXian" w:cs="Times New Roman"/>
          <w:sz w:val="22"/>
          <w:szCs w:val="22"/>
          <w:lang w:val="fr-FR"/>
        </w:rPr>
        <w:t>(Cossa, 2004; Hertel</w:t>
      </w:r>
      <w:r w:rsidRPr="006B4940">
        <w:rPr>
          <w:rFonts w:eastAsia="DengXian" w:cs="Times New Roman"/>
          <w:i/>
          <w:iCs/>
          <w:sz w:val="22"/>
          <w:szCs w:val="22"/>
          <w:lang w:val="fr-FR"/>
        </w:rPr>
        <w:t xml:space="preserve"> et al.</w:t>
      </w:r>
      <w:r w:rsidRPr="006B4940">
        <w:rPr>
          <w:rFonts w:eastAsia="DengXian" w:cs="Times New Roman"/>
          <w:sz w:val="22"/>
          <w:szCs w:val="22"/>
          <w:lang w:val="fr-FR"/>
        </w:rPr>
        <w:t xml:space="preserve">, 2007; Hertel &amp; Mensbrugghe, 2019; Jomini </w:t>
      </w:r>
      <w:r w:rsidRPr="006B4940">
        <w:rPr>
          <w:rFonts w:eastAsia="DengXian" w:cs="Times New Roman"/>
          <w:i/>
          <w:iCs/>
          <w:sz w:val="22"/>
          <w:szCs w:val="22"/>
          <w:lang w:val="fr-FR"/>
        </w:rPr>
        <w:t>et al.</w:t>
      </w:r>
      <w:r w:rsidRPr="006B4940">
        <w:rPr>
          <w:rFonts w:eastAsia="DengXian" w:cs="Times New Roman"/>
          <w:sz w:val="22"/>
          <w:szCs w:val="22"/>
          <w:lang w:val="fr-FR"/>
        </w:rPr>
        <w:t xml:space="preserve">, 1991; Lian </w:t>
      </w:r>
      <w:r w:rsidRPr="006B4940">
        <w:rPr>
          <w:rFonts w:eastAsia="DengXian" w:cs="Times New Roman"/>
          <w:i/>
          <w:iCs/>
          <w:sz w:val="22"/>
          <w:szCs w:val="22"/>
          <w:lang w:val="fr-FR"/>
        </w:rPr>
        <w:t>et al.</w:t>
      </w:r>
      <w:r w:rsidRPr="006B4940">
        <w:rPr>
          <w:rFonts w:eastAsia="DengXian" w:cs="Times New Roman"/>
          <w:sz w:val="22"/>
          <w:szCs w:val="22"/>
          <w:lang w:val="fr-FR"/>
        </w:rPr>
        <w:t>, 2020)</w:t>
      </w:r>
      <w:r w:rsidRPr="00AA2E3B">
        <w:rPr>
          <w:rFonts w:eastAsia="DengXian" w:cs="Times New Roman"/>
          <w:sz w:val="22"/>
          <w:szCs w:val="22"/>
        </w:rPr>
        <w:fldChar w:fldCharType="end"/>
      </w:r>
      <w:r w:rsidRPr="006B4940">
        <w:rPr>
          <w:rFonts w:eastAsia="DengXian" w:cs="Times New Roman"/>
          <w:sz w:val="22"/>
          <w:szCs w:val="22"/>
          <w:lang w:val="fr-FR"/>
        </w:rPr>
        <w:t xml:space="preserve">. </w:t>
      </w:r>
      <w:r w:rsidRPr="00AA2E3B">
        <w:rPr>
          <w:rFonts w:eastAsia="DengXian" w:cs="Times New Roman"/>
          <w:sz w:val="22"/>
          <w:szCs w:val="22"/>
        </w:rPr>
        <w:t xml:space="preserve">Values for these parameters are presented in Table </w:t>
      </w:r>
      <w:r>
        <w:rPr>
          <w:rFonts w:eastAsia="DengXian" w:cs="Times New Roman"/>
          <w:sz w:val="22"/>
          <w:szCs w:val="22"/>
        </w:rPr>
        <w:t>C5</w:t>
      </w:r>
      <w:r w:rsidRPr="00AA2E3B">
        <w:rPr>
          <w:rFonts w:eastAsia="DengXian" w:cs="Times New Roman"/>
          <w:sz w:val="22"/>
          <w:szCs w:val="22"/>
        </w:rPr>
        <w:t>.</w:t>
      </w:r>
    </w:p>
    <w:p w14:paraId="1891AAD8" w14:textId="77777777" w:rsidR="008F30F4" w:rsidRDefault="008F30F4" w:rsidP="008F30F4">
      <w:pPr>
        <w:spacing w:before="0" w:line="240" w:lineRule="auto"/>
        <w:ind w:firstLine="0"/>
        <w:rPr>
          <w:rFonts w:eastAsia="DengXian" w:cs="Times New Roman"/>
          <w:sz w:val="22"/>
          <w:szCs w:val="22"/>
          <w:highlight w:val="yellow"/>
        </w:rPr>
      </w:pPr>
      <w:r>
        <w:rPr>
          <w:rFonts w:eastAsia="DengXian" w:cs="Times New Roman"/>
          <w:sz w:val="22"/>
          <w:szCs w:val="22"/>
          <w:highlight w:val="yellow"/>
        </w:rPr>
        <w:br w:type="page"/>
      </w:r>
    </w:p>
    <w:p w14:paraId="2753DE49" w14:textId="77777777" w:rsidR="008F30F4" w:rsidRPr="0096493C" w:rsidRDefault="008F30F4" w:rsidP="008F30F4">
      <w:pPr>
        <w:ind w:firstLine="0"/>
        <w:jc w:val="center"/>
        <w:rPr>
          <w:rFonts w:eastAsia="DengXian" w:cs="Times New Roman"/>
          <w:b/>
          <w:bCs/>
          <w:sz w:val="22"/>
          <w:szCs w:val="22"/>
        </w:rPr>
      </w:pPr>
      <w:r w:rsidRPr="0096493C">
        <w:rPr>
          <w:rFonts w:eastAsia="DengXian" w:cs="Times New Roman"/>
          <w:b/>
          <w:bCs/>
          <w:sz w:val="22"/>
          <w:szCs w:val="22"/>
        </w:rPr>
        <w:lastRenderedPageBreak/>
        <w:t xml:space="preserve">Table </w:t>
      </w:r>
      <w:r>
        <w:rPr>
          <w:rFonts w:eastAsia="DengXian" w:cs="Times New Roman"/>
          <w:b/>
          <w:bCs/>
          <w:sz w:val="22"/>
          <w:szCs w:val="22"/>
        </w:rPr>
        <w:t>C5</w:t>
      </w:r>
      <w:r w:rsidRPr="006D416B">
        <w:rPr>
          <w:rFonts w:eastAsia="DengXian" w:cs="Times New Roman"/>
          <w:b/>
          <w:bCs/>
          <w:sz w:val="22"/>
          <w:szCs w:val="22"/>
        </w:rPr>
        <w:t>. Elasticities</w:t>
      </w:r>
    </w:p>
    <w:tbl>
      <w:tblPr>
        <w:tblW w:w="4894" w:type="pct"/>
        <w:jc w:val="center"/>
        <w:tblBorders>
          <w:top w:val="single" w:sz="4" w:space="0" w:color="auto"/>
          <w:bottom w:val="single" w:sz="4" w:space="0" w:color="auto"/>
        </w:tblBorders>
        <w:tblLayout w:type="fixed"/>
        <w:tblLook w:val="04A0" w:firstRow="1" w:lastRow="0" w:firstColumn="1" w:lastColumn="0" w:noHBand="0" w:noVBand="1"/>
      </w:tblPr>
      <w:tblGrid>
        <w:gridCol w:w="1418"/>
        <w:gridCol w:w="2268"/>
        <w:gridCol w:w="4796"/>
      </w:tblGrid>
      <w:tr w:rsidR="008F30F4" w:rsidRPr="007212D7" w14:paraId="2FFECE31" w14:textId="77777777" w:rsidTr="001F21E7">
        <w:trPr>
          <w:cantSplit/>
          <w:trHeight w:val="322"/>
          <w:jc w:val="center"/>
        </w:trPr>
        <w:tc>
          <w:tcPr>
            <w:tcW w:w="836" w:type="pct"/>
            <w:tcBorders>
              <w:top w:val="single" w:sz="4" w:space="0" w:color="auto"/>
              <w:bottom w:val="single" w:sz="4" w:space="0" w:color="auto"/>
            </w:tcBorders>
            <w:shd w:val="clear" w:color="auto" w:fill="auto"/>
            <w:noWrap/>
            <w:vAlign w:val="center"/>
            <w:hideMark/>
          </w:tcPr>
          <w:p w14:paraId="57836ABD" w14:textId="77777777" w:rsidR="008F30F4" w:rsidRPr="001A7E0E" w:rsidRDefault="008F30F4" w:rsidP="001F21E7">
            <w:pPr>
              <w:spacing w:before="0" w:line="240" w:lineRule="auto"/>
              <w:ind w:firstLine="0"/>
              <w:contextualSpacing/>
              <w:jc w:val="center"/>
              <w:rPr>
                <w:rFonts w:eastAsia="DengXian" w:cs="Times New Roman"/>
                <w:sz w:val="18"/>
                <w:szCs w:val="18"/>
                <w:lang w:eastAsia="en-US"/>
              </w:rPr>
            </w:pPr>
            <w:r w:rsidRPr="001A7E0E">
              <w:rPr>
                <w:rFonts w:eastAsia="DengXian" w:cs="Times New Roman"/>
                <w:sz w:val="18"/>
                <w:szCs w:val="18"/>
                <w:lang w:eastAsia="en-US"/>
              </w:rPr>
              <w:t>Parameter</w:t>
            </w:r>
          </w:p>
        </w:tc>
        <w:tc>
          <w:tcPr>
            <w:tcW w:w="1337" w:type="pct"/>
            <w:tcBorders>
              <w:top w:val="single" w:sz="4" w:space="0" w:color="auto"/>
              <w:bottom w:val="single" w:sz="4" w:space="0" w:color="auto"/>
            </w:tcBorders>
            <w:shd w:val="clear" w:color="auto" w:fill="auto"/>
            <w:noWrap/>
            <w:vAlign w:val="center"/>
            <w:hideMark/>
          </w:tcPr>
          <w:p w14:paraId="67A2B4CB" w14:textId="77777777" w:rsidR="008F30F4" w:rsidRPr="001A7E0E" w:rsidRDefault="008F30F4" w:rsidP="001F21E7">
            <w:pPr>
              <w:spacing w:before="0" w:line="240" w:lineRule="auto"/>
              <w:ind w:firstLine="0"/>
              <w:contextualSpacing/>
              <w:jc w:val="center"/>
              <w:rPr>
                <w:rFonts w:eastAsia="Times New Roman" w:cs="Times New Roman"/>
                <w:sz w:val="18"/>
                <w:szCs w:val="18"/>
                <w:lang w:eastAsia="en-US"/>
              </w:rPr>
            </w:pPr>
            <w:r w:rsidRPr="001A7E0E">
              <w:rPr>
                <w:rFonts w:eastAsia="DengXian" w:cs="Times New Roman"/>
                <w:sz w:val="18"/>
                <w:szCs w:val="18"/>
                <w:lang w:eastAsia="en-US"/>
              </w:rPr>
              <w:t>Source</w:t>
            </w:r>
          </w:p>
        </w:tc>
        <w:tc>
          <w:tcPr>
            <w:tcW w:w="2827" w:type="pct"/>
            <w:tcBorders>
              <w:top w:val="single" w:sz="4" w:space="0" w:color="auto"/>
              <w:bottom w:val="single" w:sz="4" w:space="0" w:color="auto"/>
            </w:tcBorders>
            <w:shd w:val="clear" w:color="auto" w:fill="auto"/>
            <w:noWrap/>
            <w:vAlign w:val="center"/>
            <w:hideMark/>
          </w:tcPr>
          <w:p w14:paraId="67FEAB4E" w14:textId="77777777" w:rsidR="008F30F4" w:rsidRPr="001A7E0E" w:rsidRDefault="008F30F4" w:rsidP="001F21E7">
            <w:pPr>
              <w:spacing w:before="0" w:line="240" w:lineRule="auto"/>
              <w:ind w:firstLine="0"/>
              <w:contextualSpacing/>
              <w:jc w:val="center"/>
              <w:rPr>
                <w:rFonts w:eastAsia="DengXian" w:cs="Times New Roman"/>
                <w:sz w:val="18"/>
                <w:szCs w:val="18"/>
                <w:vertAlign w:val="superscript"/>
                <w:lang w:eastAsia="en-US"/>
              </w:rPr>
            </w:pPr>
            <w:r w:rsidRPr="001A7E0E">
              <w:rPr>
                <w:rFonts w:eastAsia="DengXian" w:cs="Times New Roman"/>
                <w:sz w:val="18"/>
                <w:szCs w:val="18"/>
                <w:lang w:eastAsia="en-US"/>
              </w:rPr>
              <w:t>Values</w:t>
            </w:r>
          </w:p>
        </w:tc>
      </w:tr>
      <w:tr w:rsidR="008F30F4" w:rsidRPr="00956A6E" w14:paraId="03CD1FE0" w14:textId="77777777" w:rsidTr="001F21E7">
        <w:trPr>
          <w:cantSplit/>
          <w:trHeight w:val="553"/>
          <w:jc w:val="center"/>
        </w:trPr>
        <w:tc>
          <w:tcPr>
            <w:tcW w:w="836" w:type="pct"/>
            <w:tcBorders>
              <w:top w:val="single" w:sz="4" w:space="0" w:color="auto"/>
            </w:tcBorders>
            <w:shd w:val="clear" w:color="auto" w:fill="auto"/>
            <w:noWrap/>
            <w:vAlign w:val="center"/>
          </w:tcPr>
          <w:p w14:paraId="5D38F522" w14:textId="77777777" w:rsidR="008F30F4" w:rsidRPr="001A7E0E" w:rsidRDefault="008F30F4" w:rsidP="001F21E7">
            <w:pPr>
              <w:spacing w:before="0" w:line="240" w:lineRule="auto"/>
              <w:ind w:firstLine="0"/>
              <w:contextualSpacing/>
              <w:jc w:val="center"/>
              <w:rPr>
                <w:rFonts w:eastAsia="DengXian" w:cs="Times New Roman"/>
                <w:sz w:val="18"/>
                <w:szCs w:val="18"/>
                <w:lang w:eastAsia="en-US"/>
              </w:rPr>
            </w:pPr>
            <w:r w:rsidRPr="001A7E0E">
              <w:rPr>
                <w:rFonts w:eastAsia="Times New Roman" w:cs="Times New Roman"/>
                <w:sz w:val="18"/>
                <w:szCs w:val="18"/>
                <w:lang w:eastAsia="en-US"/>
              </w:rPr>
              <w:t>Production elasticities</w:t>
            </w:r>
          </w:p>
        </w:tc>
        <w:tc>
          <w:tcPr>
            <w:tcW w:w="1337" w:type="pct"/>
            <w:tcBorders>
              <w:top w:val="single" w:sz="4" w:space="0" w:color="auto"/>
            </w:tcBorders>
            <w:shd w:val="clear" w:color="auto" w:fill="auto"/>
            <w:vAlign w:val="center"/>
          </w:tcPr>
          <w:p w14:paraId="6D20F031" w14:textId="77777777" w:rsidR="008F30F4" w:rsidRPr="001A7E0E" w:rsidRDefault="008F30F4" w:rsidP="001F21E7">
            <w:pPr>
              <w:spacing w:before="0" w:line="240" w:lineRule="auto"/>
              <w:ind w:firstLine="0"/>
              <w:contextualSpacing/>
              <w:rPr>
                <w:rFonts w:eastAsia="DengXian" w:cs="Times New Roman"/>
                <w:sz w:val="18"/>
                <w:szCs w:val="18"/>
                <w:lang w:eastAsia="en-US"/>
              </w:rPr>
            </w:pPr>
          </w:p>
        </w:tc>
        <w:tc>
          <w:tcPr>
            <w:tcW w:w="2827" w:type="pct"/>
            <w:tcBorders>
              <w:top w:val="single" w:sz="4" w:space="0" w:color="auto"/>
            </w:tcBorders>
            <w:shd w:val="clear" w:color="auto" w:fill="auto"/>
            <w:vAlign w:val="center"/>
          </w:tcPr>
          <w:p w14:paraId="23AB75A6" w14:textId="77777777" w:rsidR="008F30F4" w:rsidRPr="001A7E0E" w:rsidRDefault="008F30F4" w:rsidP="001F21E7">
            <w:pPr>
              <w:spacing w:before="0" w:line="240" w:lineRule="auto"/>
              <w:ind w:firstLine="0"/>
              <w:contextualSpacing/>
              <w:rPr>
                <w:rFonts w:eastAsia="DengXian" w:cs="Times New Roman"/>
                <w:sz w:val="18"/>
                <w:szCs w:val="18"/>
                <w:lang w:eastAsia="en-US"/>
              </w:rPr>
            </w:pPr>
          </w:p>
        </w:tc>
      </w:tr>
      <w:tr w:rsidR="008F30F4" w:rsidRPr="007212D7" w14:paraId="02EFF6D8" w14:textId="77777777" w:rsidTr="001F21E7">
        <w:trPr>
          <w:cantSplit/>
          <w:trHeight w:val="248"/>
          <w:jc w:val="center"/>
        </w:trPr>
        <w:tc>
          <w:tcPr>
            <w:tcW w:w="836" w:type="pct"/>
            <w:shd w:val="clear" w:color="auto" w:fill="auto"/>
            <w:noWrap/>
            <w:vAlign w:val="center"/>
          </w:tcPr>
          <w:p w14:paraId="6F4C7B2F"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res</m:t>
                    </m:r>
                  </m:sub>
                </m:sSub>
              </m:oMath>
            </m:oMathPara>
          </w:p>
        </w:tc>
        <w:tc>
          <w:tcPr>
            <w:tcW w:w="1337" w:type="pct"/>
            <w:shd w:val="clear" w:color="auto" w:fill="auto"/>
            <w:noWrap/>
            <w:vAlign w:val="center"/>
          </w:tcPr>
          <w:p w14:paraId="641EBDB9"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Calibrated </w:t>
            </w:r>
          </w:p>
        </w:tc>
        <w:tc>
          <w:tcPr>
            <w:tcW w:w="2827" w:type="pct"/>
            <w:shd w:val="clear" w:color="auto" w:fill="auto"/>
            <w:noWrap/>
            <w:vAlign w:val="center"/>
          </w:tcPr>
          <w:p w14:paraId="0A61419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Solar: 0.27</w:t>
            </w:r>
          </w:p>
          <w:p w14:paraId="501E2076"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Wind: 0.28</w:t>
            </w:r>
          </w:p>
          <w:p w14:paraId="2ED02A35"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Hydro, Nuclear: 0</w:t>
            </w:r>
          </w:p>
        </w:tc>
      </w:tr>
      <w:tr w:rsidR="008F30F4" w:rsidRPr="007212D7" w14:paraId="5D6C42FF" w14:textId="77777777" w:rsidTr="001F21E7">
        <w:trPr>
          <w:cantSplit/>
          <w:trHeight w:val="248"/>
          <w:jc w:val="center"/>
        </w:trPr>
        <w:tc>
          <w:tcPr>
            <w:tcW w:w="836" w:type="pct"/>
            <w:shd w:val="clear" w:color="auto" w:fill="auto"/>
            <w:noWrap/>
            <w:vAlign w:val="center"/>
            <w:hideMark/>
          </w:tcPr>
          <w:p w14:paraId="4ADD69CD"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xemw</m:t>
                    </m:r>
                  </m:sub>
                </m:sSub>
              </m:oMath>
            </m:oMathPara>
          </w:p>
        </w:tc>
        <w:tc>
          <w:tcPr>
            <w:tcW w:w="1337" w:type="pct"/>
            <w:shd w:val="clear" w:color="auto" w:fill="auto"/>
            <w:noWrap/>
            <w:vAlign w:val="center"/>
            <w:hideMark/>
          </w:tcPr>
          <w:p w14:paraId="2B30B332" w14:textId="77777777" w:rsidR="008F30F4" w:rsidRPr="001A7E0E" w:rsidRDefault="008F30F4" w:rsidP="001F21E7">
            <w:pPr>
              <w:spacing w:before="0" w:line="240" w:lineRule="auto"/>
              <w:ind w:firstLine="0"/>
              <w:contextualSpacing/>
              <w:rPr>
                <w:rFonts w:eastAsia="Times New Roman" w:cs="Times New Roman"/>
                <w:sz w:val="18"/>
                <w:szCs w:val="18"/>
                <w:lang w:val="sv-SE" w:eastAsia="en-US"/>
              </w:rPr>
            </w:pPr>
            <w:r w:rsidRPr="001A7E0E">
              <w:rPr>
                <w:rFonts w:eastAsia="Times New Roman" w:cs="Times New Roman"/>
                <w:sz w:val="18"/>
                <w:szCs w:val="18"/>
                <w:lang w:val="sv-SE" w:eastAsia="en-US"/>
              </w:rPr>
              <w:t>GTAP</w:t>
            </w:r>
            <w:r w:rsidRPr="001A7E0E">
              <w:rPr>
                <w:rFonts w:eastAsia="DengXian" w:cs="Times New Roman"/>
                <w:sz w:val="18"/>
                <w:szCs w:val="18"/>
                <w:lang w:val="sv-SE"/>
              </w:rPr>
              <w:t xml:space="preserve">, </w:t>
            </w:r>
            <w:r w:rsidRPr="001A7E0E">
              <w:rPr>
                <w:rFonts w:eastAsia="Times New Roman" w:cs="Times New Roman"/>
                <w:sz w:val="18"/>
                <w:szCs w:val="18"/>
                <w:lang w:val="sv-SE" w:eastAsia="en-US"/>
              </w:rPr>
              <w:t>EPPA,</w:t>
            </w:r>
            <w:r w:rsidRPr="001A7E0E">
              <w:rPr>
                <w:rFonts w:eastAsia="DengXian" w:cs="Times New Roman"/>
                <w:sz w:val="18"/>
                <w:szCs w:val="18"/>
                <w:lang w:val="sv-SE"/>
              </w:rPr>
              <w:t xml:space="preserve"> </w:t>
            </w:r>
            <w:r w:rsidRPr="001A7E0E">
              <w:rPr>
                <w:rFonts w:eastAsia="Times New Roman" w:cs="Times New Roman"/>
                <w:sz w:val="18"/>
                <w:szCs w:val="18"/>
                <w:lang w:val="sv-SE" w:eastAsia="en-US"/>
              </w:rPr>
              <w:t>RTI-ADAGE, DIEM</w:t>
            </w:r>
          </w:p>
        </w:tc>
        <w:tc>
          <w:tcPr>
            <w:tcW w:w="2827" w:type="pct"/>
            <w:shd w:val="clear" w:color="auto" w:fill="auto"/>
            <w:noWrap/>
            <w:vAlign w:val="center"/>
            <w:hideMark/>
          </w:tcPr>
          <w:p w14:paraId="065747DB"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0</w:t>
            </w:r>
          </w:p>
        </w:tc>
      </w:tr>
      <w:tr w:rsidR="008F30F4" w:rsidRPr="007212D7" w14:paraId="5F052FB0" w14:textId="77777777" w:rsidTr="001F21E7">
        <w:trPr>
          <w:cantSplit/>
          <w:trHeight w:val="248"/>
          <w:jc w:val="center"/>
        </w:trPr>
        <w:tc>
          <w:tcPr>
            <w:tcW w:w="836" w:type="pct"/>
            <w:shd w:val="clear" w:color="auto" w:fill="auto"/>
            <w:noWrap/>
            <w:vAlign w:val="center"/>
            <w:hideMark/>
          </w:tcPr>
          <w:p w14:paraId="1D531172"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emw</m:t>
                    </m:r>
                  </m:sub>
                </m:sSub>
              </m:oMath>
            </m:oMathPara>
          </w:p>
        </w:tc>
        <w:tc>
          <w:tcPr>
            <w:tcW w:w="1337" w:type="pct"/>
            <w:shd w:val="clear" w:color="auto" w:fill="auto"/>
            <w:noWrap/>
            <w:vAlign w:val="center"/>
            <w:hideMark/>
          </w:tcPr>
          <w:p w14:paraId="16D10FF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Calibrated</w:t>
            </w:r>
          </w:p>
        </w:tc>
        <w:tc>
          <w:tcPr>
            <w:tcW w:w="2827" w:type="pct"/>
            <w:shd w:val="clear" w:color="auto" w:fill="auto"/>
            <w:noWrap/>
            <w:vAlign w:val="center"/>
            <w:hideMark/>
          </w:tcPr>
          <w:p w14:paraId="6D5E507E"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Electricity: 0.04 - 0.37, see Table </w:t>
            </w:r>
            <w:r>
              <w:rPr>
                <w:rFonts w:eastAsia="Times New Roman" w:cs="Times New Roman"/>
                <w:sz w:val="18"/>
                <w:szCs w:val="18"/>
                <w:lang w:eastAsia="en-US"/>
              </w:rPr>
              <w:t>C2</w:t>
            </w:r>
          </w:p>
          <w:p w14:paraId="5642E2D7" w14:textId="77777777" w:rsidR="008F30F4" w:rsidRPr="001A7E0E" w:rsidRDefault="008F30F4" w:rsidP="001F21E7">
            <w:pPr>
              <w:spacing w:before="0" w:line="240" w:lineRule="auto"/>
              <w:ind w:firstLine="0"/>
              <w:contextualSpacing/>
              <w:rPr>
                <w:rFonts w:cs="Times New Roman"/>
                <w:sz w:val="18"/>
                <w:szCs w:val="18"/>
              </w:rPr>
            </w:pPr>
            <w:r w:rsidRPr="001A7E0E">
              <w:rPr>
                <w:rFonts w:cs="Times New Roman"/>
                <w:sz w:val="18"/>
                <w:szCs w:val="18"/>
              </w:rPr>
              <w:t>Other sectors: 0.4</w:t>
            </w:r>
          </w:p>
        </w:tc>
      </w:tr>
      <w:tr w:rsidR="008F30F4" w:rsidRPr="007212D7" w14:paraId="3AE59DB8" w14:textId="77777777" w:rsidTr="001F21E7">
        <w:trPr>
          <w:cantSplit/>
          <w:trHeight w:val="248"/>
          <w:jc w:val="center"/>
        </w:trPr>
        <w:tc>
          <w:tcPr>
            <w:tcW w:w="836" w:type="pct"/>
            <w:shd w:val="clear" w:color="auto" w:fill="auto"/>
            <w:noWrap/>
            <w:vAlign w:val="center"/>
            <w:hideMark/>
          </w:tcPr>
          <w:p w14:paraId="65036E1E"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e</m:t>
                    </m:r>
                  </m:sub>
                </m:sSub>
              </m:oMath>
            </m:oMathPara>
          </w:p>
        </w:tc>
        <w:tc>
          <w:tcPr>
            <w:tcW w:w="1337" w:type="pct"/>
            <w:shd w:val="clear" w:color="auto" w:fill="auto"/>
            <w:noWrap/>
            <w:vAlign w:val="center"/>
            <w:hideMark/>
          </w:tcPr>
          <w:p w14:paraId="4FA4666A"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Calibrated</w:t>
            </w:r>
          </w:p>
        </w:tc>
        <w:tc>
          <w:tcPr>
            <w:tcW w:w="2827" w:type="pct"/>
            <w:shd w:val="clear" w:color="auto" w:fill="auto"/>
            <w:noWrap/>
            <w:vAlign w:val="center"/>
            <w:hideMark/>
          </w:tcPr>
          <w:p w14:paraId="70F9D176"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cs="Times New Roman"/>
                <w:sz w:val="18"/>
                <w:szCs w:val="18"/>
              </w:rPr>
              <w:t>Other sectors</w:t>
            </w:r>
            <w:r w:rsidRPr="001A7E0E">
              <w:rPr>
                <w:rFonts w:eastAsia="Times New Roman" w:cs="Times New Roman"/>
                <w:sz w:val="18"/>
                <w:szCs w:val="18"/>
                <w:lang w:eastAsia="en-US"/>
              </w:rPr>
              <w:t>: 0.50; Electricity: 0.01</w:t>
            </w:r>
          </w:p>
        </w:tc>
      </w:tr>
      <w:tr w:rsidR="008F30F4" w:rsidRPr="007212D7" w14:paraId="67F2C9B6" w14:textId="77777777" w:rsidTr="001F21E7">
        <w:trPr>
          <w:cantSplit/>
          <w:trHeight w:val="248"/>
          <w:jc w:val="center"/>
        </w:trPr>
        <w:tc>
          <w:tcPr>
            <w:tcW w:w="836" w:type="pct"/>
            <w:shd w:val="clear" w:color="auto" w:fill="auto"/>
            <w:noWrap/>
            <w:vAlign w:val="center"/>
          </w:tcPr>
          <w:p w14:paraId="15E06D72" w14:textId="77777777" w:rsidR="008F30F4" w:rsidRPr="001A7E0E" w:rsidRDefault="0038014B" w:rsidP="001F21E7">
            <w:pPr>
              <w:spacing w:before="0" w:line="240" w:lineRule="auto"/>
              <w:contextualSpacing/>
              <w:jc w:val="center"/>
              <w:rPr>
                <w:rFonts w:eastAsia="DengXi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h</m:t>
                    </m:r>
                  </m:sub>
                </m:sSub>
              </m:oMath>
            </m:oMathPara>
          </w:p>
        </w:tc>
        <w:tc>
          <w:tcPr>
            <w:tcW w:w="1337" w:type="pct"/>
            <w:shd w:val="clear" w:color="auto" w:fill="auto"/>
            <w:noWrap/>
            <w:vAlign w:val="center"/>
          </w:tcPr>
          <w:p w14:paraId="5DD35A7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Hu </w:t>
            </w:r>
            <w:r w:rsidRPr="001A7E0E">
              <w:rPr>
                <w:rFonts w:eastAsia="Times New Roman" w:cs="Times New Roman"/>
                <w:i/>
                <w:iCs/>
                <w:sz w:val="18"/>
                <w:szCs w:val="18"/>
                <w:lang w:eastAsia="en-US"/>
              </w:rPr>
              <w:t xml:space="preserve">et al. </w:t>
            </w:r>
            <w:r w:rsidRPr="001A7E0E">
              <w:rPr>
                <w:rFonts w:eastAsia="Times New Roman" w:cs="Times New Roman"/>
                <w:sz w:val="18"/>
                <w:szCs w:val="18"/>
                <w:lang w:eastAsia="en-US"/>
              </w:rPr>
              <w:t>(2019)</w:t>
            </w:r>
          </w:p>
        </w:tc>
        <w:tc>
          <w:tcPr>
            <w:tcW w:w="2827" w:type="pct"/>
            <w:shd w:val="clear" w:color="auto" w:fill="auto"/>
            <w:noWrap/>
            <w:vAlign w:val="center"/>
          </w:tcPr>
          <w:p w14:paraId="1042A64E" w14:textId="77777777" w:rsidR="008F30F4" w:rsidRPr="001A7E0E" w:rsidRDefault="008F30F4" w:rsidP="001F21E7">
            <w:pPr>
              <w:spacing w:before="0" w:line="240" w:lineRule="auto"/>
              <w:ind w:firstLine="0"/>
              <w:contextualSpacing/>
              <w:rPr>
                <w:rFonts w:cs="Times New Roman"/>
                <w:sz w:val="18"/>
                <w:szCs w:val="18"/>
              </w:rPr>
            </w:pPr>
            <w:r w:rsidRPr="001A7E0E">
              <w:rPr>
                <w:rFonts w:cs="Times New Roman"/>
                <w:sz w:val="18"/>
                <w:szCs w:val="18"/>
              </w:rPr>
              <w:t>0.30</w:t>
            </w:r>
          </w:p>
        </w:tc>
      </w:tr>
      <w:tr w:rsidR="008F30F4" w:rsidRPr="007212D7" w14:paraId="076E8839" w14:textId="77777777" w:rsidTr="001F21E7">
        <w:trPr>
          <w:cantSplit/>
          <w:trHeight w:val="248"/>
          <w:jc w:val="center"/>
        </w:trPr>
        <w:tc>
          <w:tcPr>
            <w:tcW w:w="836" w:type="pct"/>
            <w:shd w:val="clear" w:color="auto" w:fill="auto"/>
            <w:noWrap/>
            <w:vAlign w:val="center"/>
            <w:hideMark/>
          </w:tcPr>
          <w:p w14:paraId="683140FA"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f</m:t>
                    </m:r>
                  </m:sub>
                </m:sSub>
              </m:oMath>
            </m:oMathPara>
          </w:p>
        </w:tc>
        <w:tc>
          <w:tcPr>
            <w:tcW w:w="1337" w:type="pct"/>
            <w:shd w:val="clear" w:color="auto" w:fill="auto"/>
            <w:noWrap/>
            <w:vAlign w:val="center"/>
            <w:hideMark/>
          </w:tcPr>
          <w:p w14:paraId="4496AC4F"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Cossa (2004)</w:t>
            </w:r>
            <w:r w:rsidRPr="001A7E0E">
              <w:rPr>
                <w:rFonts w:eastAsia="DengXian" w:cs="Times New Roman"/>
                <w:sz w:val="18"/>
                <w:szCs w:val="18"/>
              </w:rPr>
              <w:t xml:space="preserve">, </w:t>
            </w:r>
            <w:r w:rsidRPr="001A7E0E">
              <w:rPr>
                <w:rFonts w:eastAsia="Times New Roman" w:cs="Times New Roman"/>
                <w:sz w:val="18"/>
                <w:szCs w:val="18"/>
                <w:lang w:eastAsia="en-US"/>
              </w:rPr>
              <w:t>RTI-ADAGE</w:t>
            </w:r>
          </w:p>
        </w:tc>
        <w:tc>
          <w:tcPr>
            <w:tcW w:w="2827" w:type="pct"/>
            <w:shd w:val="clear" w:color="auto" w:fill="auto"/>
            <w:noWrap/>
            <w:vAlign w:val="center"/>
            <w:hideMark/>
          </w:tcPr>
          <w:p w14:paraId="635D255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cs="Times New Roman"/>
                <w:sz w:val="18"/>
                <w:szCs w:val="18"/>
              </w:rPr>
              <w:t>Other sectors</w:t>
            </w:r>
            <w:r w:rsidRPr="001A7E0E">
              <w:rPr>
                <w:rFonts w:eastAsia="Times New Roman" w:cs="Times New Roman"/>
                <w:sz w:val="18"/>
                <w:szCs w:val="18"/>
                <w:lang w:eastAsia="en-US"/>
              </w:rPr>
              <w:t>: 1.00; Electricity: 0.10</w:t>
            </w:r>
          </w:p>
        </w:tc>
      </w:tr>
      <w:tr w:rsidR="008F30F4" w:rsidRPr="007212D7" w14:paraId="1B3A5A8B" w14:textId="77777777" w:rsidTr="001F21E7">
        <w:trPr>
          <w:cantSplit/>
          <w:trHeight w:val="248"/>
          <w:jc w:val="center"/>
        </w:trPr>
        <w:tc>
          <w:tcPr>
            <w:tcW w:w="836" w:type="pct"/>
            <w:shd w:val="clear" w:color="auto" w:fill="auto"/>
            <w:noWrap/>
            <w:vAlign w:val="center"/>
            <w:hideMark/>
          </w:tcPr>
          <w:p w14:paraId="366CB1B9"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mw</m:t>
                    </m:r>
                  </m:sub>
                </m:sSub>
              </m:oMath>
            </m:oMathPara>
          </w:p>
        </w:tc>
        <w:tc>
          <w:tcPr>
            <w:tcW w:w="1337" w:type="pct"/>
            <w:shd w:val="clear" w:color="auto" w:fill="auto"/>
            <w:noWrap/>
            <w:vAlign w:val="center"/>
            <w:hideMark/>
          </w:tcPr>
          <w:p w14:paraId="02EAD6D5"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Jomini</w:t>
            </w:r>
            <w:r w:rsidRPr="001A7E0E">
              <w:rPr>
                <w:rFonts w:eastAsia="Times New Roman" w:cs="Times New Roman"/>
                <w:i/>
                <w:iCs/>
                <w:sz w:val="18"/>
                <w:szCs w:val="18"/>
                <w:lang w:eastAsia="en-US"/>
              </w:rPr>
              <w:t xml:space="preserve"> et al.</w:t>
            </w:r>
            <w:r w:rsidRPr="001A7E0E">
              <w:rPr>
                <w:rFonts w:eastAsia="Times New Roman" w:cs="Times New Roman"/>
                <w:sz w:val="18"/>
                <w:szCs w:val="18"/>
                <w:lang w:eastAsia="en-US"/>
              </w:rPr>
              <w:t xml:space="preserve"> (1991)</w:t>
            </w:r>
          </w:p>
        </w:tc>
        <w:tc>
          <w:tcPr>
            <w:tcW w:w="2827" w:type="pct"/>
            <w:shd w:val="clear" w:color="auto" w:fill="auto"/>
            <w:noWrap/>
            <w:vAlign w:val="center"/>
            <w:hideMark/>
          </w:tcPr>
          <w:p w14:paraId="06406DF1"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Agriculture: 0.24</w:t>
            </w:r>
          </w:p>
          <w:p w14:paraId="70C671BE"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Coal</w:t>
            </w:r>
            <w:r w:rsidRPr="001A7E0E">
              <w:rPr>
                <w:rFonts w:cs="Times New Roman"/>
                <w:sz w:val="18"/>
                <w:szCs w:val="18"/>
              </w:rPr>
              <w:t xml:space="preserve">, </w:t>
            </w:r>
            <w:r w:rsidRPr="001A7E0E">
              <w:rPr>
                <w:rFonts w:eastAsia="Times New Roman" w:cs="Times New Roman"/>
                <w:sz w:val="18"/>
                <w:szCs w:val="18"/>
                <w:lang w:eastAsia="en-US"/>
              </w:rPr>
              <w:t>Crude oil</w:t>
            </w:r>
            <w:r w:rsidRPr="001A7E0E">
              <w:rPr>
                <w:rFonts w:cs="Times New Roman"/>
                <w:sz w:val="18"/>
                <w:szCs w:val="18"/>
              </w:rPr>
              <w:t xml:space="preserve">, </w:t>
            </w:r>
            <w:r w:rsidRPr="001A7E0E">
              <w:rPr>
                <w:rFonts w:eastAsia="Times New Roman" w:cs="Times New Roman"/>
                <w:sz w:val="18"/>
                <w:szCs w:val="18"/>
                <w:lang w:eastAsia="en-US"/>
              </w:rPr>
              <w:t>Natural gas, Mining: 0.20</w:t>
            </w:r>
          </w:p>
          <w:p w14:paraId="080689E4"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Food: 1.12</w:t>
            </w:r>
          </w:p>
          <w:p w14:paraId="7DE4AE8A"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Services: 1.36</w:t>
            </w:r>
          </w:p>
          <w:p w14:paraId="4908E59C"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Transportation: 1.48</w:t>
            </w:r>
          </w:p>
          <w:p w14:paraId="755D66B6"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Other sectors: 1.26</w:t>
            </w:r>
          </w:p>
        </w:tc>
      </w:tr>
      <w:tr w:rsidR="008F30F4" w:rsidRPr="007212D7" w14:paraId="62DE97AC" w14:textId="77777777" w:rsidTr="001F21E7">
        <w:trPr>
          <w:cantSplit/>
          <w:trHeight w:val="248"/>
          <w:jc w:val="center"/>
        </w:trPr>
        <w:tc>
          <w:tcPr>
            <w:tcW w:w="836" w:type="pct"/>
            <w:shd w:val="clear" w:color="auto" w:fill="auto"/>
            <w:noWrap/>
            <w:vAlign w:val="center"/>
            <w:hideMark/>
          </w:tcPr>
          <w:p w14:paraId="28B034E1"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x</m:t>
                    </m:r>
                  </m:sub>
                </m:sSub>
              </m:oMath>
            </m:oMathPara>
          </w:p>
        </w:tc>
        <w:tc>
          <w:tcPr>
            <w:tcW w:w="1337" w:type="pct"/>
            <w:shd w:val="clear" w:color="auto" w:fill="auto"/>
            <w:noWrap/>
            <w:vAlign w:val="center"/>
            <w:hideMark/>
          </w:tcPr>
          <w:p w14:paraId="0AE95FED"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GTAP, EPPA, DIEM</w:t>
            </w:r>
          </w:p>
        </w:tc>
        <w:tc>
          <w:tcPr>
            <w:tcW w:w="2827" w:type="pct"/>
            <w:shd w:val="clear" w:color="auto" w:fill="auto"/>
            <w:noWrap/>
            <w:vAlign w:val="center"/>
            <w:hideMark/>
          </w:tcPr>
          <w:p w14:paraId="3611C5D0"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0</w:t>
            </w:r>
          </w:p>
        </w:tc>
      </w:tr>
      <w:tr w:rsidR="008F30F4" w:rsidRPr="007212D7" w14:paraId="716526A3" w14:textId="77777777" w:rsidTr="001F21E7">
        <w:trPr>
          <w:cantSplit/>
          <w:trHeight w:val="248"/>
          <w:jc w:val="center"/>
        </w:trPr>
        <w:tc>
          <w:tcPr>
            <w:tcW w:w="836" w:type="pct"/>
            <w:shd w:val="clear" w:color="auto" w:fill="auto"/>
            <w:noWrap/>
            <w:vAlign w:val="center"/>
          </w:tcPr>
          <w:p w14:paraId="106D9CE5"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n</m:t>
                    </m:r>
                  </m:sub>
                </m:sSub>
              </m:oMath>
            </m:oMathPara>
          </w:p>
        </w:tc>
        <w:tc>
          <w:tcPr>
            <w:tcW w:w="1337" w:type="pct"/>
            <w:shd w:val="clear" w:color="auto" w:fill="auto"/>
            <w:noWrap/>
            <w:vAlign w:val="center"/>
          </w:tcPr>
          <w:p w14:paraId="5828B6E3"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Hertel </w:t>
            </w:r>
            <w:r w:rsidRPr="001A7E0E">
              <w:rPr>
                <w:rFonts w:eastAsia="Times New Roman" w:cs="Times New Roman"/>
                <w:i/>
                <w:iCs/>
                <w:sz w:val="18"/>
                <w:szCs w:val="18"/>
                <w:lang w:eastAsia="en-US"/>
              </w:rPr>
              <w:t>et al.</w:t>
            </w:r>
            <w:r w:rsidRPr="001A7E0E">
              <w:rPr>
                <w:rFonts w:eastAsia="Times New Roman" w:cs="Times New Roman"/>
                <w:sz w:val="18"/>
                <w:szCs w:val="18"/>
                <w:lang w:eastAsia="en-US"/>
              </w:rPr>
              <w:t xml:space="preserve"> (2007)</w:t>
            </w:r>
          </w:p>
        </w:tc>
        <w:tc>
          <w:tcPr>
            <w:tcW w:w="2827" w:type="pct"/>
            <w:shd w:val="clear" w:color="auto" w:fill="auto"/>
            <w:noWrap/>
            <w:vAlign w:val="center"/>
          </w:tcPr>
          <w:p w14:paraId="2CFCF70F"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Mining: 1.80 </w:t>
            </w:r>
          </w:p>
          <w:p w14:paraId="7F9ED70F"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Construction, Transportation, Services: 3.80 </w:t>
            </w:r>
          </w:p>
          <w:p w14:paraId="0BAD47C6"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Petroleum refining: 4.20</w:t>
            </w:r>
          </w:p>
          <w:p w14:paraId="11A72B02"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Agriculture: 4.84</w:t>
            </w:r>
          </w:p>
          <w:p w14:paraId="5529A86B"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Food: 5.09 </w:t>
            </w:r>
          </w:p>
          <w:p w14:paraId="3A2EEFA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Cement, Other non-metal products: 5.80</w:t>
            </w:r>
          </w:p>
          <w:p w14:paraId="35ACD141"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Water, Gas manufacture &amp; distribution, Electricity, Heat: 5.60</w:t>
            </w:r>
          </w:p>
          <w:p w14:paraId="41E4808E"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Pulp &amp; paper, </w:t>
            </w:r>
            <w:r w:rsidRPr="001A7E0E">
              <w:rPr>
                <w:rFonts w:eastAsia="DengXian" w:cs="Times New Roman"/>
                <w:sz w:val="18"/>
                <w:szCs w:val="18"/>
                <w:lang w:eastAsia="en-US"/>
              </w:rPr>
              <w:t>Iron &amp; steel, Printing &amp; stationery</w:t>
            </w:r>
            <w:r w:rsidRPr="001A7E0E">
              <w:rPr>
                <w:rFonts w:eastAsia="Times New Roman" w:cs="Times New Roman"/>
                <w:sz w:val="18"/>
                <w:szCs w:val="18"/>
                <w:lang w:eastAsia="en-US"/>
              </w:rPr>
              <w:t>: 5.90</w:t>
            </w:r>
          </w:p>
          <w:p w14:paraId="7624AE89"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 xml:space="preserve">Coal: 6.10 </w:t>
            </w:r>
          </w:p>
          <w:p w14:paraId="7848ADA2"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Transport equipment: 6.31</w:t>
            </w:r>
          </w:p>
          <w:p w14:paraId="173A2766"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Raw chemicals, Daily chemical products: 6.60</w:t>
            </w:r>
          </w:p>
          <w:p w14:paraId="2D063E29"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Log &amp; furniture: 6.80</w:t>
            </w:r>
          </w:p>
          <w:p w14:paraId="638B7705"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Textile, Metal products, Other manufacturing: 7.50</w:t>
            </w:r>
          </w:p>
          <w:p w14:paraId="7861E9A2"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Clothing: 7.63</w:t>
            </w:r>
          </w:p>
          <w:p w14:paraId="5F4CDE7E"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General equipment: 8.10</w:t>
            </w:r>
          </w:p>
          <w:p w14:paraId="23005E51"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Aluminum, Other non-ferrous metals: 8.40</w:t>
            </w:r>
          </w:p>
          <w:p w14:paraId="602F1B65"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Electronic equipment: 8.80</w:t>
            </w:r>
          </w:p>
          <w:p w14:paraId="0A3AE6F5"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Crude oil: 10.40</w:t>
            </w:r>
          </w:p>
          <w:p w14:paraId="10BB02BF"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Natural gas: 16.00</w:t>
            </w:r>
          </w:p>
        </w:tc>
      </w:tr>
      <w:tr w:rsidR="008F30F4" w:rsidRPr="007212D7" w14:paraId="62CEF4D6" w14:textId="77777777" w:rsidTr="001F21E7">
        <w:trPr>
          <w:cantSplit/>
          <w:trHeight w:val="248"/>
          <w:jc w:val="center"/>
        </w:trPr>
        <w:tc>
          <w:tcPr>
            <w:tcW w:w="836" w:type="pct"/>
            <w:shd w:val="clear" w:color="auto" w:fill="auto"/>
            <w:noWrap/>
            <w:vAlign w:val="center"/>
          </w:tcPr>
          <w:p w14:paraId="50881F78"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DengXian" w:hAnsi="Cambria Math" w:cs="Times New Roman"/>
                        <w:sz w:val="18"/>
                        <w:szCs w:val="18"/>
                        <w:lang w:eastAsia="en-US"/>
                      </w:rPr>
                      <m:t>ds</m:t>
                    </m:r>
                  </m:sub>
                </m:sSub>
              </m:oMath>
            </m:oMathPara>
          </w:p>
        </w:tc>
        <w:tc>
          <w:tcPr>
            <w:tcW w:w="1337" w:type="pct"/>
            <w:shd w:val="clear" w:color="auto" w:fill="auto"/>
            <w:noWrap/>
            <w:vAlign w:val="center"/>
          </w:tcPr>
          <w:p w14:paraId="112C19EF"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GTAP</w:t>
            </w:r>
          </w:p>
        </w:tc>
        <w:tc>
          <w:tcPr>
            <w:tcW w:w="2827" w:type="pct"/>
            <w:shd w:val="clear" w:color="auto" w:fill="auto"/>
            <w:noWrap/>
            <w:vAlign w:val="center"/>
          </w:tcPr>
          <w:p w14:paraId="63EBA96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DengXian" w:cs="Times New Roman"/>
                <w:sz w:val="18"/>
                <w:szCs w:val="18"/>
                <w:lang w:eastAsia="en-US"/>
              </w:rPr>
              <w:t xml:space="preserve">Same as </w:t>
            </w:r>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n</m:t>
                  </m:r>
                </m:sub>
              </m:sSub>
            </m:oMath>
          </w:p>
        </w:tc>
      </w:tr>
      <w:tr w:rsidR="008F30F4" w:rsidRPr="00956A6E" w14:paraId="70459E2C" w14:textId="77777777" w:rsidTr="001F21E7">
        <w:trPr>
          <w:cantSplit/>
          <w:trHeight w:val="567"/>
          <w:jc w:val="center"/>
        </w:trPr>
        <w:tc>
          <w:tcPr>
            <w:tcW w:w="836" w:type="pct"/>
            <w:shd w:val="clear" w:color="auto" w:fill="auto"/>
            <w:noWrap/>
            <w:vAlign w:val="center"/>
          </w:tcPr>
          <w:p w14:paraId="3893B1D3" w14:textId="77777777" w:rsidR="008F30F4" w:rsidRPr="001A7E0E" w:rsidRDefault="008F30F4" w:rsidP="001F21E7">
            <w:pPr>
              <w:spacing w:before="0" w:line="240" w:lineRule="auto"/>
              <w:ind w:firstLine="0"/>
              <w:contextualSpacing/>
              <w:jc w:val="center"/>
              <w:rPr>
                <w:rFonts w:eastAsia="Times New Roman" w:cs="Times New Roman"/>
                <w:sz w:val="18"/>
                <w:szCs w:val="18"/>
                <w:lang w:eastAsia="en-US"/>
              </w:rPr>
            </w:pPr>
            <w:r w:rsidRPr="001A7E0E">
              <w:rPr>
                <w:rFonts w:eastAsia="Times New Roman" w:cs="Times New Roman"/>
                <w:sz w:val="18"/>
                <w:szCs w:val="18"/>
                <w:lang w:eastAsia="en-US"/>
              </w:rPr>
              <w:t>Consumption elasticities</w:t>
            </w:r>
          </w:p>
        </w:tc>
        <w:tc>
          <w:tcPr>
            <w:tcW w:w="1337" w:type="pct"/>
            <w:shd w:val="clear" w:color="auto" w:fill="auto"/>
            <w:vAlign w:val="center"/>
          </w:tcPr>
          <w:p w14:paraId="1519BDB4" w14:textId="77777777" w:rsidR="008F30F4" w:rsidRPr="001A7E0E" w:rsidRDefault="008F30F4" w:rsidP="001F21E7">
            <w:pPr>
              <w:spacing w:before="0" w:line="240" w:lineRule="auto"/>
              <w:ind w:firstLine="0"/>
              <w:contextualSpacing/>
              <w:jc w:val="center"/>
              <w:rPr>
                <w:rFonts w:eastAsia="Times New Roman" w:cs="Times New Roman"/>
                <w:b/>
                <w:bCs/>
                <w:sz w:val="18"/>
                <w:szCs w:val="18"/>
                <w:lang w:eastAsia="en-US"/>
              </w:rPr>
            </w:pPr>
          </w:p>
        </w:tc>
        <w:tc>
          <w:tcPr>
            <w:tcW w:w="2827" w:type="pct"/>
            <w:shd w:val="clear" w:color="auto" w:fill="auto"/>
            <w:vAlign w:val="center"/>
          </w:tcPr>
          <w:p w14:paraId="178F51E6" w14:textId="77777777" w:rsidR="008F30F4" w:rsidRPr="001A7E0E" w:rsidRDefault="008F30F4" w:rsidP="001F21E7">
            <w:pPr>
              <w:spacing w:before="0" w:line="240" w:lineRule="auto"/>
              <w:ind w:firstLine="0"/>
              <w:contextualSpacing/>
              <w:jc w:val="center"/>
              <w:rPr>
                <w:rFonts w:eastAsia="Times New Roman" w:cs="Times New Roman"/>
                <w:b/>
                <w:bCs/>
                <w:sz w:val="18"/>
                <w:szCs w:val="18"/>
                <w:lang w:eastAsia="en-US"/>
              </w:rPr>
            </w:pPr>
          </w:p>
        </w:tc>
      </w:tr>
      <w:tr w:rsidR="008F30F4" w:rsidRPr="007212D7" w14:paraId="2DD5A17D" w14:textId="77777777" w:rsidTr="001F21E7">
        <w:trPr>
          <w:cantSplit/>
          <w:trHeight w:val="248"/>
          <w:jc w:val="center"/>
        </w:trPr>
        <w:tc>
          <w:tcPr>
            <w:tcW w:w="836" w:type="pct"/>
            <w:shd w:val="clear" w:color="auto" w:fill="auto"/>
            <w:noWrap/>
            <w:vAlign w:val="center"/>
          </w:tcPr>
          <w:p w14:paraId="39D1F1F9"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DengXian" w:hAnsi="Cambria Math" w:cs="Times New Roman"/>
                        <w:sz w:val="18"/>
                        <w:szCs w:val="18"/>
                        <w:lang w:eastAsia="en-US"/>
                      </w:rPr>
                      <m:t>xs</m:t>
                    </m:r>
                  </m:sub>
                </m:sSub>
              </m:oMath>
            </m:oMathPara>
          </w:p>
        </w:tc>
        <w:tc>
          <w:tcPr>
            <w:tcW w:w="1337" w:type="pct"/>
            <w:shd w:val="clear" w:color="auto" w:fill="auto"/>
            <w:noWrap/>
            <w:vAlign w:val="center"/>
          </w:tcPr>
          <w:p w14:paraId="463CBE30"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GTAP</w:t>
            </w:r>
          </w:p>
        </w:tc>
        <w:tc>
          <w:tcPr>
            <w:tcW w:w="2827" w:type="pct"/>
            <w:shd w:val="clear" w:color="auto" w:fill="auto"/>
            <w:noWrap/>
            <w:vAlign w:val="center"/>
          </w:tcPr>
          <w:p w14:paraId="23592463"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0</w:t>
            </w:r>
          </w:p>
        </w:tc>
      </w:tr>
      <w:tr w:rsidR="008F30F4" w:rsidRPr="007212D7" w14:paraId="62A29CD2" w14:textId="77777777" w:rsidTr="001F21E7">
        <w:trPr>
          <w:cantSplit/>
          <w:trHeight w:val="248"/>
          <w:jc w:val="center"/>
        </w:trPr>
        <w:tc>
          <w:tcPr>
            <w:tcW w:w="836" w:type="pct"/>
            <w:shd w:val="clear" w:color="auto" w:fill="auto"/>
            <w:noWrap/>
            <w:vAlign w:val="center"/>
          </w:tcPr>
          <w:p w14:paraId="77A102BC"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DengXian" w:hAnsi="Cambria Math" w:cs="Times New Roman"/>
                        <w:sz w:val="18"/>
                        <w:szCs w:val="18"/>
                        <w:lang w:eastAsia="en-US"/>
                      </w:rPr>
                      <m:t>s</m:t>
                    </m:r>
                  </m:sub>
                </m:sSub>
              </m:oMath>
            </m:oMathPara>
          </w:p>
        </w:tc>
        <w:tc>
          <w:tcPr>
            <w:tcW w:w="1337" w:type="pct"/>
            <w:shd w:val="clear" w:color="auto" w:fill="auto"/>
            <w:noWrap/>
            <w:vAlign w:val="center"/>
          </w:tcPr>
          <w:p w14:paraId="76F2EDB0"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Calibrated</w:t>
            </w:r>
          </w:p>
        </w:tc>
        <w:tc>
          <w:tcPr>
            <w:tcW w:w="2827" w:type="pct"/>
            <w:shd w:val="clear" w:color="auto" w:fill="auto"/>
            <w:noWrap/>
            <w:vAlign w:val="center"/>
          </w:tcPr>
          <w:p w14:paraId="609581D4"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0.55</w:t>
            </w:r>
          </w:p>
        </w:tc>
      </w:tr>
      <w:tr w:rsidR="008F30F4" w:rsidRPr="007212D7" w14:paraId="5C22B3D9" w14:textId="77777777" w:rsidTr="001F21E7">
        <w:trPr>
          <w:cantSplit/>
          <w:trHeight w:val="248"/>
          <w:jc w:val="center"/>
        </w:trPr>
        <w:tc>
          <w:tcPr>
            <w:tcW w:w="836" w:type="pct"/>
            <w:shd w:val="clear" w:color="auto" w:fill="auto"/>
            <w:noWrap/>
            <w:vAlign w:val="center"/>
          </w:tcPr>
          <w:p w14:paraId="13671955"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f</m:t>
                    </m:r>
                  </m:sub>
                </m:sSub>
              </m:oMath>
            </m:oMathPara>
          </w:p>
        </w:tc>
        <w:tc>
          <w:tcPr>
            <w:tcW w:w="1337" w:type="pct"/>
            <w:shd w:val="clear" w:color="auto" w:fill="auto"/>
            <w:noWrap/>
            <w:vAlign w:val="center"/>
          </w:tcPr>
          <w:p w14:paraId="75437AB6"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DIEM</w:t>
            </w:r>
          </w:p>
        </w:tc>
        <w:tc>
          <w:tcPr>
            <w:tcW w:w="2827" w:type="pct"/>
            <w:shd w:val="clear" w:color="auto" w:fill="auto"/>
            <w:noWrap/>
            <w:vAlign w:val="center"/>
          </w:tcPr>
          <w:p w14:paraId="38C7981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0.50</w:t>
            </w:r>
          </w:p>
        </w:tc>
      </w:tr>
      <w:tr w:rsidR="008F30F4" w:rsidRPr="007212D7" w14:paraId="02896834" w14:textId="77777777" w:rsidTr="001F21E7">
        <w:trPr>
          <w:cantSplit/>
          <w:trHeight w:val="248"/>
          <w:jc w:val="center"/>
        </w:trPr>
        <w:tc>
          <w:tcPr>
            <w:tcW w:w="836" w:type="pct"/>
            <w:vMerge w:val="restart"/>
            <w:shd w:val="clear" w:color="auto" w:fill="auto"/>
            <w:noWrap/>
            <w:vAlign w:val="center"/>
          </w:tcPr>
          <w:p w14:paraId="3A5A7196" w14:textId="77777777" w:rsidR="008F30F4" w:rsidRPr="001A7E0E" w:rsidRDefault="0038014B" w:rsidP="001F21E7">
            <w:pPr>
              <w:spacing w:before="0" w:line="240" w:lineRule="auto"/>
              <w:contextualSpacing/>
              <w:jc w:val="center"/>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x</m:t>
                    </m:r>
                  </m:sub>
                </m:sSub>
              </m:oMath>
            </m:oMathPara>
          </w:p>
        </w:tc>
        <w:tc>
          <w:tcPr>
            <w:tcW w:w="1337" w:type="pct"/>
            <w:vMerge w:val="restart"/>
            <w:shd w:val="clear" w:color="auto" w:fill="auto"/>
            <w:noWrap/>
            <w:vAlign w:val="center"/>
          </w:tcPr>
          <w:p w14:paraId="3AC45498"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GTAP</w:t>
            </w:r>
          </w:p>
        </w:tc>
        <w:tc>
          <w:tcPr>
            <w:tcW w:w="2827" w:type="pct"/>
            <w:shd w:val="clear" w:color="auto" w:fill="auto"/>
            <w:noWrap/>
            <w:vAlign w:val="center"/>
          </w:tcPr>
          <w:p w14:paraId="18EE218A"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DengXian" w:cs="Times New Roman"/>
                <w:sz w:val="18"/>
                <w:szCs w:val="18"/>
                <w:lang w:eastAsia="en-US"/>
              </w:rPr>
              <w:t>Household consumption</w:t>
            </w:r>
            <w:r w:rsidRPr="001A7E0E">
              <w:rPr>
                <w:rFonts w:eastAsia="DengXian" w:cs="Times New Roman"/>
                <w:sz w:val="18"/>
                <w:szCs w:val="18"/>
              </w:rPr>
              <w:t xml:space="preserve">: </w:t>
            </w:r>
            <w:r w:rsidRPr="001A7E0E">
              <w:rPr>
                <w:rFonts w:eastAsia="DengXian" w:cs="Times New Roman"/>
                <w:sz w:val="18"/>
                <w:szCs w:val="18"/>
                <w:lang w:eastAsia="en-US"/>
              </w:rPr>
              <w:t>1.00</w:t>
            </w:r>
          </w:p>
        </w:tc>
      </w:tr>
      <w:tr w:rsidR="008F30F4" w:rsidRPr="007212D7" w14:paraId="0CE97797" w14:textId="77777777" w:rsidTr="001F21E7">
        <w:trPr>
          <w:cantSplit/>
          <w:trHeight w:val="248"/>
          <w:jc w:val="center"/>
        </w:trPr>
        <w:tc>
          <w:tcPr>
            <w:tcW w:w="836" w:type="pct"/>
            <w:vMerge/>
            <w:shd w:val="clear" w:color="auto" w:fill="auto"/>
            <w:noWrap/>
            <w:vAlign w:val="center"/>
          </w:tcPr>
          <w:p w14:paraId="6C6F47CA" w14:textId="77777777" w:rsidR="008F30F4" w:rsidRPr="001A7E0E" w:rsidRDefault="008F30F4" w:rsidP="001F21E7">
            <w:pPr>
              <w:spacing w:before="0" w:line="240" w:lineRule="auto"/>
              <w:contextualSpacing/>
              <w:jc w:val="center"/>
              <w:rPr>
                <w:rFonts w:eastAsia="Times New Roman" w:cs="Times New Roman"/>
                <w:sz w:val="18"/>
                <w:szCs w:val="18"/>
                <w:lang w:eastAsia="en-US"/>
              </w:rPr>
            </w:pPr>
          </w:p>
        </w:tc>
        <w:tc>
          <w:tcPr>
            <w:tcW w:w="1337" w:type="pct"/>
            <w:vMerge/>
            <w:shd w:val="clear" w:color="auto" w:fill="auto"/>
            <w:noWrap/>
            <w:vAlign w:val="center"/>
          </w:tcPr>
          <w:p w14:paraId="0421F35F" w14:textId="77777777" w:rsidR="008F30F4" w:rsidRPr="001A7E0E" w:rsidRDefault="008F30F4" w:rsidP="001F21E7">
            <w:pPr>
              <w:spacing w:before="0" w:line="240" w:lineRule="auto"/>
              <w:contextualSpacing/>
              <w:rPr>
                <w:rFonts w:eastAsia="Times New Roman" w:cs="Times New Roman"/>
                <w:sz w:val="18"/>
                <w:szCs w:val="18"/>
                <w:lang w:eastAsia="en-US"/>
              </w:rPr>
            </w:pPr>
          </w:p>
        </w:tc>
        <w:tc>
          <w:tcPr>
            <w:tcW w:w="2827" w:type="pct"/>
            <w:shd w:val="clear" w:color="auto" w:fill="auto"/>
            <w:noWrap/>
            <w:vAlign w:val="center"/>
          </w:tcPr>
          <w:p w14:paraId="2582259B"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DengXian" w:cs="Times New Roman"/>
                <w:sz w:val="18"/>
                <w:szCs w:val="18"/>
                <w:lang w:eastAsia="en-US"/>
              </w:rPr>
              <w:t>Government consumption, investment</w:t>
            </w:r>
            <w:r w:rsidRPr="001A7E0E">
              <w:rPr>
                <w:rFonts w:eastAsia="DengXian" w:cs="Times New Roman"/>
                <w:sz w:val="18"/>
                <w:szCs w:val="18"/>
              </w:rPr>
              <w:t xml:space="preserve">: </w:t>
            </w:r>
            <w:r w:rsidRPr="001A7E0E">
              <w:rPr>
                <w:rFonts w:eastAsia="DengXian" w:cs="Times New Roman"/>
                <w:sz w:val="18"/>
                <w:szCs w:val="18"/>
                <w:lang w:eastAsia="en-US"/>
              </w:rPr>
              <w:t>0</w:t>
            </w:r>
          </w:p>
        </w:tc>
      </w:tr>
      <w:tr w:rsidR="008F30F4" w:rsidRPr="00956A6E" w14:paraId="37940702" w14:textId="77777777" w:rsidTr="001F21E7">
        <w:trPr>
          <w:cantSplit/>
          <w:trHeight w:val="397"/>
          <w:jc w:val="center"/>
        </w:trPr>
        <w:tc>
          <w:tcPr>
            <w:tcW w:w="836" w:type="pct"/>
            <w:shd w:val="clear" w:color="auto" w:fill="auto"/>
            <w:noWrap/>
            <w:vAlign w:val="center"/>
          </w:tcPr>
          <w:p w14:paraId="739D8BE2" w14:textId="77777777" w:rsidR="008F30F4" w:rsidRPr="001A7E0E" w:rsidRDefault="008F30F4" w:rsidP="001F21E7">
            <w:pPr>
              <w:spacing w:before="0" w:line="240" w:lineRule="auto"/>
              <w:ind w:firstLine="0"/>
              <w:contextualSpacing/>
              <w:jc w:val="center"/>
              <w:rPr>
                <w:rFonts w:eastAsia="DengXian" w:cs="Times New Roman"/>
                <w:sz w:val="18"/>
                <w:szCs w:val="18"/>
              </w:rPr>
            </w:pPr>
            <w:r w:rsidRPr="001A7E0E">
              <w:rPr>
                <w:rFonts w:eastAsia="DengXian" w:cs="Times New Roman"/>
                <w:sz w:val="18"/>
                <w:szCs w:val="18"/>
              </w:rPr>
              <w:t>Saving elasticity</w:t>
            </w:r>
          </w:p>
        </w:tc>
        <w:tc>
          <w:tcPr>
            <w:tcW w:w="1337" w:type="pct"/>
            <w:shd w:val="clear" w:color="auto" w:fill="auto"/>
            <w:vAlign w:val="center"/>
          </w:tcPr>
          <w:p w14:paraId="7E0C477F" w14:textId="77777777" w:rsidR="008F30F4" w:rsidRPr="001A7E0E" w:rsidRDefault="008F30F4" w:rsidP="001F21E7">
            <w:pPr>
              <w:spacing w:before="0" w:line="240" w:lineRule="auto"/>
              <w:ind w:firstLine="0"/>
              <w:contextualSpacing/>
              <w:jc w:val="center"/>
              <w:rPr>
                <w:rFonts w:eastAsia="DengXian" w:cs="Times New Roman"/>
                <w:b/>
                <w:bCs/>
                <w:sz w:val="18"/>
                <w:szCs w:val="18"/>
              </w:rPr>
            </w:pPr>
          </w:p>
        </w:tc>
        <w:tc>
          <w:tcPr>
            <w:tcW w:w="2827" w:type="pct"/>
            <w:shd w:val="clear" w:color="auto" w:fill="auto"/>
            <w:vAlign w:val="center"/>
          </w:tcPr>
          <w:p w14:paraId="381FD0A4" w14:textId="77777777" w:rsidR="008F30F4" w:rsidRPr="001A7E0E" w:rsidRDefault="008F30F4" w:rsidP="001F21E7">
            <w:pPr>
              <w:spacing w:before="0" w:line="240" w:lineRule="auto"/>
              <w:ind w:firstLine="0"/>
              <w:contextualSpacing/>
              <w:jc w:val="center"/>
              <w:rPr>
                <w:rFonts w:eastAsia="DengXian" w:cs="Times New Roman"/>
                <w:b/>
                <w:bCs/>
                <w:sz w:val="18"/>
                <w:szCs w:val="18"/>
              </w:rPr>
            </w:pPr>
          </w:p>
        </w:tc>
      </w:tr>
      <w:tr w:rsidR="008F30F4" w:rsidRPr="007212D7" w14:paraId="4667EF49" w14:textId="77777777" w:rsidTr="001F21E7">
        <w:trPr>
          <w:cantSplit/>
          <w:trHeight w:val="248"/>
          <w:jc w:val="center"/>
        </w:trPr>
        <w:tc>
          <w:tcPr>
            <w:tcW w:w="836" w:type="pct"/>
            <w:shd w:val="clear" w:color="auto" w:fill="auto"/>
            <w:noWrap/>
            <w:vAlign w:val="center"/>
          </w:tcPr>
          <w:p w14:paraId="44DDB2FD" w14:textId="77777777" w:rsidR="008F30F4" w:rsidRPr="001A7E0E" w:rsidRDefault="0038014B" w:rsidP="001F21E7">
            <w:pPr>
              <w:spacing w:before="0" w:line="240" w:lineRule="auto"/>
              <w:ind w:firstLine="0"/>
              <w:contextualSpacing/>
              <w:jc w:val="center"/>
              <w:rPr>
                <w:rFonts w:eastAsia="DengXian" w:cs="Times New Roman"/>
                <w:b/>
                <w:bCs/>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w:rPr>
                        <w:rFonts w:ascii="Cambria Math" w:eastAsia="Times New Roman" w:hAnsi="Cambria Math" w:cs="Times New Roman"/>
                        <w:sz w:val="18"/>
                        <w:szCs w:val="18"/>
                        <w:lang w:eastAsia="en-US"/>
                      </w:rPr>
                      <m:t>CS</m:t>
                    </m:r>
                  </m:sub>
                </m:sSub>
              </m:oMath>
            </m:oMathPara>
          </w:p>
        </w:tc>
        <w:tc>
          <w:tcPr>
            <w:tcW w:w="1337" w:type="pct"/>
            <w:shd w:val="clear" w:color="auto" w:fill="auto"/>
            <w:vAlign w:val="center"/>
          </w:tcPr>
          <w:p w14:paraId="082876E5" w14:textId="77777777" w:rsidR="008F30F4" w:rsidRPr="001A7E0E" w:rsidRDefault="008F30F4" w:rsidP="001F21E7">
            <w:pPr>
              <w:spacing w:before="0" w:line="240" w:lineRule="auto"/>
              <w:ind w:firstLine="0"/>
              <w:contextualSpacing/>
              <w:jc w:val="both"/>
              <w:rPr>
                <w:rFonts w:eastAsia="DengXian" w:cs="Times New Roman"/>
                <w:sz w:val="18"/>
                <w:szCs w:val="18"/>
              </w:rPr>
            </w:pPr>
            <w:r w:rsidRPr="001A7E0E">
              <w:rPr>
                <w:rFonts w:eastAsia="DengXian" w:cs="Times New Roman"/>
                <w:sz w:val="18"/>
                <w:szCs w:val="18"/>
              </w:rPr>
              <w:t>Calibrated</w:t>
            </w:r>
          </w:p>
        </w:tc>
        <w:tc>
          <w:tcPr>
            <w:tcW w:w="2827" w:type="pct"/>
            <w:shd w:val="clear" w:color="auto" w:fill="auto"/>
            <w:vAlign w:val="center"/>
          </w:tcPr>
          <w:p w14:paraId="1365E0A6" w14:textId="77777777" w:rsidR="008F30F4" w:rsidRPr="001A7E0E" w:rsidRDefault="008F30F4" w:rsidP="001F21E7">
            <w:pPr>
              <w:spacing w:before="0" w:line="240" w:lineRule="auto"/>
              <w:ind w:firstLine="0"/>
              <w:contextualSpacing/>
              <w:jc w:val="both"/>
              <w:rPr>
                <w:rFonts w:eastAsia="DengXian" w:cs="Times New Roman"/>
                <w:sz w:val="18"/>
                <w:szCs w:val="18"/>
              </w:rPr>
            </w:pPr>
            <w:r w:rsidRPr="001A7E0E">
              <w:rPr>
                <w:rFonts w:eastAsia="DengXian" w:cs="Times New Roman"/>
                <w:sz w:val="18"/>
                <w:szCs w:val="18"/>
              </w:rPr>
              <w:t>1.50</w:t>
            </w:r>
          </w:p>
        </w:tc>
      </w:tr>
      <w:tr w:rsidR="008F30F4" w:rsidRPr="00956A6E" w14:paraId="7D9552D6" w14:textId="77777777" w:rsidTr="001F21E7">
        <w:trPr>
          <w:cantSplit/>
          <w:trHeight w:val="674"/>
          <w:jc w:val="center"/>
        </w:trPr>
        <w:tc>
          <w:tcPr>
            <w:tcW w:w="836" w:type="pct"/>
            <w:shd w:val="clear" w:color="auto" w:fill="auto"/>
            <w:noWrap/>
            <w:vAlign w:val="center"/>
          </w:tcPr>
          <w:p w14:paraId="1C539917" w14:textId="77777777" w:rsidR="008F30F4" w:rsidRPr="001A7E0E" w:rsidRDefault="008F30F4" w:rsidP="001F21E7">
            <w:pPr>
              <w:spacing w:before="0" w:line="240" w:lineRule="auto"/>
              <w:ind w:firstLine="0"/>
              <w:contextualSpacing/>
              <w:jc w:val="center"/>
              <w:rPr>
                <w:rFonts w:eastAsia="DengXian" w:cs="Times New Roman"/>
                <w:b/>
                <w:bCs/>
                <w:sz w:val="18"/>
                <w:szCs w:val="18"/>
                <w:lang w:eastAsia="en-US"/>
              </w:rPr>
            </w:pPr>
            <w:r w:rsidRPr="001A7E0E">
              <w:rPr>
                <w:rFonts w:eastAsia="DengXian" w:cs="Times New Roman"/>
                <w:sz w:val="18"/>
                <w:szCs w:val="18"/>
                <w:lang w:eastAsia="en-US"/>
              </w:rPr>
              <w:t>Transformation elasticities</w:t>
            </w:r>
            <w:r w:rsidRPr="001A7E0E">
              <w:rPr>
                <w:rFonts w:eastAsia="DengXian" w:cs="Times New Roman"/>
                <w:sz w:val="18"/>
                <w:szCs w:val="18"/>
                <w:vertAlign w:val="superscript"/>
                <w:lang w:eastAsia="en-US"/>
              </w:rPr>
              <w:t>*</w:t>
            </w:r>
          </w:p>
        </w:tc>
        <w:tc>
          <w:tcPr>
            <w:tcW w:w="1337" w:type="pct"/>
            <w:shd w:val="clear" w:color="auto" w:fill="auto"/>
            <w:vAlign w:val="center"/>
          </w:tcPr>
          <w:p w14:paraId="4E24CB77" w14:textId="77777777" w:rsidR="008F30F4" w:rsidRPr="001A7E0E" w:rsidRDefault="008F30F4" w:rsidP="001F21E7">
            <w:pPr>
              <w:spacing w:before="0" w:line="240" w:lineRule="auto"/>
              <w:ind w:firstLine="0"/>
              <w:contextualSpacing/>
              <w:jc w:val="center"/>
              <w:rPr>
                <w:rFonts w:eastAsia="DengXian" w:cs="Times New Roman"/>
                <w:b/>
                <w:bCs/>
                <w:sz w:val="18"/>
                <w:szCs w:val="18"/>
                <w:lang w:eastAsia="en-US"/>
              </w:rPr>
            </w:pPr>
          </w:p>
        </w:tc>
        <w:tc>
          <w:tcPr>
            <w:tcW w:w="2827" w:type="pct"/>
            <w:shd w:val="clear" w:color="auto" w:fill="auto"/>
            <w:vAlign w:val="center"/>
          </w:tcPr>
          <w:p w14:paraId="749E7256" w14:textId="77777777" w:rsidR="008F30F4" w:rsidRPr="001A7E0E" w:rsidRDefault="008F30F4" w:rsidP="001F21E7">
            <w:pPr>
              <w:spacing w:before="0" w:line="240" w:lineRule="auto"/>
              <w:ind w:firstLine="0"/>
              <w:contextualSpacing/>
              <w:jc w:val="center"/>
              <w:rPr>
                <w:rFonts w:eastAsia="DengXian" w:cs="Times New Roman"/>
                <w:b/>
                <w:bCs/>
                <w:sz w:val="18"/>
                <w:szCs w:val="18"/>
                <w:lang w:eastAsia="en-US"/>
              </w:rPr>
            </w:pPr>
          </w:p>
        </w:tc>
      </w:tr>
      <w:tr w:rsidR="008F30F4" w:rsidRPr="007212D7" w14:paraId="1F70B36E" w14:textId="77777777" w:rsidTr="001F21E7">
        <w:trPr>
          <w:cantSplit/>
          <w:trHeight w:val="248"/>
          <w:jc w:val="center"/>
        </w:trPr>
        <w:tc>
          <w:tcPr>
            <w:tcW w:w="836" w:type="pct"/>
            <w:shd w:val="clear" w:color="auto" w:fill="auto"/>
            <w:noWrap/>
            <w:vAlign w:val="center"/>
          </w:tcPr>
          <w:p w14:paraId="6497D6D9" w14:textId="77777777" w:rsidR="008F30F4" w:rsidRPr="001A7E0E" w:rsidRDefault="0038014B" w:rsidP="001F21E7">
            <w:pPr>
              <w:spacing w:before="0" w:line="240" w:lineRule="auto"/>
              <w:ind w:firstLine="0"/>
              <w:contextualSpacing/>
              <w:rPr>
                <w:rFonts w:eastAsia="Times New Roman" w:cs="Times New Roman"/>
                <w:sz w:val="18"/>
                <w:szCs w:val="18"/>
                <w:lang w:eastAsia="en-US"/>
              </w:rPr>
            </w:pPr>
            <m:oMathPara>
              <m:oMath>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r>
                      <m:rPr>
                        <m:sty m:val="p"/>
                      </m:rPr>
                      <w:rPr>
                        <w:rFonts w:ascii="Cambria Math" w:eastAsia="Times New Roman" w:hAnsi="Cambria Math" w:cs="Times New Roman"/>
                        <w:sz w:val="18"/>
                        <w:szCs w:val="18"/>
                        <w:lang w:eastAsia="en-US"/>
                      </w:rPr>
                      <m:t>w</m:t>
                    </m:r>
                  </m:sub>
                </m:sSub>
              </m:oMath>
            </m:oMathPara>
          </w:p>
        </w:tc>
        <w:tc>
          <w:tcPr>
            <w:tcW w:w="1337" w:type="pct"/>
            <w:shd w:val="clear" w:color="auto" w:fill="auto"/>
            <w:noWrap/>
            <w:vAlign w:val="center"/>
          </w:tcPr>
          <w:p w14:paraId="301A2D75"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GTAP</w:t>
            </w:r>
          </w:p>
        </w:tc>
        <w:tc>
          <w:tcPr>
            <w:tcW w:w="2827" w:type="pct"/>
            <w:shd w:val="clear" w:color="auto" w:fill="auto"/>
            <w:noWrap/>
            <w:vAlign w:val="center"/>
          </w:tcPr>
          <w:p w14:paraId="774EA72F" w14:textId="77777777" w:rsidR="008F30F4" w:rsidRPr="001A7E0E" w:rsidRDefault="008F30F4" w:rsidP="001F21E7">
            <w:pPr>
              <w:spacing w:before="0" w:line="240" w:lineRule="auto"/>
              <w:ind w:firstLine="0"/>
              <w:contextualSpacing/>
              <w:rPr>
                <w:rFonts w:eastAsia="DengXian" w:cs="Times New Roman"/>
                <w:sz w:val="18"/>
                <w:szCs w:val="18"/>
                <w:lang w:eastAsia="en-US"/>
              </w:rPr>
            </w:pPr>
            <w:r w:rsidRPr="001A7E0E">
              <w:rPr>
                <w:rFonts w:eastAsia="DengXian" w:cs="Times New Roman"/>
                <w:sz w:val="18"/>
                <w:szCs w:val="18"/>
                <w:lang w:eastAsia="en-US"/>
              </w:rPr>
              <w:t>1.50 for capital, +</w:t>
            </w:r>
            <w:r w:rsidRPr="001A7E0E">
              <w:rPr>
                <w:rFonts w:ascii="Arial" w:eastAsia="DengXian" w:hAnsi="Arial" w:cs="Times New Roman" w:hint="eastAsia"/>
                <w:color w:val="333333"/>
                <w:sz w:val="18"/>
                <w:szCs w:val="18"/>
                <w:shd w:val="clear" w:color="auto" w:fill="FFFFFF"/>
                <w:lang w:eastAsia="en-US"/>
              </w:rPr>
              <w:t>∞</w:t>
            </w:r>
            <w:r w:rsidRPr="001A7E0E">
              <w:rPr>
                <w:rFonts w:ascii="Arial" w:eastAsia="DengXian" w:hAnsi="Arial" w:cs="Times New Roman"/>
                <w:color w:val="333333"/>
                <w:sz w:val="18"/>
                <w:szCs w:val="18"/>
                <w:shd w:val="clear" w:color="auto" w:fill="FFFFFF"/>
                <w:lang w:eastAsia="en-US"/>
              </w:rPr>
              <w:t xml:space="preserve"> </w:t>
            </w:r>
            <w:r w:rsidRPr="001A7E0E">
              <w:rPr>
                <w:rFonts w:eastAsia="DengXian" w:cs="Times New Roman"/>
                <w:sz w:val="18"/>
                <w:szCs w:val="18"/>
                <w:lang w:eastAsia="en-US"/>
              </w:rPr>
              <w:t>for labor</w:t>
            </w:r>
          </w:p>
        </w:tc>
      </w:tr>
      <w:tr w:rsidR="008F30F4" w:rsidRPr="007212D7" w14:paraId="407C07D8" w14:textId="77777777" w:rsidTr="001F21E7">
        <w:trPr>
          <w:cantSplit/>
          <w:trHeight w:val="248"/>
          <w:jc w:val="center"/>
        </w:trPr>
        <w:tc>
          <w:tcPr>
            <w:tcW w:w="836" w:type="pct"/>
            <w:shd w:val="clear" w:color="auto" w:fill="auto"/>
            <w:noWrap/>
            <w:vAlign w:val="center"/>
          </w:tcPr>
          <w:p w14:paraId="41A05874" w14:textId="77777777" w:rsidR="008F30F4" w:rsidRPr="001A7E0E" w:rsidRDefault="008F30F4" w:rsidP="001F21E7">
            <w:pPr>
              <w:spacing w:before="0" w:line="240" w:lineRule="auto"/>
              <w:ind w:firstLine="0"/>
              <w:contextualSpacing/>
              <w:rPr>
                <w:rFonts w:eastAsia="DengXian" w:cs="Times New Roman"/>
                <w:sz w:val="18"/>
                <w:szCs w:val="18"/>
                <w:lang w:eastAsia="en-US"/>
              </w:rPr>
            </w:pPr>
            <m:oMathPara>
              <m:oMath>
                <m:r>
                  <m:rPr>
                    <m:sty m:val="p"/>
                  </m:rPr>
                  <w:rPr>
                    <w:rFonts w:ascii="Cambria Math" w:eastAsia="Times New Roman" w:hAnsi="Cambria Math" w:cs="Times New Roman"/>
                    <w:sz w:val="18"/>
                    <w:szCs w:val="18"/>
                    <w:lang w:eastAsia="en-US"/>
                  </w:rPr>
                  <m:t xml:space="preserve"> </m:t>
                </m:r>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w</m:t>
                        </m:r>
                      </m:e>
                      <m:sub>
                        <m:r>
                          <w:rPr>
                            <w:rFonts w:ascii="Cambria Math" w:eastAsia="Times New Roman" w:hAnsi="Cambria Math" w:cs="Times New Roman"/>
                            <w:sz w:val="18"/>
                            <w:szCs w:val="18"/>
                            <w:lang w:eastAsia="en-US"/>
                          </w:rPr>
                          <m:t>k</m:t>
                        </m:r>
                      </m:sub>
                    </m:sSub>
                  </m:sub>
                </m:sSub>
              </m:oMath>
            </m:oMathPara>
          </w:p>
        </w:tc>
        <w:tc>
          <w:tcPr>
            <w:tcW w:w="1337" w:type="pct"/>
            <w:shd w:val="clear" w:color="auto" w:fill="auto"/>
            <w:noWrap/>
            <w:vAlign w:val="center"/>
          </w:tcPr>
          <w:p w14:paraId="3F6E3DA5"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GTAP</w:t>
            </w:r>
          </w:p>
        </w:tc>
        <w:tc>
          <w:tcPr>
            <w:tcW w:w="2827" w:type="pct"/>
            <w:shd w:val="clear" w:color="auto" w:fill="auto"/>
            <w:noWrap/>
            <w:vAlign w:val="center"/>
          </w:tcPr>
          <w:p w14:paraId="033FC52D" w14:textId="77777777" w:rsidR="008F30F4" w:rsidRPr="001A7E0E" w:rsidRDefault="008F30F4" w:rsidP="001F21E7">
            <w:pPr>
              <w:spacing w:before="0" w:line="240" w:lineRule="auto"/>
              <w:ind w:firstLine="0"/>
              <w:contextualSpacing/>
              <w:rPr>
                <w:rFonts w:eastAsia="DengXian" w:cs="Times New Roman"/>
                <w:sz w:val="18"/>
                <w:szCs w:val="18"/>
                <w:lang w:eastAsia="en-US"/>
              </w:rPr>
            </w:pPr>
            <w:r w:rsidRPr="001A7E0E">
              <w:rPr>
                <w:rFonts w:eastAsia="DengXian" w:cs="Times New Roman"/>
                <w:sz w:val="18"/>
                <w:szCs w:val="18"/>
                <w:lang w:eastAsia="en-US"/>
              </w:rPr>
              <w:t>3.00 for capital, +</w:t>
            </w:r>
            <w:r w:rsidRPr="001A7E0E">
              <w:rPr>
                <w:rFonts w:ascii="Arial" w:eastAsia="DengXian" w:hAnsi="Arial" w:cs="Times New Roman" w:hint="eastAsia"/>
                <w:color w:val="333333"/>
                <w:sz w:val="18"/>
                <w:szCs w:val="18"/>
                <w:shd w:val="clear" w:color="auto" w:fill="FFFFFF"/>
                <w:lang w:eastAsia="en-US"/>
              </w:rPr>
              <w:t>∞</w:t>
            </w:r>
            <w:r w:rsidRPr="001A7E0E">
              <w:rPr>
                <w:rFonts w:ascii="Arial" w:eastAsia="DengXian" w:hAnsi="Arial" w:cs="Times New Roman"/>
                <w:color w:val="333333"/>
                <w:sz w:val="18"/>
                <w:szCs w:val="18"/>
                <w:shd w:val="clear" w:color="auto" w:fill="FFFFFF"/>
                <w:lang w:eastAsia="en-US"/>
              </w:rPr>
              <w:t xml:space="preserve"> </w:t>
            </w:r>
            <w:r w:rsidRPr="001A7E0E">
              <w:rPr>
                <w:rFonts w:eastAsia="DengXian" w:cs="Times New Roman"/>
                <w:sz w:val="18"/>
                <w:szCs w:val="18"/>
                <w:lang w:eastAsia="en-US"/>
              </w:rPr>
              <w:t>for labor</w:t>
            </w:r>
          </w:p>
        </w:tc>
      </w:tr>
      <w:tr w:rsidR="008F30F4" w:rsidRPr="007212D7" w14:paraId="3121BBFD" w14:textId="77777777" w:rsidTr="001F21E7">
        <w:trPr>
          <w:cantSplit/>
          <w:trHeight w:val="193"/>
          <w:jc w:val="center"/>
        </w:trPr>
        <w:tc>
          <w:tcPr>
            <w:tcW w:w="836" w:type="pct"/>
            <w:shd w:val="clear" w:color="auto" w:fill="auto"/>
            <w:noWrap/>
            <w:vAlign w:val="center"/>
          </w:tcPr>
          <w:p w14:paraId="7145C1A9" w14:textId="77777777" w:rsidR="008F30F4" w:rsidRPr="001A7E0E" w:rsidRDefault="008F30F4" w:rsidP="001F21E7">
            <w:pPr>
              <w:spacing w:before="0" w:line="240" w:lineRule="auto"/>
              <w:ind w:firstLine="0"/>
              <w:contextualSpacing/>
              <w:rPr>
                <w:rFonts w:eastAsia="DengXian" w:cs="Times New Roman"/>
                <w:sz w:val="18"/>
                <w:szCs w:val="18"/>
                <w:lang w:eastAsia="en-US"/>
              </w:rPr>
            </w:pPr>
            <m:oMathPara>
              <m:oMath>
                <m:r>
                  <m:rPr>
                    <m:sty m:val="p"/>
                  </m:rPr>
                  <w:rPr>
                    <w:rFonts w:ascii="Cambria Math" w:eastAsia="Times New Roman" w:hAnsi="Cambria Math" w:cs="Times New Roman"/>
                    <w:sz w:val="18"/>
                    <w:szCs w:val="18"/>
                    <w:lang w:eastAsia="en-US"/>
                  </w:rPr>
                  <m:t xml:space="preserve"> </m:t>
                </m:r>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σ</m:t>
                    </m:r>
                  </m:e>
                  <m:sub>
                    <m:sSub>
                      <m:sSubPr>
                        <m:ctrlPr>
                          <w:rPr>
                            <w:rFonts w:ascii="Cambria Math" w:eastAsia="Times New Roman" w:hAnsi="Cambria Math" w:cs="Times New Roman"/>
                            <w:sz w:val="18"/>
                            <w:szCs w:val="18"/>
                            <w:lang w:eastAsia="en-US"/>
                          </w:rPr>
                        </m:ctrlPr>
                      </m:sSubPr>
                      <m:e>
                        <m:r>
                          <w:rPr>
                            <w:rFonts w:ascii="Cambria Math" w:eastAsia="Times New Roman" w:hAnsi="Cambria Math" w:cs="Times New Roman"/>
                            <w:sz w:val="18"/>
                            <w:szCs w:val="18"/>
                            <w:lang w:eastAsia="en-US"/>
                          </w:rPr>
                          <m:t>w</m:t>
                        </m:r>
                      </m:e>
                      <m:sub>
                        <m:r>
                          <w:rPr>
                            <w:rFonts w:ascii="Cambria Math" w:eastAsia="Times New Roman" w:hAnsi="Cambria Math" w:cs="Times New Roman"/>
                            <w:sz w:val="18"/>
                            <w:szCs w:val="18"/>
                            <w:lang w:eastAsia="en-US"/>
                          </w:rPr>
                          <m:t>k_sp</m:t>
                        </m:r>
                      </m:sub>
                    </m:sSub>
                  </m:sub>
                </m:sSub>
              </m:oMath>
            </m:oMathPara>
          </w:p>
        </w:tc>
        <w:tc>
          <w:tcPr>
            <w:tcW w:w="1337" w:type="pct"/>
            <w:shd w:val="clear" w:color="auto" w:fill="auto"/>
            <w:noWrap/>
            <w:vAlign w:val="center"/>
          </w:tcPr>
          <w:p w14:paraId="1C235939" w14:textId="77777777" w:rsidR="008F30F4" w:rsidRPr="001A7E0E" w:rsidRDefault="008F30F4" w:rsidP="001F21E7">
            <w:pPr>
              <w:spacing w:before="0" w:line="240" w:lineRule="auto"/>
              <w:ind w:firstLine="0"/>
              <w:contextualSpacing/>
              <w:rPr>
                <w:rFonts w:eastAsia="Times New Roman" w:cs="Times New Roman"/>
                <w:sz w:val="18"/>
                <w:szCs w:val="18"/>
                <w:lang w:eastAsia="en-US"/>
              </w:rPr>
            </w:pPr>
            <w:r w:rsidRPr="001A7E0E">
              <w:rPr>
                <w:rFonts w:eastAsia="Times New Roman" w:cs="Times New Roman"/>
                <w:sz w:val="18"/>
                <w:szCs w:val="18"/>
                <w:lang w:eastAsia="en-US"/>
              </w:rPr>
              <w:t>GTAP</w:t>
            </w:r>
          </w:p>
        </w:tc>
        <w:tc>
          <w:tcPr>
            <w:tcW w:w="2827" w:type="pct"/>
            <w:shd w:val="clear" w:color="auto" w:fill="auto"/>
            <w:noWrap/>
            <w:vAlign w:val="center"/>
          </w:tcPr>
          <w:p w14:paraId="132297AE" w14:textId="77777777" w:rsidR="008F30F4" w:rsidRPr="001A7E0E" w:rsidRDefault="008F30F4" w:rsidP="001F21E7">
            <w:pPr>
              <w:spacing w:before="0" w:line="240" w:lineRule="auto"/>
              <w:ind w:firstLine="0"/>
              <w:contextualSpacing/>
              <w:rPr>
                <w:rFonts w:eastAsia="DengXian" w:cs="Times New Roman"/>
                <w:sz w:val="18"/>
                <w:szCs w:val="18"/>
                <w:lang w:eastAsia="en-US"/>
              </w:rPr>
            </w:pPr>
            <w:r w:rsidRPr="001A7E0E">
              <w:rPr>
                <w:rFonts w:eastAsia="DengXian" w:cs="Times New Roman"/>
                <w:sz w:val="18"/>
                <w:szCs w:val="18"/>
                <w:lang w:eastAsia="en-US"/>
              </w:rPr>
              <w:t>6.00 for capital, +</w:t>
            </w:r>
            <w:r w:rsidRPr="001A7E0E">
              <w:rPr>
                <w:rFonts w:ascii="Arial" w:eastAsia="DengXian" w:hAnsi="Arial" w:cs="Times New Roman" w:hint="eastAsia"/>
                <w:color w:val="333333"/>
                <w:sz w:val="18"/>
                <w:szCs w:val="18"/>
                <w:shd w:val="clear" w:color="auto" w:fill="FFFFFF"/>
                <w:lang w:eastAsia="en-US"/>
              </w:rPr>
              <w:t>∞</w:t>
            </w:r>
            <w:r w:rsidRPr="001A7E0E">
              <w:rPr>
                <w:rFonts w:ascii="Arial" w:eastAsia="DengXian" w:hAnsi="Arial" w:cs="Times New Roman"/>
                <w:color w:val="333333"/>
                <w:sz w:val="18"/>
                <w:szCs w:val="18"/>
                <w:shd w:val="clear" w:color="auto" w:fill="FFFFFF"/>
                <w:lang w:eastAsia="en-US"/>
              </w:rPr>
              <w:t xml:space="preserve"> </w:t>
            </w:r>
            <w:r w:rsidRPr="001A7E0E">
              <w:rPr>
                <w:rFonts w:eastAsia="DengXian" w:cs="Times New Roman"/>
                <w:sz w:val="18"/>
                <w:szCs w:val="18"/>
                <w:lang w:eastAsia="en-US"/>
              </w:rPr>
              <w:t>for labor</w:t>
            </w:r>
          </w:p>
        </w:tc>
      </w:tr>
    </w:tbl>
    <w:p w14:paraId="7635A137" w14:textId="77777777" w:rsidR="008F30F4" w:rsidRPr="00333C7B" w:rsidRDefault="008F30F4" w:rsidP="008F30F4">
      <w:pPr>
        <w:spacing w:before="0" w:line="240" w:lineRule="auto"/>
        <w:ind w:firstLine="0"/>
        <w:contextualSpacing/>
        <w:rPr>
          <w:rFonts w:eastAsia="DengXian" w:cs="Times New Roman"/>
          <w:bCs/>
          <w:sz w:val="20"/>
          <w:szCs w:val="20"/>
        </w:rPr>
      </w:pPr>
      <w:r>
        <w:rPr>
          <w:rFonts w:eastAsia="DengXian" w:cs="Times New Roman"/>
          <w:sz w:val="20"/>
          <w:szCs w:val="20"/>
          <w:vertAlign w:val="superscript"/>
        </w:rPr>
        <w:t>*</w:t>
      </w:r>
      <w:r w:rsidRPr="003C2E9B">
        <w:rPr>
          <w:rFonts w:eastAsia="DengXian" w:cs="Times New Roman"/>
          <w:b/>
          <w:bCs/>
          <w:i/>
          <w:iCs/>
          <w:sz w:val="20"/>
          <w:szCs w:val="20"/>
        </w:rPr>
        <w:t xml:space="preserve"> </w:t>
      </w:r>
      <m:oMath>
        <m:sSub>
          <m:sSubPr>
            <m:ctrlPr>
              <w:rPr>
                <w:rFonts w:ascii="Cambria Math" w:eastAsia="Times New Roman" w:hAnsi="Cambria Math" w:cs="Times New Roman"/>
                <w:bCs/>
                <w:i/>
                <w:sz w:val="20"/>
                <w:szCs w:val="20"/>
              </w:rPr>
            </m:ctrlPr>
          </m:sSubPr>
          <m:e>
            <m:r>
              <w:rPr>
                <w:rFonts w:ascii="Cambria Math" w:eastAsia="Times New Roman" w:hAnsi="Cambria Math" w:cs="Times New Roman"/>
                <w:sz w:val="20"/>
                <w:szCs w:val="20"/>
              </w:rPr>
              <m:t>σ</m:t>
            </m:r>
          </m:e>
          <m:sub>
            <m:r>
              <w:rPr>
                <w:rFonts w:ascii="Cambria Math" w:eastAsia="Times New Roman" w:hAnsi="Cambria Math" w:cs="Times New Roman"/>
                <w:sz w:val="20"/>
                <w:szCs w:val="20"/>
              </w:rPr>
              <m:t>w</m:t>
            </m:r>
          </m:sub>
        </m:sSub>
      </m:oMath>
      <w:r w:rsidRPr="003C2E9B">
        <w:rPr>
          <w:rFonts w:eastAsia="DengXian" w:cs="Times New Roman"/>
          <w:bCs/>
          <w:sz w:val="20"/>
          <w:szCs w:val="20"/>
        </w:rPr>
        <w:t xml:space="preserve"> represents the factor transformation elasticities between sectors; </w:t>
      </w:r>
      <m:oMath>
        <m:sSub>
          <m:sSubPr>
            <m:ctrlPr>
              <w:rPr>
                <w:rFonts w:ascii="Cambria Math" w:eastAsia="Times New Roman" w:hAnsi="Cambria Math" w:cs="Times New Roman"/>
                <w:bCs/>
                <w:i/>
                <w:sz w:val="20"/>
                <w:szCs w:val="20"/>
              </w:rPr>
            </m:ctrlPr>
          </m:sSubPr>
          <m:e>
            <m:r>
              <w:rPr>
                <w:rFonts w:ascii="Cambria Math" w:eastAsia="Times New Roman" w:hAnsi="Cambria Math" w:cs="Times New Roman"/>
                <w:sz w:val="20"/>
                <w:szCs w:val="20"/>
              </w:rPr>
              <m:t>σ</m:t>
            </m:r>
          </m:e>
          <m:sub>
            <m:sSub>
              <m:sSubPr>
                <m:ctrlPr>
                  <w:rPr>
                    <w:rFonts w:ascii="Cambria Math" w:eastAsia="Times New Roman" w:hAnsi="Cambria Math" w:cs="Times New Roman"/>
                    <w:bCs/>
                    <w:i/>
                    <w:sz w:val="20"/>
                    <w:szCs w:val="20"/>
                  </w:rPr>
                </m:ctrlPr>
              </m:sSubPr>
              <m:e>
                <m:r>
                  <w:rPr>
                    <w:rFonts w:ascii="Cambria Math" w:eastAsia="Times New Roman" w:hAnsi="Cambria Math" w:cs="Times New Roman"/>
                    <w:sz w:val="20"/>
                    <w:szCs w:val="20"/>
                  </w:rPr>
                  <m:t>w</m:t>
                </m:r>
              </m:e>
              <m:sub>
                <m:r>
                  <w:rPr>
                    <w:rFonts w:ascii="Cambria Math" w:eastAsia="Times New Roman" w:hAnsi="Cambria Math" w:cs="Times New Roman"/>
                    <w:sz w:val="20"/>
                    <w:szCs w:val="20"/>
                  </w:rPr>
                  <m:t>k</m:t>
                </m:r>
              </m:sub>
            </m:sSub>
          </m:sub>
        </m:sSub>
      </m:oMath>
      <w:r w:rsidRPr="003C2E9B">
        <w:rPr>
          <w:rFonts w:eastAsia="DengXian" w:cs="Times New Roman"/>
          <w:bCs/>
          <w:sz w:val="20"/>
          <w:szCs w:val="20"/>
        </w:rPr>
        <w:t xml:space="preserve"> represents the factor transformation elasticities between subsectors within a sector</w:t>
      </w:r>
      <w:r>
        <w:rPr>
          <w:rFonts w:eastAsia="DengXian" w:cs="Times New Roman" w:hint="eastAsia"/>
          <w:bCs/>
          <w:sz w:val="20"/>
          <w:szCs w:val="20"/>
        </w:rPr>
        <w:t>;</w:t>
      </w:r>
      <w:r>
        <w:rPr>
          <w:rFonts w:eastAsia="DengXian" w:cs="Times New Roman"/>
          <w:bCs/>
          <w:sz w:val="20"/>
          <w:szCs w:val="20"/>
        </w:rPr>
        <w:t xml:space="preserve"> </w:t>
      </w:r>
      <m:oMath>
        <m:sSub>
          <m:sSubPr>
            <m:ctrlPr>
              <w:rPr>
                <w:rFonts w:ascii="Cambria Math" w:eastAsia="Times New Roman" w:hAnsi="Cambria Math" w:cs="Times New Roman"/>
                <w:sz w:val="20"/>
                <w:szCs w:val="20"/>
                <w:lang w:eastAsia="en-US"/>
              </w:rPr>
            </m:ctrlPr>
          </m:sSubPr>
          <m:e>
            <m:r>
              <w:rPr>
                <w:rFonts w:ascii="Cambria Math" w:eastAsia="Times New Roman" w:hAnsi="Cambria Math" w:cs="Times New Roman"/>
                <w:sz w:val="20"/>
                <w:szCs w:val="20"/>
                <w:lang w:eastAsia="en-US"/>
              </w:rPr>
              <m:t>σ</m:t>
            </m:r>
          </m:e>
          <m:sub>
            <m:sSub>
              <m:sSubPr>
                <m:ctrlPr>
                  <w:rPr>
                    <w:rFonts w:ascii="Cambria Math" w:eastAsia="Times New Roman" w:hAnsi="Cambria Math" w:cs="Times New Roman"/>
                    <w:sz w:val="20"/>
                    <w:szCs w:val="20"/>
                    <w:lang w:eastAsia="en-US"/>
                  </w:rPr>
                </m:ctrlPr>
              </m:sSubPr>
              <m:e>
                <m:r>
                  <w:rPr>
                    <w:rFonts w:ascii="Cambria Math" w:eastAsia="Times New Roman" w:hAnsi="Cambria Math" w:cs="Times New Roman"/>
                    <w:sz w:val="20"/>
                    <w:szCs w:val="20"/>
                    <w:lang w:eastAsia="en-US"/>
                  </w:rPr>
                  <m:t>w</m:t>
                </m:r>
              </m:e>
              <m:sub>
                <m:r>
                  <w:rPr>
                    <w:rFonts w:ascii="Cambria Math" w:eastAsia="Times New Roman" w:hAnsi="Cambria Math" w:cs="Times New Roman"/>
                    <w:sz w:val="20"/>
                    <w:szCs w:val="20"/>
                    <w:lang w:eastAsia="en-US"/>
                  </w:rPr>
                  <m:t>k_sp</m:t>
                </m:r>
              </m:sub>
            </m:sSub>
          </m:sub>
        </m:sSub>
      </m:oMath>
      <w:r w:rsidRPr="003C2E9B">
        <w:rPr>
          <w:rFonts w:eastAsia="DengXian" w:cs="Times New Roman"/>
          <w:bCs/>
          <w:sz w:val="20"/>
          <w:szCs w:val="20"/>
        </w:rPr>
        <w:t xml:space="preserve"> represents the factor transformation elasticities between </w:t>
      </w:r>
      <w:r>
        <w:rPr>
          <w:rFonts w:eastAsia="DengXian" w:cs="Times New Roman"/>
          <w:bCs/>
          <w:sz w:val="20"/>
          <w:szCs w:val="20"/>
        </w:rPr>
        <w:t xml:space="preserve">state-owned enterprises and private-owned enterprises within a </w:t>
      </w:r>
      <w:r w:rsidRPr="003C2E9B">
        <w:rPr>
          <w:rFonts w:eastAsia="DengXian" w:cs="Times New Roman"/>
          <w:bCs/>
          <w:sz w:val="20"/>
          <w:szCs w:val="20"/>
        </w:rPr>
        <w:t>subsector</w:t>
      </w:r>
      <w:r>
        <w:rPr>
          <w:rFonts w:eastAsia="DengXian" w:cs="Times New Roman"/>
          <w:bCs/>
          <w:sz w:val="20"/>
          <w:szCs w:val="20"/>
        </w:rPr>
        <w:t>.</w:t>
      </w:r>
    </w:p>
    <w:p w14:paraId="02769FB0" w14:textId="77777777" w:rsidR="008F30F4" w:rsidRPr="00333C7B" w:rsidRDefault="008F30F4" w:rsidP="008F30F4">
      <w:pPr>
        <w:pStyle w:val="Heading2"/>
        <w:rPr>
          <w:rFonts w:eastAsia="DengXian"/>
          <w:sz w:val="22"/>
        </w:rPr>
      </w:pPr>
      <w:r w:rsidRPr="00415D56">
        <w:rPr>
          <w:szCs w:val="28"/>
        </w:rPr>
        <w:lastRenderedPageBreak/>
        <w:t xml:space="preserve">Parameters </w:t>
      </w:r>
      <w:r>
        <w:rPr>
          <w:szCs w:val="28"/>
        </w:rPr>
        <w:t>Influencing Intertemporal Allocation and Dynamics</w:t>
      </w:r>
    </w:p>
    <w:p w14:paraId="1BD8DB36" w14:textId="77777777" w:rsidR="008F30F4" w:rsidRPr="00333C7B" w:rsidRDefault="008F30F4" w:rsidP="008F30F4">
      <w:pPr>
        <w:snapToGrid w:val="0"/>
        <w:ind w:firstLineChars="327" w:firstLine="719"/>
        <w:rPr>
          <w:rFonts w:eastAsia="DengXian" w:cs="Times New Roman"/>
          <w:sz w:val="22"/>
        </w:rPr>
      </w:pPr>
      <w:r>
        <w:rPr>
          <w:rFonts w:eastAsia="DengXian" w:cs="Times New Roman"/>
          <w:sz w:val="22"/>
        </w:rPr>
        <w:t xml:space="preserve">Other parameters are closely related to intertemporal choices and economic growth.    These </w:t>
      </w:r>
      <w:r w:rsidRPr="00333C7B">
        <w:rPr>
          <w:rFonts w:eastAsia="DengXian" w:cs="Times New Roman"/>
          <w:sz w:val="22"/>
        </w:rPr>
        <w:t>include the growth rate of effective labor, the rate of autonomous energy efficiency improvement, the saving</w:t>
      </w:r>
      <w:r>
        <w:rPr>
          <w:rFonts w:eastAsia="DengXian" w:cs="Times New Roman"/>
          <w:sz w:val="22"/>
        </w:rPr>
        <w:t>s</w:t>
      </w:r>
      <w:r w:rsidRPr="00333C7B">
        <w:rPr>
          <w:rFonts w:eastAsia="DengXian" w:cs="Times New Roman"/>
          <w:sz w:val="22"/>
        </w:rPr>
        <w:t xml:space="preserve"> rate, the reproducible capital depreciation rate, and the interest rate. </w:t>
      </w:r>
    </w:p>
    <w:p w14:paraId="695E69E7" w14:textId="77777777" w:rsidR="008F30F4" w:rsidRPr="00ED76EA" w:rsidRDefault="008F30F4" w:rsidP="008F30F4">
      <w:pPr>
        <w:snapToGrid w:val="0"/>
        <w:ind w:firstLineChars="327" w:firstLine="719"/>
        <w:rPr>
          <w:rFonts w:eastAsia="DengXian" w:cs="Times New Roman"/>
          <w:sz w:val="22"/>
        </w:rPr>
      </w:pPr>
      <w:r w:rsidRPr="00F16489">
        <w:rPr>
          <w:rFonts w:eastAsia="DengXian" w:cs="Times New Roman"/>
          <w:sz w:val="22"/>
        </w:rPr>
        <w:t xml:space="preserve">Capital growth </w:t>
      </w:r>
      <w:r>
        <w:rPr>
          <w:rFonts w:eastAsia="DengXian" w:cs="Times New Roman" w:hint="eastAsia"/>
          <w:sz w:val="22"/>
        </w:rPr>
        <w:t>s</w:t>
      </w:r>
      <w:r>
        <w:rPr>
          <w:rFonts w:eastAsia="DengXian" w:cs="Times New Roman"/>
          <w:sz w:val="22"/>
        </w:rPr>
        <w:t>tems from</w:t>
      </w:r>
      <w:r w:rsidRPr="00F16489">
        <w:rPr>
          <w:rFonts w:eastAsia="DengXian" w:cs="Times New Roman"/>
          <w:sz w:val="22"/>
        </w:rPr>
        <w:t xml:space="preserve"> private and </w:t>
      </w:r>
      <w:r>
        <w:rPr>
          <w:rFonts w:eastAsia="DengXian" w:cs="Times New Roman"/>
          <w:sz w:val="22"/>
        </w:rPr>
        <w:t>public</w:t>
      </w:r>
      <w:r w:rsidRPr="00F16489">
        <w:rPr>
          <w:rFonts w:eastAsia="DengXian" w:cs="Times New Roman"/>
          <w:sz w:val="22"/>
        </w:rPr>
        <w:t xml:space="preserve"> savings</w:t>
      </w:r>
      <w:r w:rsidRPr="00F16489">
        <w:rPr>
          <w:rFonts w:ascii="Times" w:eastAsia="DengXian" w:hAnsi="Times" w:cs="Times New Roman"/>
          <w:sz w:val="22"/>
        </w:rPr>
        <w:t>.</w:t>
      </w:r>
      <w:r w:rsidRPr="00AA2E3B">
        <w:rPr>
          <w:rFonts w:ascii="Times" w:eastAsia="DengXian" w:hAnsi="Times" w:cs="Times New Roman"/>
          <w:sz w:val="22"/>
        </w:rPr>
        <w:t xml:space="preserve"> </w:t>
      </w:r>
      <w:r>
        <w:rPr>
          <w:rFonts w:eastAsia="DengXian" w:cs="Times New Roman"/>
          <w:sz w:val="22"/>
        </w:rPr>
        <w:t>A</w:t>
      </w:r>
      <w:r w:rsidRPr="00AA2E3B">
        <w:rPr>
          <w:rFonts w:eastAsia="DengXian" w:cs="Times New Roman"/>
          <w:sz w:val="22"/>
        </w:rPr>
        <w:t xml:space="preserve">ccording to </w:t>
      </w:r>
      <w:r w:rsidRPr="00AA2E3B">
        <w:rPr>
          <w:rFonts w:eastAsia="DengXian" w:cs="Times New Roman"/>
          <w:sz w:val="22"/>
        </w:rPr>
        <w:fldChar w:fldCharType="begin"/>
      </w:r>
      <w:r>
        <w:rPr>
          <w:rFonts w:eastAsia="DengXian" w:cs="Times New Roman"/>
          <w:sz w:val="22"/>
        </w:rPr>
        <w:instrText xml:space="preserve"> ADDIN ZOTERO_ITEM CSL_CITATION {"citationID":"bhRPOipW","properties":{"formattedCitation":"(M. L. Zhang et al., 2018)","plainCitation":"(M. L. Zhang et al., 2018)","dontUpdate":true,"noteIndex":0},"citationItems":[{"id":"VlUszWYZ/LH5KABEJ","uris":["http://zotero.org/users/7551265/items/UEI3AFLD"],"itemData":{"id":963,"type":"book","publisher":"International Monetary Fund","source":"Google Scholar","title":"China’s high savings: drivers, prospects, and policies","title-short":"China’s high savings","author":[{"family":"Zhang","given":"Ms Longmei"},{"family":"Brooks","given":"Mr Ray"},{"family":"Ding","given":"Ding"},{"family":"Ding","given":"Haiyan"},{"family":"He","given":"Hui"},{"family":"Lu","given":"Jing"},{"family":"Mano","given":"Rui"}],"issued":{"date-parts":[["2018"]]}}}],"schema":"https://github.com/citation-style-language/schema/raw/master/csl-citation.json"} </w:instrText>
      </w:r>
      <w:r w:rsidRPr="00AA2E3B">
        <w:rPr>
          <w:rFonts w:eastAsia="DengXian" w:cs="Times New Roman"/>
          <w:sz w:val="22"/>
        </w:rPr>
        <w:fldChar w:fldCharType="separate"/>
      </w:r>
      <w:r w:rsidRPr="00AA2E3B">
        <w:rPr>
          <w:rFonts w:eastAsia="DengXian" w:cs="Times New Roman"/>
          <w:sz w:val="22"/>
        </w:rPr>
        <w:t xml:space="preserve">Zhang </w:t>
      </w:r>
      <w:r w:rsidRPr="00AA2E3B">
        <w:rPr>
          <w:rFonts w:eastAsia="DengXian" w:cs="Times New Roman"/>
          <w:i/>
          <w:iCs/>
          <w:sz w:val="22"/>
        </w:rPr>
        <w:t xml:space="preserve">et al. </w:t>
      </w:r>
      <w:r w:rsidRPr="00AA2E3B">
        <w:rPr>
          <w:rFonts w:eastAsia="DengXian" w:cs="Times New Roman"/>
          <w:sz w:val="22"/>
        </w:rPr>
        <w:t>(2018)</w:t>
      </w:r>
      <w:r w:rsidRPr="00AA2E3B">
        <w:rPr>
          <w:rFonts w:eastAsia="DengXian" w:cs="Times New Roman"/>
          <w:sz w:val="22"/>
        </w:rPr>
        <w:fldChar w:fldCharType="end"/>
      </w:r>
      <w:r>
        <w:rPr>
          <w:rFonts w:eastAsia="DengXian" w:cs="Times New Roman"/>
          <w:sz w:val="22"/>
        </w:rPr>
        <w:t>, China’s p</w:t>
      </w:r>
      <w:r w:rsidRPr="00AA2E3B">
        <w:rPr>
          <w:rFonts w:eastAsia="DengXian" w:cs="Times New Roman"/>
          <w:sz w:val="22"/>
        </w:rPr>
        <w:t>ublic saving</w:t>
      </w:r>
      <w:r>
        <w:rPr>
          <w:rFonts w:eastAsia="DengXian" w:cs="Times New Roman"/>
          <w:sz w:val="22"/>
        </w:rPr>
        <w:t xml:space="preserve"> has been around 3% of GDP</w:t>
      </w:r>
      <w:r w:rsidRPr="00A57EB1">
        <w:rPr>
          <w:rFonts w:eastAsia="DengXian" w:cs="Times New Roman"/>
          <w:sz w:val="22"/>
        </w:rPr>
        <w:t xml:space="preserve"> </w:t>
      </w:r>
      <w:r>
        <w:rPr>
          <w:rFonts w:eastAsia="DengXian" w:cs="Times New Roman"/>
          <w:sz w:val="22"/>
        </w:rPr>
        <w:t>in recent years</w:t>
      </w:r>
      <w:r w:rsidRPr="00A57EB1">
        <w:rPr>
          <w:rFonts w:eastAsia="DengXian" w:cs="Times New Roman"/>
          <w:sz w:val="22"/>
        </w:rPr>
        <w:t>.</w:t>
      </w:r>
      <w:r>
        <w:rPr>
          <w:rFonts w:eastAsia="DengXian" w:cs="Times New Roman"/>
          <w:sz w:val="22"/>
        </w:rPr>
        <w:t xml:space="preserve"> Utilizing </w:t>
      </w:r>
      <w:r w:rsidRPr="00AA2E3B">
        <w:rPr>
          <w:rFonts w:eastAsia="DengXian" w:cs="Times New Roman"/>
          <w:sz w:val="22"/>
        </w:rPr>
        <w:t xml:space="preserve">this </w:t>
      </w:r>
      <w:r>
        <w:rPr>
          <w:rFonts w:eastAsia="DengXian" w:cs="Times New Roman"/>
          <w:sz w:val="22"/>
        </w:rPr>
        <w:t>data along with</w:t>
      </w:r>
      <w:r w:rsidRPr="00AA2E3B">
        <w:rPr>
          <w:rFonts w:eastAsia="DengXian" w:cs="Times New Roman"/>
          <w:sz w:val="22"/>
        </w:rPr>
        <w:t xml:space="preserve"> total investment data from the China IO table</w:t>
      </w:r>
      <w:r>
        <w:rPr>
          <w:rFonts w:eastAsia="DengXian" w:cs="Times New Roman"/>
          <w:sz w:val="22"/>
        </w:rPr>
        <w:t>, we</w:t>
      </w:r>
      <w:r w:rsidRPr="00AA2E3B">
        <w:rPr>
          <w:rFonts w:eastAsia="DengXian" w:cs="Times New Roman"/>
          <w:sz w:val="22"/>
        </w:rPr>
        <w:t xml:space="preserve"> calculate private and public savings </w:t>
      </w:r>
      <w:r>
        <w:rPr>
          <w:rFonts w:eastAsia="DengXian" w:cs="Times New Roman"/>
          <w:sz w:val="22"/>
        </w:rPr>
        <w:t>for</w:t>
      </w:r>
      <w:r w:rsidRPr="00AA2E3B">
        <w:rPr>
          <w:rFonts w:eastAsia="DengXian" w:cs="Times New Roman"/>
          <w:sz w:val="22"/>
        </w:rPr>
        <w:t xml:space="preserve"> the base year (2020). </w:t>
      </w:r>
      <w:r>
        <w:rPr>
          <w:rFonts w:eastAsia="DengXian" w:cs="Times New Roman"/>
          <w:sz w:val="22"/>
        </w:rPr>
        <w:t>Then t</w:t>
      </w:r>
      <w:r w:rsidRPr="00AA2E3B">
        <w:rPr>
          <w:rFonts w:eastAsia="DengXian" w:cs="Times New Roman"/>
          <w:sz w:val="22"/>
        </w:rPr>
        <w:t xml:space="preserve">he two saving rates </w:t>
      </w:r>
      <w:r>
        <w:rPr>
          <w:rFonts w:eastAsia="DengXian" w:cs="Times New Roman"/>
          <w:sz w:val="22"/>
        </w:rPr>
        <w:t>are determined to ensure</w:t>
      </w:r>
      <w:r w:rsidRPr="00AA2E3B">
        <w:rPr>
          <w:rFonts w:eastAsia="DengXian" w:cs="Times New Roman"/>
          <w:sz w:val="22"/>
        </w:rPr>
        <w:t xml:space="preserve"> </w:t>
      </w:r>
      <w:r>
        <w:rPr>
          <w:rFonts w:eastAsia="DengXian" w:cs="Times New Roman"/>
          <w:sz w:val="22"/>
        </w:rPr>
        <w:t xml:space="preserve">that </w:t>
      </w:r>
      <w:r w:rsidRPr="00AA2E3B">
        <w:rPr>
          <w:rFonts w:eastAsia="DengXian" w:cs="Times New Roman"/>
          <w:sz w:val="22"/>
        </w:rPr>
        <w:t>the resulting public and private savings match the base year</w:t>
      </w:r>
      <w:r>
        <w:rPr>
          <w:rFonts w:eastAsia="DengXian" w:cs="Times New Roman"/>
          <w:sz w:val="22"/>
        </w:rPr>
        <w:t xml:space="preserve"> data</w:t>
      </w:r>
      <w:r w:rsidRPr="00AA2E3B">
        <w:rPr>
          <w:rFonts w:eastAsia="DengXian" w:cs="Times New Roman"/>
          <w:sz w:val="22"/>
        </w:rPr>
        <w:t xml:space="preserve">. The </w:t>
      </w:r>
      <w:r>
        <w:rPr>
          <w:rFonts w:eastAsia="DengXian" w:cs="Times New Roman"/>
          <w:sz w:val="22"/>
        </w:rPr>
        <w:t xml:space="preserve">private </w:t>
      </w:r>
      <w:r w:rsidRPr="00AA2E3B">
        <w:rPr>
          <w:rFonts w:eastAsia="DengXian" w:cs="Times New Roman"/>
          <w:sz w:val="22"/>
        </w:rPr>
        <w:t xml:space="preserve">saving rates for </w:t>
      </w:r>
      <w:r>
        <w:rPr>
          <w:rFonts w:eastAsia="DengXian" w:cs="Times New Roman"/>
          <w:sz w:val="22"/>
        </w:rPr>
        <w:t>subsequent</w:t>
      </w:r>
      <w:r w:rsidRPr="00AA2E3B">
        <w:rPr>
          <w:rFonts w:eastAsia="DengXian" w:cs="Times New Roman"/>
          <w:sz w:val="22"/>
        </w:rPr>
        <w:t xml:space="preserve"> years are determ</w:t>
      </w:r>
      <w:r w:rsidRPr="00C93C12">
        <w:rPr>
          <w:rFonts w:eastAsia="DengXian" w:cs="Times New Roman"/>
          <w:sz w:val="22"/>
        </w:rPr>
        <w:t>ined by Equation (A1</w:t>
      </w:r>
      <w:r>
        <w:rPr>
          <w:rFonts w:eastAsia="DengXian" w:cs="Times New Roman"/>
          <w:sz w:val="22"/>
        </w:rPr>
        <w:t>7</w:t>
      </w:r>
      <w:r w:rsidRPr="00C93C12">
        <w:rPr>
          <w:rFonts w:eastAsia="DengXian" w:cs="Times New Roman"/>
          <w:sz w:val="22"/>
        </w:rPr>
        <w:t>). In the model’s central case, we apply a</w:t>
      </w:r>
      <w:r>
        <w:rPr>
          <w:rFonts w:eastAsia="DengXian" w:cs="Times New Roman"/>
          <w:sz w:val="22"/>
        </w:rPr>
        <w:t xml:space="preserve"> private</w:t>
      </w:r>
      <w:r w:rsidRPr="00C93C12">
        <w:rPr>
          <w:rFonts w:eastAsia="DengXian" w:cs="Times New Roman"/>
          <w:sz w:val="22"/>
        </w:rPr>
        <w:t xml:space="preserve"> saving rate annual reduction factor of 0.6%. This yields a baseline path for </w:t>
      </w:r>
      <w:r>
        <w:rPr>
          <w:rFonts w:eastAsia="DengXian" w:cs="Times New Roman"/>
          <w:sz w:val="22"/>
        </w:rPr>
        <w:t xml:space="preserve">private </w:t>
      </w:r>
      <w:r w:rsidRPr="00C93C12">
        <w:rPr>
          <w:rFonts w:eastAsia="DengXian" w:cs="Times New Roman"/>
          <w:sz w:val="22"/>
        </w:rPr>
        <w:t>saving rates consistent with the projected declining trends</w:t>
      </w:r>
      <w:r>
        <w:rPr>
          <w:rFonts w:eastAsia="DengXian" w:cs="Times New Roman"/>
          <w:sz w:val="22"/>
        </w:rPr>
        <w:t xml:space="preserve"> in China’s saving rates, according to Zhang </w:t>
      </w:r>
      <w:r>
        <w:rPr>
          <w:rFonts w:eastAsia="DengXian" w:cs="Times New Roman"/>
          <w:i/>
          <w:iCs/>
          <w:sz w:val="22"/>
        </w:rPr>
        <w:t xml:space="preserve">et al. </w:t>
      </w:r>
      <w:r>
        <w:rPr>
          <w:rFonts w:eastAsia="DengXian" w:cs="Times New Roman"/>
          <w:sz w:val="22"/>
        </w:rPr>
        <w:t xml:space="preserve">(2018). The public saving rate is assumed to remain constant at 3% of GDP, following Zhang </w:t>
      </w:r>
      <w:r>
        <w:rPr>
          <w:rFonts w:eastAsia="DengXian" w:cs="Times New Roman"/>
          <w:i/>
          <w:iCs/>
          <w:sz w:val="22"/>
        </w:rPr>
        <w:t xml:space="preserve">et al. </w:t>
      </w:r>
      <w:r>
        <w:rPr>
          <w:rFonts w:eastAsia="DengXian" w:cs="Times New Roman"/>
          <w:sz w:val="22"/>
        </w:rPr>
        <w:t xml:space="preserve">(2018). </w:t>
      </w:r>
    </w:p>
    <w:p w14:paraId="6611B81B" w14:textId="77777777" w:rsidR="008F30F4" w:rsidRPr="00AA2E3B" w:rsidRDefault="008F30F4" w:rsidP="008F30F4">
      <w:pPr>
        <w:snapToGrid w:val="0"/>
        <w:ind w:firstLineChars="327" w:firstLine="719"/>
        <w:rPr>
          <w:rFonts w:eastAsia="Times New Roman" w:cs="Times New Roman"/>
          <w:sz w:val="22"/>
        </w:rPr>
      </w:pPr>
      <w:r>
        <w:rPr>
          <w:rFonts w:ascii="Times" w:eastAsia="DengXian" w:hAnsi="Times" w:cs="Times New Roman"/>
          <w:sz w:val="22"/>
        </w:rPr>
        <w:t>R</w:t>
      </w:r>
      <w:r w:rsidRPr="00AA2E3B">
        <w:rPr>
          <w:rFonts w:ascii="Times" w:eastAsia="DengXian" w:hAnsi="Times" w:cs="Times New Roman"/>
          <w:sz w:val="22"/>
        </w:rPr>
        <w:t xml:space="preserve">eal investment level in </w:t>
      </w:r>
      <w:r>
        <w:rPr>
          <w:rFonts w:ascii="Times" w:eastAsia="DengXian" w:hAnsi="Times" w:cs="Times New Roman"/>
          <w:sz w:val="22"/>
        </w:rPr>
        <w:t xml:space="preserve">each </w:t>
      </w:r>
      <w:r w:rsidRPr="00AA2E3B">
        <w:rPr>
          <w:rFonts w:ascii="Times" w:eastAsia="DengXian" w:hAnsi="Times" w:cs="Times New Roman"/>
          <w:sz w:val="22"/>
        </w:rPr>
        <w:t xml:space="preserve">period </w:t>
      </w:r>
      <w:r w:rsidRPr="00AA2E3B">
        <w:rPr>
          <w:rFonts w:ascii="Times" w:eastAsia="DengXian" w:hAnsi="Times" w:cs="Times New Roman"/>
          <w:i/>
          <w:iCs/>
          <w:sz w:val="22"/>
        </w:rPr>
        <w:t>t</w:t>
      </w:r>
      <w:r w:rsidRPr="00AA2E3B">
        <w:rPr>
          <w:rFonts w:eastAsia="DengXian" w:cs="Times New Roman"/>
          <w:sz w:val="22"/>
        </w:rPr>
        <w:t xml:space="preserve"> is determined by total savings and the unit price of investment goods</w:t>
      </w:r>
      <w:r>
        <w:rPr>
          <w:rFonts w:eastAsia="DengXian" w:cs="Times New Roman"/>
          <w:sz w:val="22"/>
        </w:rPr>
        <w:t xml:space="preserve"> in that period</w:t>
      </w:r>
      <w:r w:rsidRPr="00AA2E3B">
        <w:rPr>
          <w:rFonts w:eastAsia="DengXian" w:cs="Times New Roman"/>
          <w:sz w:val="22"/>
        </w:rPr>
        <w:t xml:space="preserve">. </w:t>
      </w:r>
      <w:r>
        <w:rPr>
          <w:rFonts w:eastAsia="DengXian" w:cs="Times New Roman"/>
          <w:sz w:val="22"/>
        </w:rPr>
        <w:t>Capital</w:t>
      </w:r>
      <w:r w:rsidRPr="00AA2E3B">
        <w:rPr>
          <w:rFonts w:eastAsia="DengXian" w:cs="Times New Roman"/>
          <w:sz w:val="22"/>
        </w:rPr>
        <w:t xml:space="preserve"> growth from period </w:t>
      </w:r>
      <w:r w:rsidRPr="00AA2E3B">
        <w:rPr>
          <w:rFonts w:eastAsia="DengXian" w:cs="Times New Roman"/>
          <w:i/>
          <w:iCs/>
          <w:sz w:val="22"/>
        </w:rPr>
        <w:t>t</w:t>
      </w:r>
      <w:r w:rsidRPr="00AA2E3B">
        <w:rPr>
          <w:rFonts w:eastAsia="DengXian" w:cs="Times New Roman"/>
          <w:sz w:val="22"/>
        </w:rPr>
        <w:t xml:space="preserve"> to </w:t>
      </w:r>
      <w:r w:rsidRPr="00AA2E3B">
        <w:rPr>
          <w:rFonts w:eastAsia="DengXian" w:cs="Times New Roman"/>
          <w:i/>
          <w:iCs/>
          <w:sz w:val="22"/>
        </w:rPr>
        <w:t>t</w:t>
      </w:r>
      <w:r w:rsidRPr="00AA2E3B">
        <w:rPr>
          <w:rFonts w:eastAsia="DengXian" w:cs="Times New Roman"/>
          <w:sz w:val="22"/>
        </w:rPr>
        <w:t xml:space="preserve">+1 is calculated as the investment of period </w:t>
      </w:r>
      <w:r w:rsidRPr="00AA2E3B">
        <w:rPr>
          <w:rFonts w:eastAsia="DengXian" w:cs="Times New Roman"/>
          <w:i/>
          <w:iCs/>
          <w:sz w:val="22"/>
        </w:rPr>
        <w:t>t</w:t>
      </w:r>
      <w:r w:rsidRPr="00AA2E3B">
        <w:rPr>
          <w:rFonts w:eastAsia="DengXian" w:cs="Times New Roman"/>
          <w:sz w:val="22"/>
        </w:rPr>
        <w:t xml:space="preserve"> net of depreciation</w:t>
      </w:r>
      <w:r>
        <w:rPr>
          <w:rFonts w:eastAsia="DengXian" w:cs="Times New Roman"/>
          <w:sz w:val="22"/>
        </w:rPr>
        <w:t xml:space="preserve"> during period </w:t>
      </w:r>
      <w:r w:rsidRPr="00D3473B">
        <w:rPr>
          <w:rFonts w:eastAsia="DengXian" w:cs="Times New Roman"/>
          <w:i/>
          <w:iCs/>
          <w:sz w:val="22"/>
        </w:rPr>
        <w:t>t</w:t>
      </w:r>
      <w:r>
        <w:rPr>
          <w:rFonts w:eastAsia="DengXian" w:cs="Times New Roman"/>
          <w:sz w:val="22"/>
        </w:rPr>
        <w:t xml:space="preserve">. </w:t>
      </w:r>
      <w:r w:rsidRPr="00AA2E3B">
        <w:rPr>
          <w:rFonts w:eastAsia="Times New Roman" w:cs="Times New Roman"/>
          <w:sz w:val="22"/>
        </w:rPr>
        <w:t>We apply a</w:t>
      </w:r>
      <w:r>
        <w:rPr>
          <w:rFonts w:eastAsia="Times New Roman" w:cs="Times New Roman"/>
          <w:sz w:val="22"/>
        </w:rPr>
        <w:t>n annual</w:t>
      </w:r>
      <w:r w:rsidRPr="00AA2E3B">
        <w:rPr>
          <w:rFonts w:eastAsia="Times New Roman" w:cs="Times New Roman"/>
          <w:sz w:val="22"/>
        </w:rPr>
        <w:t xml:space="preserve"> depreciation rate of 5%</w:t>
      </w:r>
      <w:r>
        <w:rPr>
          <w:rFonts w:eastAsia="Times New Roman" w:cs="Times New Roman"/>
          <w:sz w:val="22"/>
        </w:rPr>
        <w:t>, following</w:t>
      </w:r>
      <w:r w:rsidRPr="00AA2E3B">
        <w:rPr>
          <w:rFonts w:eastAsia="Times New Roman" w:cs="Times New Roman"/>
          <w:sz w:val="22"/>
        </w:rPr>
        <w:t xml:space="preserve"> </w:t>
      </w:r>
      <w:r w:rsidRPr="00AA2E3B">
        <w:rPr>
          <w:rFonts w:eastAsia="Times New Roman" w:cs="Times New Roman"/>
          <w:sz w:val="22"/>
        </w:rPr>
        <w:fldChar w:fldCharType="begin"/>
      </w:r>
      <w:r w:rsidRPr="00AA2E3B">
        <w:rPr>
          <w:rFonts w:eastAsia="Times New Roman" w:cs="Times New Roman"/>
          <w:sz w:val="22"/>
        </w:rPr>
        <w:instrText xml:space="preserve"> ADDIN ZOTERO_ITEM CSL_CITATION {"citationID":"NQh2R8ms","properties":{"formattedCitation":"(Herd, 2020)","plainCitation":"(Herd, 2020)","dontUpdate":true,"noteIndex":0},"citationItems":[{"id":83,"uris":["http://zotero.org/users/local/x9Q64Idg/items/MUQENFQ3"],"itemData":{"id":83,"type":"book","language":"en","note":"DOI: 10.1596/1813-9450-9317","publisher":"World Bank, Washington, DC","source":"DOI.org (Crossref)","title":"Estimating Capital Formation and Capital Stock by Economic Sector in China: The Implications for Productivity Growth","title-short":"Estimating Capital Formation and Capital Stock by Economic Sector in China","URL":"http://hdl.handle.net/10986/34126","author":[{"family":"Herd","given":"Richard"}],"accessed":{"date-parts":[["2021",12,9]]},"issued":{"date-parts":[["2020",7]]}}}],"schema":"https://github.com/citation-style-language/schema/raw/master/csl-citation.json"} </w:instrText>
      </w:r>
      <w:r w:rsidRPr="00AA2E3B">
        <w:rPr>
          <w:rFonts w:eastAsia="Times New Roman" w:cs="Times New Roman"/>
          <w:sz w:val="22"/>
        </w:rPr>
        <w:fldChar w:fldCharType="separate"/>
      </w:r>
      <w:r w:rsidRPr="00AA2E3B">
        <w:rPr>
          <w:rFonts w:eastAsia="DengXian" w:cs="Times New Roman"/>
          <w:sz w:val="22"/>
        </w:rPr>
        <w:t>Herd (2020)</w:t>
      </w:r>
      <w:r w:rsidRPr="00AA2E3B">
        <w:rPr>
          <w:rFonts w:eastAsia="Times New Roman" w:cs="Times New Roman"/>
          <w:sz w:val="22"/>
        </w:rPr>
        <w:fldChar w:fldCharType="end"/>
      </w:r>
      <w:r w:rsidRPr="00AA2E3B">
        <w:rPr>
          <w:rFonts w:eastAsia="Times New Roman" w:cs="Times New Roman"/>
          <w:sz w:val="22"/>
        </w:rPr>
        <w:t xml:space="preserve">. </w:t>
      </w:r>
      <w:r w:rsidRPr="00AA2E3B">
        <w:rPr>
          <w:rFonts w:eastAsia="DengXian" w:cs="Times New Roman" w:hint="eastAsia"/>
          <w:sz w:val="22"/>
        </w:rPr>
        <w:t>The</w:t>
      </w:r>
      <w:r w:rsidRPr="00AA2E3B">
        <w:rPr>
          <w:rFonts w:eastAsia="DengXian" w:cs="Times New Roman"/>
          <w:sz w:val="22"/>
        </w:rPr>
        <w:t xml:space="preserve"> </w:t>
      </w:r>
      <w:r>
        <w:rPr>
          <w:rFonts w:eastAsia="DengXian" w:cs="Times New Roman"/>
          <w:sz w:val="22"/>
        </w:rPr>
        <w:t xml:space="preserve">initial </w:t>
      </w:r>
      <w:r w:rsidRPr="00AA2E3B">
        <w:rPr>
          <w:rFonts w:eastAsia="DengXian" w:cs="Times New Roman"/>
          <w:sz w:val="22"/>
        </w:rPr>
        <w:t xml:space="preserve">capital stock </w:t>
      </w:r>
      <w:r>
        <w:rPr>
          <w:rFonts w:eastAsia="DengXian" w:cs="Times New Roman"/>
          <w:sz w:val="22"/>
        </w:rPr>
        <w:t>for</w:t>
      </w:r>
      <w:r w:rsidRPr="00AA2E3B">
        <w:rPr>
          <w:rFonts w:eastAsia="DengXian" w:cs="Times New Roman"/>
          <w:sz w:val="22"/>
        </w:rPr>
        <w:t xml:space="preserve"> the base year (2020) is </w:t>
      </w:r>
      <w:r>
        <w:rPr>
          <w:rFonts w:eastAsia="DengXian" w:cs="Times New Roman"/>
          <w:sz w:val="22"/>
        </w:rPr>
        <w:t>derived</w:t>
      </w:r>
      <w:r w:rsidRPr="00AA2E3B">
        <w:rPr>
          <w:rFonts w:eastAsia="DengXian" w:cs="Times New Roman"/>
          <w:sz w:val="22"/>
        </w:rPr>
        <w:t xml:space="preserve"> from </w:t>
      </w:r>
      <w:r w:rsidRPr="00AA2E3B">
        <w:rPr>
          <w:rFonts w:eastAsia="DengXian" w:cs="Times New Roman"/>
          <w:sz w:val="22"/>
        </w:rPr>
        <w:fldChar w:fldCharType="begin"/>
      </w:r>
      <w:r>
        <w:rPr>
          <w:rFonts w:eastAsia="DengXian" w:cs="Times New Roman"/>
          <w:sz w:val="22"/>
        </w:rPr>
        <w:instrText xml:space="preserve"> ADDIN ZOTERO_ITEM CSL_CITATION {"citationID":"293tYl9H","properties":{"formattedCitation":"(Holz &amp; Sun, 2018)","plainCitation":"(Holz &amp; Sun, 2018)","dontUpdate":true,"noteIndex":0},"citationItems":[{"id":"VlUszWYZ/zW3LIqGw","uris":["http://zotero.org/users/7551265/items/KTABS93U"],"itemData":{"id":1220,"type":"article-journal","abstract":"Capital estimates are widely used in economic growth and productivity studies, for profitability considerations and wealth accounting exercises. Yet the calculation of </w:instrText>
      </w:r>
      <w:r>
        <w:rPr>
          <w:rFonts w:eastAsia="DengXian" w:cs="Times New Roman" w:hint="eastAsia"/>
          <w:sz w:val="22"/>
        </w:rPr>
        <w:instrText>“</w:instrText>
      </w:r>
      <w:r>
        <w:rPr>
          <w:rFonts w:eastAsia="DengXian" w:cs="Times New Roman"/>
          <w:sz w:val="22"/>
        </w:rPr>
        <w:instrText xml:space="preserve">capital” frequently receives only cursory attention, despite the challenges posed by conceptual difficulties, the complexity of calculations, and the extensive data requirements. This paper (i) calculates long-run provincial (and national) physical capital series for China, (ii) distinguishes between wealth capital stock and capital services (the appropriate measure of capital for productivity studies), and (iii) applies the most recent methodology advanced by the OECD (and implemented by the U.S. Bureau of Labor Statistics and the Australian Bureau of Statistics). The complete set of data is available online and is expected to be updated on an annual basis in the future.","container-title":"China Economic Review","DOI":"10.1016/j.chieco.2017.06.007","ISSN":"1043-951X","journalAbbreviation":"China Economic Review","language":"en","page":"342-357","source":"ScienceDirect","title":"Physical capital estimates for China's provinces, 1952–2015 and beyond","volume":"51","author":[{"family":"Holz","given":"Carsten A."},{"family":"Sun","given":"Yue"}],"issued":{"date-parts":[["2018",10,1]]}}}],"schema":"https://github.com/citation-style-language/schema/raw/master/csl-citation.json"} </w:instrText>
      </w:r>
      <w:r w:rsidRPr="00AA2E3B">
        <w:rPr>
          <w:rFonts w:eastAsia="DengXian" w:cs="Times New Roman"/>
          <w:sz w:val="22"/>
        </w:rPr>
        <w:fldChar w:fldCharType="separate"/>
      </w:r>
      <w:r w:rsidRPr="00AA2E3B">
        <w:rPr>
          <w:rFonts w:eastAsia="DengXian" w:cs="Times New Roman"/>
          <w:sz w:val="22"/>
        </w:rPr>
        <w:t>Holz &amp; Sun (2018)</w:t>
      </w:r>
      <w:r w:rsidRPr="00AA2E3B">
        <w:rPr>
          <w:rFonts w:eastAsia="DengXian" w:cs="Times New Roman"/>
          <w:sz w:val="22"/>
        </w:rPr>
        <w:fldChar w:fldCharType="end"/>
      </w:r>
      <w:r w:rsidRPr="00AA2E3B">
        <w:rPr>
          <w:rFonts w:eastAsia="DengXian" w:cs="Times New Roman"/>
          <w:sz w:val="22"/>
        </w:rPr>
        <w:t>.</w:t>
      </w:r>
    </w:p>
    <w:p w14:paraId="50D0C0F2" w14:textId="77777777" w:rsidR="008F30F4" w:rsidRDefault="008F30F4" w:rsidP="008F30F4">
      <w:pPr>
        <w:snapToGrid w:val="0"/>
        <w:ind w:firstLine="720"/>
        <w:rPr>
          <w:rFonts w:eastAsia="DengXian" w:cs="Times New Roman"/>
          <w:sz w:val="22"/>
        </w:rPr>
      </w:pPr>
      <w:r w:rsidRPr="00602DFA">
        <w:rPr>
          <w:rFonts w:eastAsia="DengXian" w:cs="Times New Roman"/>
          <w:sz w:val="22"/>
        </w:rPr>
        <w:t>Technological progress takes two forms: autonomous energy efficiency improvement (AEEI) and Hicks-neutral technological change.</w:t>
      </w:r>
      <w:r w:rsidRPr="009F2EB8">
        <w:rPr>
          <w:rFonts w:eastAsia="DengXian" w:cs="Times New Roman"/>
          <w:sz w:val="22"/>
        </w:rPr>
        <w:t xml:space="preserve"> </w:t>
      </w:r>
      <w:r>
        <w:rPr>
          <w:rFonts w:eastAsia="DengXian" w:cs="Times New Roman"/>
          <w:sz w:val="22"/>
        </w:rPr>
        <w:t>Regarding AEEI: f</w:t>
      </w:r>
      <w:r w:rsidRPr="009F2EB8">
        <w:rPr>
          <w:rFonts w:eastAsia="DengXian" w:cs="Times New Roman"/>
          <w:sz w:val="22"/>
        </w:rPr>
        <w:t>o</w:t>
      </w:r>
      <w:r w:rsidRPr="00902E37">
        <w:rPr>
          <w:rFonts w:eastAsia="DengXian" w:cs="Times New Roman"/>
          <w:sz w:val="22"/>
        </w:rPr>
        <w:t>r sectors excluding the fossil-based electricity sector, we follow Chen</w:t>
      </w:r>
      <w:r w:rsidRPr="00902E37">
        <w:rPr>
          <w:rFonts w:eastAsia="DengXian" w:cs="Times New Roman"/>
          <w:i/>
          <w:iCs/>
          <w:sz w:val="22"/>
        </w:rPr>
        <w:t xml:space="preserve"> et al.</w:t>
      </w:r>
      <w:r w:rsidRPr="00902E37">
        <w:rPr>
          <w:rFonts w:eastAsia="DengXian" w:cs="Times New Roman"/>
          <w:sz w:val="22"/>
        </w:rPr>
        <w:t>(2017)</w:t>
      </w:r>
      <w:r>
        <w:rPr>
          <w:rFonts w:eastAsia="DengXian" w:cs="Times New Roman"/>
          <w:sz w:val="22"/>
        </w:rPr>
        <w:t>, applying</w:t>
      </w:r>
      <w:r w:rsidRPr="00902E37">
        <w:rPr>
          <w:rFonts w:eastAsia="DengXian" w:cs="Times New Roman"/>
          <w:sz w:val="22"/>
        </w:rPr>
        <w:t xml:space="preserve"> a 1</w:t>
      </w:r>
      <w:r w:rsidRPr="00D3473B">
        <w:rPr>
          <w:rFonts w:eastAsia="DengXian" w:cs="Times New Roman"/>
          <w:sz w:val="22"/>
        </w:rPr>
        <w:t>%</w:t>
      </w:r>
      <w:r w:rsidRPr="00902E37">
        <w:rPr>
          <w:rFonts w:eastAsia="DengXian" w:cs="Times New Roman"/>
          <w:sz w:val="22"/>
        </w:rPr>
        <w:t xml:space="preserve"> annual AEEI rate. For the fossil-based electricity subsectors, we </w:t>
      </w:r>
      <w:r>
        <w:rPr>
          <w:rFonts w:eastAsia="DengXian" w:cs="Times New Roman"/>
          <w:sz w:val="22"/>
        </w:rPr>
        <w:t>again</w:t>
      </w:r>
      <w:r w:rsidRPr="00902E37">
        <w:rPr>
          <w:rFonts w:eastAsia="DengXian" w:cs="Times New Roman"/>
          <w:sz w:val="22"/>
        </w:rPr>
        <w:t xml:space="preserve"> follow Chen</w:t>
      </w:r>
      <w:r w:rsidRPr="00902E37">
        <w:rPr>
          <w:rFonts w:eastAsia="DengXian" w:cs="Times New Roman"/>
          <w:i/>
          <w:iCs/>
          <w:sz w:val="22"/>
        </w:rPr>
        <w:t xml:space="preserve"> et al.</w:t>
      </w:r>
      <w:r w:rsidRPr="00902E37">
        <w:rPr>
          <w:rFonts w:eastAsia="DengXian" w:cs="Times New Roman"/>
          <w:sz w:val="22"/>
        </w:rPr>
        <w:t>(2017)</w:t>
      </w:r>
      <w:r>
        <w:rPr>
          <w:rFonts w:eastAsia="DengXian" w:cs="Times New Roman"/>
          <w:sz w:val="22"/>
        </w:rPr>
        <w:t>, applying</w:t>
      </w:r>
      <w:r w:rsidRPr="00902E37">
        <w:rPr>
          <w:rFonts w:eastAsia="DengXian" w:cs="Times New Roman"/>
          <w:sz w:val="22"/>
        </w:rPr>
        <w:t xml:space="preserve"> an annual AEEI rate of 0.</w:t>
      </w:r>
      <w:r w:rsidRPr="00D3473B">
        <w:rPr>
          <w:rFonts w:eastAsia="DengXian" w:cs="Times New Roman"/>
          <w:sz w:val="22"/>
        </w:rPr>
        <w:t>4</w:t>
      </w:r>
      <w:r w:rsidRPr="00902E37">
        <w:rPr>
          <w:rFonts w:eastAsia="DengXian" w:cs="Times New Roman"/>
          <w:sz w:val="22"/>
        </w:rPr>
        <w:t xml:space="preserve">%. </w:t>
      </w:r>
    </w:p>
    <w:p w14:paraId="7386D549" w14:textId="77777777" w:rsidR="008F30F4" w:rsidRDefault="008F30F4" w:rsidP="008F30F4">
      <w:pPr>
        <w:snapToGrid w:val="0"/>
        <w:ind w:firstLine="720"/>
        <w:rPr>
          <w:rFonts w:eastAsia="DengXian" w:cs="Times New Roman"/>
          <w:sz w:val="22"/>
        </w:rPr>
      </w:pPr>
      <w:r>
        <w:rPr>
          <w:rFonts w:eastAsia="DengXian" w:cs="Arial"/>
          <w:sz w:val="22"/>
        </w:rPr>
        <w:t xml:space="preserve">Hicks-neutral technological change applies to all sectors but at different rates </w:t>
      </w:r>
      <w:r>
        <w:rPr>
          <w:rFonts w:eastAsia="DengXian" w:cs="Arial" w:hint="eastAsia"/>
          <w:sz w:val="22"/>
        </w:rPr>
        <w:t>across</w:t>
      </w:r>
      <w:r>
        <w:rPr>
          <w:rFonts w:eastAsia="DengXian" w:cs="Arial"/>
          <w:sz w:val="22"/>
        </w:rPr>
        <w:t xml:space="preserve"> sectors. These differences give rise to important structural changes in China – in particular, the transition involving increased representation of </w:t>
      </w:r>
      <w:r w:rsidRPr="00333C7B">
        <w:rPr>
          <w:rFonts w:eastAsia="DengXian" w:cs="Times New Roman"/>
          <w:sz w:val="22"/>
        </w:rPr>
        <w:t>the service sector</w:t>
      </w:r>
      <w:r>
        <w:rPr>
          <w:rFonts w:eastAsia="DengXian" w:cs="Times New Roman"/>
          <w:sz w:val="22"/>
        </w:rPr>
        <w:t xml:space="preserve"> </w:t>
      </w:r>
      <w:r>
        <w:rPr>
          <w:rFonts w:eastAsia="DengXian" w:cs="Times New Roman"/>
          <w:sz w:val="22"/>
        </w:rPr>
        <w:fldChar w:fldCharType="begin"/>
      </w:r>
      <w:r>
        <w:rPr>
          <w:rFonts w:eastAsia="DengXian" w:cs="Times New Roman"/>
          <w:sz w:val="22"/>
        </w:rPr>
        <w:instrText xml:space="preserve"> ADDIN ZOTERO_ITEM CSL_CITATION {"citationID":"4j2QRRZP","properties":{"formattedCitation":"(\\uc0\\u346{}wi\\uc0\\u281{}cki, 2017)","plainCitation":"(Święcki, 2017)","noteIndex":0},"citationItems":[{"id":95,"uris":["http://zotero.org/users/local/x9Q64Idg/items/A77AC2VM"],"itemData":{"id":95,"type":"article-journal","container-title":"Review of Economic Dynamics","DOI":"10.1016/j.red.2017.01.007","ISSN":"10942025","journalAbbreviation":"Review of Economic Dynamics","language":"en","page":"95-131","source":"DOI.org (Crossref)","title":"Determinants of structural change","volume":"24","author":[{"family":"Święcki","given":"Tomasz"}],"issued":{"date-parts":[["2017",3]]}}}],"schema":"https://github.com/citation-style-language/schema/raw/master/csl-citation.json"} </w:instrText>
      </w:r>
      <w:r>
        <w:rPr>
          <w:rFonts w:eastAsia="DengXian" w:cs="Times New Roman"/>
          <w:sz w:val="22"/>
        </w:rPr>
        <w:fldChar w:fldCharType="separate"/>
      </w:r>
      <w:r w:rsidRPr="001E172D">
        <w:rPr>
          <w:rFonts w:cs="Times New Roman"/>
          <w:sz w:val="22"/>
        </w:rPr>
        <w:t>(Święcki, 2017)</w:t>
      </w:r>
      <w:r>
        <w:rPr>
          <w:rFonts w:eastAsia="DengXian" w:cs="Times New Roman"/>
          <w:sz w:val="22"/>
        </w:rPr>
        <w:fldChar w:fldCharType="end"/>
      </w:r>
      <w:r>
        <w:rPr>
          <w:rFonts w:eastAsia="DengXian" w:cs="Times New Roman"/>
          <w:sz w:val="22"/>
        </w:rPr>
        <w:t xml:space="preserve"> </w:t>
      </w:r>
      <w:r>
        <w:rPr>
          <w:rFonts w:eastAsia="DengXian" w:cs="Times New Roman" w:hint="eastAsia"/>
          <w:sz w:val="22"/>
        </w:rPr>
        <w:t>and</w:t>
      </w:r>
      <w:r>
        <w:rPr>
          <w:rFonts w:eastAsia="DengXian" w:cs="Times New Roman"/>
          <w:sz w:val="22"/>
        </w:rPr>
        <w:t xml:space="preserve"> the increased penetration of renewable electricity. The</w:t>
      </w:r>
      <w:r w:rsidRPr="00333C7B">
        <w:rPr>
          <w:rFonts w:eastAsia="DengXian" w:cs="Times New Roman"/>
          <w:sz w:val="22"/>
        </w:rPr>
        <w:t xml:space="preserve"> </w:t>
      </w:r>
      <w:r>
        <w:rPr>
          <w:rFonts w:eastAsia="DengXian" w:cs="Times New Roman"/>
          <w:sz w:val="22"/>
        </w:rPr>
        <w:t>rates of H</w:t>
      </w:r>
      <w:r>
        <w:rPr>
          <w:rFonts w:eastAsia="DengXian" w:cs="Arial"/>
          <w:sz w:val="22"/>
        </w:rPr>
        <w:t>icks-neutral technological change</w:t>
      </w:r>
      <w:r>
        <w:rPr>
          <w:rFonts w:eastAsia="DengXian" w:cs="Times New Roman"/>
          <w:sz w:val="22"/>
        </w:rPr>
        <w:t xml:space="preserve">s </w:t>
      </w:r>
      <w:r>
        <w:rPr>
          <w:rFonts w:eastAsia="DengXian" w:cs="Arial"/>
          <w:sz w:val="22"/>
        </w:rPr>
        <w:t>are set so that the model’s baseline path is consistent with</w:t>
      </w:r>
      <w:r w:rsidRPr="00333C7B">
        <w:rPr>
          <w:rFonts w:eastAsia="DengXian" w:cs="Times New Roman"/>
          <w:sz w:val="22"/>
        </w:rPr>
        <w:t xml:space="preserve"> the projection</w:t>
      </w:r>
      <w:r>
        <w:rPr>
          <w:rFonts w:eastAsia="DengXian" w:cs="Times New Roman"/>
          <w:sz w:val="22"/>
        </w:rPr>
        <w:t>s</w:t>
      </w:r>
      <w:r w:rsidRPr="00333C7B">
        <w:rPr>
          <w:rFonts w:eastAsia="DengXian" w:cs="Times New Roman"/>
          <w:sz w:val="22"/>
        </w:rPr>
        <w:t xml:space="preserve"> by the State Information Center </w:t>
      </w:r>
      <w:r w:rsidRPr="00333C7B">
        <w:rPr>
          <w:rFonts w:eastAsia="DengXian" w:cs="Times New Roman"/>
          <w:sz w:val="22"/>
        </w:rPr>
        <w:fldChar w:fldCharType="begin"/>
      </w:r>
      <w:r>
        <w:rPr>
          <w:rFonts w:eastAsia="DengXian" w:cs="Times New Roman"/>
          <w:sz w:val="22"/>
        </w:rPr>
        <w:instrText xml:space="preserve"> ADDIN ZOTERO_ITEM CSL_CITATION {"citationID":"6yqmrNf9","properties":{"formattedCitation":"(The State Information Center, 2020)","plainCitation":"(The State Information Center, 2020)","dontUpdate":true,"noteIndex":0},"citationItems":[{"id":"VlUszWYZ/fPud3rlI","uris":["http://zotero.org/users/7551265/items/HVSNJQLR"],"itemData":{"id":736,"type":"report","publisher":"The State Information Center","title":"Medium and long-term goals, strategies, and paths of China's economic and social development.","issued":{"date-parts":[["2020"]]}}}],"schema":"https://github.com/citation-style-language/schema/raw/master/csl-citation.json"} </w:instrText>
      </w:r>
      <w:r w:rsidRPr="00333C7B">
        <w:rPr>
          <w:rFonts w:eastAsia="DengXian" w:cs="Times New Roman"/>
          <w:sz w:val="22"/>
        </w:rPr>
        <w:fldChar w:fldCharType="separate"/>
      </w:r>
      <w:r w:rsidRPr="00333C7B">
        <w:rPr>
          <w:rFonts w:eastAsia="DengXian" w:cs="Times New Roman"/>
          <w:sz w:val="22"/>
        </w:rPr>
        <w:t>(2020)</w:t>
      </w:r>
      <w:r w:rsidRPr="00333C7B">
        <w:rPr>
          <w:rFonts w:eastAsia="DengXian" w:cs="Times New Roman"/>
          <w:sz w:val="22"/>
        </w:rPr>
        <w:fldChar w:fldCharType="end"/>
      </w:r>
      <w:r>
        <w:rPr>
          <w:rFonts w:eastAsia="DengXian" w:cs="Times New Roman"/>
          <w:sz w:val="22"/>
        </w:rPr>
        <w:t xml:space="preserve"> and </w:t>
      </w:r>
      <w:r w:rsidRPr="00333C7B">
        <w:rPr>
          <w:rFonts w:eastAsia="DengXian" w:cs="Times New Roman"/>
          <w:sz w:val="22"/>
        </w:rPr>
        <w:fldChar w:fldCharType="begin"/>
      </w:r>
      <w:r>
        <w:rPr>
          <w:rFonts w:eastAsia="DengXian" w:cs="Times New Roman"/>
          <w:sz w:val="22"/>
        </w:rPr>
        <w:instrText xml:space="preserve"> ADDIN ZOTERO_ITEM CSL_CITATION {"citationID":"h5EH0GVP","properties":{"formattedCitation":"(IRENA, 2019a, 2019b)","plainCitation":"(IRENA, 2019a, 2019b)","dontUpdate":true,"noteIndex":0},"citationItems":[{"id":"VlUszWYZ/ofwenbzA","uris":["http://zotero.org/users/7551265/items/PFNKU5ZW"],"itemData":{"id":656,"type":"report","collection-title":"A Global Energy Transformation: Paper","event-place":"Abu Dhabi","publisher":"International Renewable Energy Agency","publisher-place":"Abu Dhabi","title":"Future of Solar Photovoltaic: Deployment, investment, technology, grid integration and socio-economic aspects","URL":"https://www.irena.org/-/media/Files/IRENA/Agency/Publication/2019/Nov/IRENA_Future_of_Solar_PV_2019.pdf","author":[{"literal":"IRENA"}],"accessed":{"date-parts":[["2021",8,17]]},"issued":{"date-parts":[["2019"]]}},"label":"page"},{"id":"VlUszWYZ/U5zXRcgp","uris":["http://zotero.org/users/7551265/items/GQ2J44E4"],"itemData":{"id":657,"type":"report","collection-title":"A Global Energy Transformation: Paper","event-place":"Abu Dhabi","publisher":"International Renewable Energy Agency","publisher-place":"Abu Dhabi","title":"Future of wind: Deployment, investment, technology, grid integration and socio-economic aspects","URL":"https://www.irena.org/-/media/files/irena/agency/publication/2019/oct/irena_future_of_wind_2019.pdf","author":[{"literal":"IRENA"}],"accessed":{"date-parts":[["2021",8,17]]},"issued":{"date-parts":[["2019"]]}},"label":"page"}],"schema":"https://github.com/citation-style-language/schema/raw/master/csl-citation.json"} </w:instrText>
      </w:r>
      <w:r w:rsidRPr="00333C7B">
        <w:rPr>
          <w:rFonts w:eastAsia="DengXian" w:cs="Times New Roman"/>
          <w:sz w:val="22"/>
        </w:rPr>
        <w:fldChar w:fldCharType="separate"/>
      </w:r>
      <w:r w:rsidRPr="00333C7B">
        <w:rPr>
          <w:rFonts w:eastAsia="DengXian" w:cs="Times New Roman"/>
          <w:sz w:val="22"/>
        </w:rPr>
        <w:t>IRENA (2019a, 2019b)</w:t>
      </w:r>
      <w:r w:rsidRPr="00333C7B">
        <w:rPr>
          <w:rFonts w:eastAsia="DengXian" w:cs="Times New Roman"/>
          <w:sz w:val="22"/>
        </w:rPr>
        <w:fldChar w:fldCharType="end"/>
      </w:r>
      <w:r w:rsidRPr="00333C7B">
        <w:rPr>
          <w:rFonts w:eastAsia="DengXian" w:cs="Times New Roman"/>
          <w:sz w:val="22"/>
        </w:rPr>
        <w:t xml:space="preserve">. </w:t>
      </w:r>
      <w:r>
        <w:rPr>
          <w:rFonts w:eastAsia="DengXian" w:cs="Times New Roman"/>
          <w:sz w:val="22"/>
        </w:rPr>
        <w:t>In keeping with these requirements, in the baseline</w:t>
      </w:r>
      <w:r w:rsidRPr="00333C7B">
        <w:rPr>
          <w:rFonts w:eastAsia="DengXian" w:cs="Times New Roman"/>
          <w:sz w:val="22"/>
        </w:rPr>
        <w:t xml:space="preserve">, the </w:t>
      </w:r>
      <w:r>
        <w:rPr>
          <w:rFonts w:eastAsia="DengXian" w:cs="Times New Roman"/>
          <w:sz w:val="22"/>
        </w:rPr>
        <w:t>GDP contributions from</w:t>
      </w:r>
      <w:r w:rsidRPr="00333C7B">
        <w:rPr>
          <w:rFonts w:eastAsia="DengXian" w:cs="Times New Roman"/>
          <w:sz w:val="22"/>
        </w:rPr>
        <w:t xml:space="preserve"> agriculture, industry, and service sector</w:t>
      </w:r>
      <w:r>
        <w:rPr>
          <w:rFonts w:eastAsia="DengXian" w:cs="Times New Roman"/>
          <w:sz w:val="22"/>
        </w:rPr>
        <w:t>s</w:t>
      </w:r>
      <w:r w:rsidRPr="00333C7B">
        <w:rPr>
          <w:rFonts w:eastAsia="DengXian" w:cs="Times New Roman"/>
          <w:sz w:val="22"/>
        </w:rPr>
        <w:t xml:space="preserve"> </w:t>
      </w:r>
      <w:r>
        <w:rPr>
          <w:rFonts w:eastAsia="DengXian" w:cs="Times New Roman"/>
          <w:sz w:val="22"/>
        </w:rPr>
        <w:t>are</w:t>
      </w:r>
      <w:r w:rsidRPr="00333C7B">
        <w:rPr>
          <w:rFonts w:eastAsia="DengXian" w:cs="Times New Roman"/>
          <w:sz w:val="22"/>
        </w:rPr>
        <w:t xml:space="preserve"> </w:t>
      </w:r>
      <w:r>
        <w:rPr>
          <w:rFonts w:eastAsia="DengXian" w:cs="Times New Roman"/>
          <w:sz w:val="22"/>
        </w:rPr>
        <w:t>projected</w:t>
      </w:r>
      <w:r w:rsidRPr="00333C7B">
        <w:rPr>
          <w:rFonts w:eastAsia="DengXian" w:cs="Times New Roman"/>
          <w:sz w:val="22"/>
        </w:rPr>
        <w:t xml:space="preserve"> to change from 7%, 37%, and 56%</w:t>
      </w:r>
      <w:r>
        <w:rPr>
          <w:rFonts w:eastAsia="DengXian" w:cs="Times New Roman"/>
          <w:sz w:val="22"/>
        </w:rPr>
        <w:t xml:space="preserve">, </w:t>
      </w:r>
      <w:r w:rsidRPr="00333C7B">
        <w:rPr>
          <w:rFonts w:eastAsia="DengXian" w:cs="Times New Roman"/>
          <w:sz w:val="22"/>
        </w:rPr>
        <w:t>to 6%, 30%, and 64%</w:t>
      </w:r>
      <w:r>
        <w:rPr>
          <w:rFonts w:eastAsia="DengXian" w:cs="Times New Roman"/>
          <w:sz w:val="22"/>
        </w:rPr>
        <w:t>, respectively, over the interval 2020-2035; and wind and solar energy costs decline by 36% over this interval.</w:t>
      </w:r>
      <w:r w:rsidRPr="00333C7B">
        <w:rPr>
          <w:rFonts w:eastAsia="DengXian" w:cs="Times New Roman"/>
          <w:sz w:val="22"/>
        </w:rPr>
        <w:t xml:space="preserve"> </w:t>
      </w:r>
    </w:p>
    <w:p w14:paraId="16B13567" w14:textId="77777777" w:rsidR="008F30F4" w:rsidRPr="00333C7B" w:rsidRDefault="008F30F4" w:rsidP="008F30F4">
      <w:pPr>
        <w:pStyle w:val="Heading1"/>
      </w:pPr>
      <w:r w:rsidRPr="00333C7B">
        <w:rPr>
          <w:rFonts w:hint="eastAsia"/>
        </w:rPr>
        <w:lastRenderedPageBreak/>
        <w:t>A</w:t>
      </w:r>
      <w:r w:rsidRPr="00333C7B">
        <w:t xml:space="preserve">ppendix D. The </w:t>
      </w:r>
      <w:r>
        <w:t>S</w:t>
      </w:r>
      <w:r w:rsidRPr="00333C7B">
        <w:t xml:space="preserve">ignificance of </w:t>
      </w:r>
      <w:r>
        <w:t>P</w:t>
      </w:r>
      <w:r w:rsidRPr="00333C7B">
        <w:t xml:space="preserve">re-existing </w:t>
      </w:r>
      <w:r>
        <w:t>T</w:t>
      </w:r>
      <w:r w:rsidRPr="00333C7B">
        <w:t>axes</w:t>
      </w:r>
    </w:p>
    <w:p w14:paraId="275A68D7" w14:textId="77777777" w:rsidR="008F30F4" w:rsidRPr="00333C7B" w:rsidRDefault="008F30F4" w:rsidP="008F30F4">
      <w:pPr>
        <w:ind w:firstLine="720"/>
        <w:rPr>
          <w:rFonts w:eastAsia="DengXian" w:cs="Times New Roman"/>
          <w:color w:val="000000"/>
          <w:sz w:val="22"/>
        </w:rPr>
      </w:pPr>
      <w:r w:rsidRPr="00333C7B">
        <w:rPr>
          <w:rFonts w:eastAsia="DengXian" w:cs="Times New Roman"/>
          <w:color w:val="000000"/>
          <w:sz w:val="22"/>
        </w:rPr>
        <w:t xml:space="preserve">To confirm the </w:t>
      </w:r>
      <w:r>
        <w:rPr>
          <w:rFonts w:eastAsia="DengXian" w:cs="Times New Roman" w:hint="eastAsia"/>
          <w:color w:val="000000"/>
          <w:sz w:val="22"/>
        </w:rPr>
        <w:t>impa</w:t>
      </w:r>
      <w:r>
        <w:rPr>
          <w:rFonts w:eastAsia="DengXian" w:cs="Times New Roman"/>
          <w:color w:val="000000"/>
          <w:sz w:val="22"/>
        </w:rPr>
        <w:t xml:space="preserve">cts </w:t>
      </w:r>
      <w:r w:rsidRPr="00333C7B">
        <w:rPr>
          <w:rFonts w:eastAsia="DengXian" w:cs="Times New Roman"/>
          <w:color w:val="000000"/>
          <w:sz w:val="22"/>
        </w:rPr>
        <w:t xml:space="preserve">of pre-existing taxes </w:t>
      </w:r>
      <w:r>
        <w:rPr>
          <w:rFonts w:eastAsia="DengXian" w:cs="Times New Roman"/>
          <w:color w:val="000000"/>
          <w:sz w:val="22"/>
        </w:rPr>
        <w:t>on</w:t>
      </w:r>
      <w:r w:rsidRPr="00333C7B">
        <w:rPr>
          <w:rFonts w:eastAsia="DengXian" w:cs="Times New Roman"/>
          <w:color w:val="000000"/>
          <w:sz w:val="22"/>
        </w:rPr>
        <w:t xml:space="preserve"> the relative cost of the TPS and C&amp;T, we have performed counterfactual simulations </w:t>
      </w:r>
      <w:r>
        <w:rPr>
          <w:rFonts w:eastAsia="DengXian" w:cs="Times New Roman"/>
          <w:color w:val="000000"/>
          <w:sz w:val="22"/>
        </w:rPr>
        <w:t>altering</w:t>
      </w:r>
      <w:r w:rsidRPr="00333C7B">
        <w:rPr>
          <w:rFonts w:eastAsia="DengXian" w:cs="Times New Roman"/>
          <w:color w:val="000000"/>
          <w:sz w:val="22"/>
        </w:rPr>
        <w:t xml:space="preserve"> the tax</w:t>
      </w:r>
      <w:r>
        <w:rPr>
          <w:rFonts w:eastAsia="DengXian" w:cs="Times New Roman"/>
          <w:color w:val="000000"/>
          <w:sz w:val="22"/>
        </w:rPr>
        <w:t xml:space="preserve"> rates</w:t>
      </w:r>
      <w:r w:rsidRPr="00333C7B">
        <w:rPr>
          <w:rFonts w:eastAsia="DengXian" w:cs="Times New Roman"/>
          <w:color w:val="000000"/>
          <w:sz w:val="22"/>
        </w:rPr>
        <w:t xml:space="preserve"> on capital, labor, and intermediate inputs. As indicated in Tab</w:t>
      </w:r>
      <w:r w:rsidRPr="00F40B79">
        <w:rPr>
          <w:rFonts w:eastAsia="DengXian" w:cs="Times New Roman"/>
          <w:color w:val="000000"/>
          <w:sz w:val="22"/>
        </w:rPr>
        <w:t xml:space="preserve">le </w:t>
      </w:r>
      <w:r>
        <w:rPr>
          <w:rFonts w:eastAsia="DengXian" w:cs="Times New Roman"/>
          <w:color w:val="000000"/>
          <w:sz w:val="22"/>
        </w:rPr>
        <w:t>D1</w:t>
      </w:r>
      <w:r w:rsidRPr="00333C7B">
        <w:rPr>
          <w:rFonts w:eastAsia="DengXian" w:cs="Times New Roman"/>
          <w:color w:val="000000"/>
          <w:sz w:val="22"/>
        </w:rPr>
        <w:t xml:space="preserve">, the </w:t>
      </w:r>
      <w:r>
        <w:rPr>
          <w:rFonts w:eastAsia="DengXian" w:cs="Times New Roman"/>
          <w:color w:val="000000"/>
          <w:sz w:val="22"/>
        </w:rPr>
        <w:t xml:space="preserve">cost </w:t>
      </w:r>
      <w:r w:rsidRPr="00333C7B">
        <w:rPr>
          <w:rFonts w:eastAsia="DengXian" w:cs="Times New Roman"/>
          <w:color w:val="000000"/>
          <w:sz w:val="22"/>
        </w:rPr>
        <w:t>ratio of TPS</w:t>
      </w:r>
      <w:r>
        <w:rPr>
          <w:rFonts w:eastAsia="DengXian" w:cs="Times New Roman"/>
          <w:color w:val="000000"/>
          <w:sz w:val="22"/>
        </w:rPr>
        <w:t xml:space="preserve"> </w:t>
      </w:r>
      <w:r w:rsidRPr="00333C7B">
        <w:rPr>
          <w:rFonts w:eastAsia="DengXian" w:cs="Times New Roman"/>
          <w:color w:val="000000"/>
          <w:sz w:val="22"/>
        </w:rPr>
        <w:t xml:space="preserve">to C&amp;T </w:t>
      </w:r>
      <w:r>
        <w:rPr>
          <w:rFonts w:eastAsia="DengXian" w:cs="Times New Roman"/>
          <w:color w:val="000000"/>
          <w:sz w:val="22"/>
        </w:rPr>
        <w:t>reduces as the magnitude of pre-existing taxes increases</w:t>
      </w:r>
      <w:r w:rsidRPr="00333C7B">
        <w:rPr>
          <w:rFonts w:eastAsia="DengXian" w:cs="Times New Roman"/>
          <w:color w:val="000000"/>
          <w:sz w:val="22"/>
        </w:rPr>
        <w:t>.</w:t>
      </w:r>
    </w:p>
    <w:p w14:paraId="5274D154" w14:textId="77777777" w:rsidR="008F30F4" w:rsidRPr="00333C7B" w:rsidRDefault="008F30F4" w:rsidP="008F30F4">
      <w:pPr>
        <w:spacing w:line="240" w:lineRule="auto"/>
        <w:rPr>
          <w:rFonts w:eastAsia="SimSun" w:cs="Times New Roman"/>
          <w:color w:val="000000"/>
          <w:szCs w:val="21"/>
        </w:rPr>
      </w:pPr>
    </w:p>
    <w:p w14:paraId="668F5975" w14:textId="77777777" w:rsidR="008F30F4" w:rsidRPr="007C10A5" w:rsidRDefault="008F30F4" w:rsidP="008F30F4">
      <w:pPr>
        <w:ind w:firstLine="0"/>
        <w:jc w:val="center"/>
        <w:rPr>
          <w:rFonts w:eastAsia="DengXian" w:cs="Times New Roman"/>
          <w:b/>
          <w:bCs/>
          <w:color w:val="000000"/>
          <w:sz w:val="22"/>
          <w:szCs w:val="22"/>
        </w:rPr>
      </w:pPr>
      <w:r w:rsidRPr="007C10A5">
        <w:rPr>
          <w:rFonts w:eastAsia="DengXian" w:cs="Times New Roman" w:hint="eastAsia"/>
          <w:b/>
          <w:bCs/>
          <w:color w:val="000000"/>
          <w:sz w:val="22"/>
          <w:szCs w:val="22"/>
        </w:rPr>
        <w:t>Table</w:t>
      </w:r>
      <w:r w:rsidRPr="007C10A5">
        <w:rPr>
          <w:rFonts w:eastAsia="DengXian" w:cs="Times New Roman"/>
          <w:b/>
          <w:bCs/>
          <w:color w:val="000000"/>
          <w:sz w:val="22"/>
          <w:szCs w:val="22"/>
        </w:rPr>
        <w:t xml:space="preserve"> </w:t>
      </w:r>
      <w:r>
        <w:rPr>
          <w:rFonts w:eastAsia="DengXian" w:cs="Times New Roman"/>
          <w:b/>
          <w:bCs/>
          <w:color w:val="000000"/>
          <w:sz w:val="22"/>
          <w:szCs w:val="22"/>
        </w:rPr>
        <w:t>D1</w:t>
      </w:r>
      <w:r w:rsidRPr="007C10A5">
        <w:rPr>
          <w:rFonts w:eastAsia="DengXian" w:cs="Times New Roman"/>
          <w:b/>
          <w:bCs/>
          <w:color w:val="000000"/>
          <w:sz w:val="22"/>
          <w:szCs w:val="22"/>
        </w:rPr>
        <w:t>. Cost Ratio of TPS to C&amp;T under Different Assumptions of the Extent of Pre-Existing Taxes in 2020</w:t>
      </w:r>
      <w:r w:rsidRPr="007C10A5">
        <w:rPr>
          <w:rFonts w:cs="Times New Roman"/>
          <w:bCs/>
          <w:sz w:val="22"/>
          <w:szCs w:val="22"/>
        </w:rPr>
        <w:t>-</w:t>
      </w:r>
      <w:r w:rsidRPr="007C10A5">
        <w:rPr>
          <w:rFonts w:eastAsia="DengXian" w:cs="Times New Roman"/>
          <w:b/>
          <w:bCs/>
          <w:color w:val="000000"/>
          <w:sz w:val="22"/>
          <w:szCs w:val="22"/>
        </w:rPr>
        <w:t>2035</w:t>
      </w:r>
    </w:p>
    <w:tbl>
      <w:tblPr>
        <w:tblStyle w:val="TableGrid"/>
        <w:tblW w:w="627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7"/>
        <w:gridCol w:w="3134"/>
      </w:tblGrid>
      <w:tr w:rsidR="008F30F4" w:rsidRPr="00B10F73" w14:paraId="6269DBD5" w14:textId="77777777" w:rsidTr="001F21E7">
        <w:trPr>
          <w:trHeight w:val="466"/>
          <w:jc w:val="center"/>
        </w:trPr>
        <w:tc>
          <w:tcPr>
            <w:tcW w:w="3137" w:type="dxa"/>
            <w:tcBorders>
              <w:top w:val="single" w:sz="4" w:space="0" w:color="auto"/>
              <w:bottom w:val="single" w:sz="4" w:space="0" w:color="auto"/>
            </w:tcBorders>
            <w:vAlign w:val="center"/>
          </w:tcPr>
          <w:p w14:paraId="2467C475" w14:textId="77777777" w:rsidR="008F30F4" w:rsidRPr="005C335A" w:rsidRDefault="008F30F4" w:rsidP="001F21E7">
            <w:pPr>
              <w:spacing w:before="0" w:line="240" w:lineRule="auto"/>
              <w:ind w:firstLine="0"/>
              <w:contextualSpacing/>
              <w:jc w:val="center"/>
              <w:rPr>
                <w:rFonts w:eastAsia="DengXian" w:cs="Times New Roman"/>
                <w:sz w:val="22"/>
              </w:rPr>
            </w:pPr>
            <w:r w:rsidRPr="005C335A">
              <w:rPr>
                <w:rFonts w:eastAsia="DengXian" w:cs="Times New Roman"/>
                <w:sz w:val="22"/>
              </w:rPr>
              <w:t>Scale of Pre-existing Taxes</w:t>
            </w:r>
            <w:r>
              <w:rPr>
                <w:rFonts w:eastAsia="DengXian" w:cs="Times New Roman"/>
                <w:sz w:val="22"/>
              </w:rPr>
              <w:t>*</w:t>
            </w:r>
          </w:p>
        </w:tc>
        <w:tc>
          <w:tcPr>
            <w:tcW w:w="3134" w:type="dxa"/>
            <w:tcBorders>
              <w:top w:val="single" w:sz="4" w:space="0" w:color="auto"/>
              <w:bottom w:val="single" w:sz="4" w:space="0" w:color="auto"/>
            </w:tcBorders>
            <w:vAlign w:val="center"/>
          </w:tcPr>
          <w:p w14:paraId="3BE88602" w14:textId="77777777" w:rsidR="008F30F4" w:rsidRPr="005C335A" w:rsidRDefault="008F30F4" w:rsidP="001F21E7">
            <w:pPr>
              <w:spacing w:before="0" w:line="240" w:lineRule="auto"/>
              <w:contextualSpacing/>
              <w:jc w:val="center"/>
              <w:rPr>
                <w:sz w:val="22"/>
              </w:rPr>
            </w:pPr>
            <w:r w:rsidRPr="005C335A">
              <w:rPr>
                <w:sz w:val="22"/>
              </w:rPr>
              <w:t>TPS/C&amp;T Cost Ratio</w:t>
            </w:r>
          </w:p>
        </w:tc>
      </w:tr>
      <w:tr w:rsidR="008F30F4" w:rsidRPr="00B10F73" w14:paraId="2FBD0E1A" w14:textId="77777777" w:rsidTr="001F21E7">
        <w:trPr>
          <w:trHeight w:val="466"/>
          <w:jc w:val="center"/>
        </w:trPr>
        <w:tc>
          <w:tcPr>
            <w:tcW w:w="3137" w:type="dxa"/>
            <w:tcBorders>
              <w:top w:val="single" w:sz="4" w:space="0" w:color="auto"/>
            </w:tcBorders>
            <w:vAlign w:val="center"/>
          </w:tcPr>
          <w:p w14:paraId="122363CE" w14:textId="77777777" w:rsidR="008F30F4" w:rsidRPr="0018629E" w:rsidRDefault="008F30F4" w:rsidP="001F21E7">
            <w:pPr>
              <w:spacing w:before="0" w:line="240" w:lineRule="auto"/>
              <w:ind w:firstLine="0"/>
              <w:contextualSpacing/>
              <w:jc w:val="center"/>
              <w:rPr>
                <w:rFonts w:eastAsia="DengXian" w:cs="Times New Roman"/>
                <w:sz w:val="22"/>
              </w:rPr>
            </w:pPr>
            <w:r>
              <w:rPr>
                <w:rFonts w:eastAsia="DengXian" w:cs="Times New Roman"/>
                <w:sz w:val="22"/>
                <w:szCs w:val="24"/>
              </w:rPr>
              <w:t>0.0</w:t>
            </w:r>
          </w:p>
        </w:tc>
        <w:tc>
          <w:tcPr>
            <w:tcW w:w="3134" w:type="dxa"/>
            <w:tcBorders>
              <w:top w:val="single" w:sz="4" w:space="0" w:color="auto"/>
            </w:tcBorders>
            <w:vAlign w:val="center"/>
          </w:tcPr>
          <w:p w14:paraId="72B89F1D" w14:textId="77777777" w:rsidR="008F30F4" w:rsidRPr="0018629E" w:rsidRDefault="008F30F4" w:rsidP="001F21E7">
            <w:pPr>
              <w:spacing w:before="0" w:line="240" w:lineRule="auto"/>
              <w:contextualSpacing/>
              <w:jc w:val="center"/>
              <w:rPr>
                <w:rFonts w:eastAsia="DengXian" w:cs="Times New Roman"/>
                <w:sz w:val="22"/>
              </w:rPr>
            </w:pPr>
            <w:r>
              <w:rPr>
                <w:sz w:val="22"/>
              </w:rPr>
              <w:t>1.112</w:t>
            </w:r>
          </w:p>
        </w:tc>
      </w:tr>
      <w:tr w:rsidR="008F30F4" w:rsidRPr="00B10F73" w14:paraId="5156D348" w14:textId="77777777" w:rsidTr="001F21E7">
        <w:trPr>
          <w:trHeight w:val="466"/>
          <w:jc w:val="center"/>
        </w:trPr>
        <w:tc>
          <w:tcPr>
            <w:tcW w:w="3137" w:type="dxa"/>
            <w:vAlign w:val="center"/>
          </w:tcPr>
          <w:p w14:paraId="02D2CAF3" w14:textId="77777777" w:rsidR="008F30F4" w:rsidRDefault="008F30F4" w:rsidP="001F21E7">
            <w:pPr>
              <w:spacing w:before="0" w:line="240" w:lineRule="auto"/>
              <w:ind w:firstLine="0"/>
              <w:contextualSpacing/>
              <w:jc w:val="center"/>
              <w:rPr>
                <w:rFonts w:eastAsia="DengXian" w:cs="Times New Roman"/>
                <w:sz w:val="22"/>
              </w:rPr>
            </w:pPr>
            <w:r>
              <w:rPr>
                <w:rFonts w:eastAsia="DengXian" w:cs="Times New Roman"/>
                <w:sz w:val="22"/>
                <w:szCs w:val="24"/>
              </w:rPr>
              <w:t>0.5</w:t>
            </w:r>
          </w:p>
        </w:tc>
        <w:tc>
          <w:tcPr>
            <w:tcW w:w="3134" w:type="dxa"/>
            <w:vAlign w:val="center"/>
          </w:tcPr>
          <w:p w14:paraId="6BC07509" w14:textId="77777777" w:rsidR="008F30F4" w:rsidRDefault="008F30F4" w:rsidP="001F21E7">
            <w:pPr>
              <w:spacing w:before="0" w:line="240" w:lineRule="auto"/>
              <w:contextualSpacing/>
              <w:jc w:val="center"/>
              <w:rPr>
                <w:sz w:val="22"/>
              </w:rPr>
            </w:pPr>
            <w:r>
              <w:rPr>
                <w:sz w:val="22"/>
              </w:rPr>
              <w:t>1.104</w:t>
            </w:r>
          </w:p>
        </w:tc>
      </w:tr>
      <w:tr w:rsidR="008F30F4" w:rsidRPr="00B10F73" w14:paraId="071BF0EF" w14:textId="77777777" w:rsidTr="001F21E7">
        <w:trPr>
          <w:trHeight w:val="466"/>
          <w:jc w:val="center"/>
        </w:trPr>
        <w:tc>
          <w:tcPr>
            <w:tcW w:w="3137" w:type="dxa"/>
            <w:vAlign w:val="center"/>
          </w:tcPr>
          <w:p w14:paraId="0AF4490D" w14:textId="77777777" w:rsidR="008F30F4" w:rsidRDefault="008F30F4" w:rsidP="001F21E7">
            <w:pPr>
              <w:spacing w:before="0" w:line="240" w:lineRule="auto"/>
              <w:ind w:firstLine="0"/>
              <w:contextualSpacing/>
              <w:jc w:val="center"/>
              <w:rPr>
                <w:rFonts w:eastAsia="DengXian" w:cs="Times New Roman"/>
                <w:sz w:val="22"/>
              </w:rPr>
            </w:pPr>
            <w:r>
              <w:rPr>
                <w:rFonts w:eastAsia="DengXian" w:cs="Times New Roman"/>
                <w:sz w:val="22"/>
                <w:szCs w:val="24"/>
              </w:rPr>
              <w:t>1.0</w:t>
            </w:r>
          </w:p>
        </w:tc>
        <w:tc>
          <w:tcPr>
            <w:tcW w:w="3134" w:type="dxa"/>
            <w:vAlign w:val="center"/>
          </w:tcPr>
          <w:p w14:paraId="58A32DAB" w14:textId="77777777" w:rsidR="008F30F4" w:rsidRDefault="008F30F4" w:rsidP="001F21E7">
            <w:pPr>
              <w:spacing w:before="0" w:line="240" w:lineRule="auto"/>
              <w:contextualSpacing/>
              <w:jc w:val="center"/>
              <w:rPr>
                <w:sz w:val="22"/>
              </w:rPr>
            </w:pPr>
            <w:r>
              <w:rPr>
                <w:sz w:val="22"/>
              </w:rPr>
              <w:t>1.097</w:t>
            </w:r>
          </w:p>
        </w:tc>
      </w:tr>
      <w:tr w:rsidR="008F30F4" w:rsidRPr="00B10F73" w14:paraId="4687DB83" w14:textId="77777777" w:rsidTr="001F21E7">
        <w:trPr>
          <w:trHeight w:val="466"/>
          <w:jc w:val="center"/>
        </w:trPr>
        <w:tc>
          <w:tcPr>
            <w:tcW w:w="3137" w:type="dxa"/>
            <w:vAlign w:val="center"/>
          </w:tcPr>
          <w:p w14:paraId="55F6C54F" w14:textId="77777777" w:rsidR="008F30F4" w:rsidRPr="0018629E" w:rsidRDefault="008F30F4" w:rsidP="001F21E7">
            <w:pPr>
              <w:spacing w:before="0" w:line="240" w:lineRule="auto"/>
              <w:ind w:firstLine="0"/>
              <w:contextualSpacing/>
              <w:jc w:val="center"/>
              <w:rPr>
                <w:rFonts w:eastAsia="DengXian" w:cs="Times New Roman"/>
                <w:sz w:val="22"/>
              </w:rPr>
            </w:pPr>
            <w:r>
              <w:rPr>
                <w:rFonts w:eastAsia="DengXian" w:cs="Times New Roman"/>
                <w:sz w:val="22"/>
                <w:szCs w:val="24"/>
              </w:rPr>
              <w:t>1.5</w:t>
            </w:r>
          </w:p>
        </w:tc>
        <w:tc>
          <w:tcPr>
            <w:tcW w:w="3134" w:type="dxa"/>
            <w:vAlign w:val="center"/>
          </w:tcPr>
          <w:p w14:paraId="76FC4249" w14:textId="77777777" w:rsidR="008F30F4" w:rsidRPr="0018629E" w:rsidRDefault="008F30F4" w:rsidP="001F21E7">
            <w:pPr>
              <w:spacing w:before="0" w:line="240" w:lineRule="auto"/>
              <w:contextualSpacing/>
              <w:jc w:val="center"/>
              <w:rPr>
                <w:rFonts w:eastAsia="DengXian" w:cs="Times New Roman"/>
                <w:sz w:val="22"/>
              </w:rPr>
            </w:pPr>
            <w:r>
              <w:rPr>
                <w:sz w:val="22"/>
              </w:rPr>
              <w:t>1.084</w:t>
            </w:r>
          </w:p>
        </w:tc>
      </w:tr>
      <w:tr w:rsidR="008F30F4" w:rsidRPr="00B10F73" w14:paraId="6B2CC00D" w14:textId="77777777" w:rsidTr="001F21E7">
        <w:trPr>
          <w:trHeight w:val="466"/>
          <w:jc w:val="center"/>
        </w:trPr>
        <w:tc>
          <w:tcPr>
            <w:tcW w:w="3137" w:type="dxa"/>
            <w:tcBorders>
              <w:bottom w:val="single" w:sz="4" w:space="0" w:color="auto"/>
            </w:tcBorders>
            <w:vAlign w:val="center"/>
          </w:tcPr>
          <w:p w14:paraId="64FD0721" w14:textId="77777777" w:rsidR="008F30F4" w:rsidRPr="0018629E" w:rsidRDefault="008F30F4" w:rsidP="001F21E7">
            <w:pPr>
              <w:spacing w:before="0" w:line="240" w:lineRule="auto"/>
              <w:ind w:firstLine="0"/>
              <w:contextualSpacing/>
              <w:jc w:val="center"/>
              <w:rPr>
                <w:rFonts w:eastAsia="DengXian" w:cs="Times New Roman"/>
                <w:sz w:val="22"/>
              </w:rPr>
            </w:pPr>
            <w:r>
              <w:rPr>
                <w:rFonts w:eastAsia="DengXian" w:cs="Times New Roman"/>
                <w:sz w:val="22"/>
                <w:szCs w:val="24"/>
              </w:rPr>
              <w:t>2.0</w:t>
            </w:r>
          </w:p>
        </w:tc>
        <w:tc>
          <w:tcPr>
            <w:tcW w:w="3134" w:type="dxa"/>
            <w:tcBorders>
              <w:bottom w:val="single" w:sz="4" w:space="0" w:color="auto"/>
            </w:tcBorders>
            <w:vAlign w:val="center"/>
          </w:tcPr>
          <w:p w14:paraId="5A077552" w14:textId="77777777" w:rsidR="008F30F4" w:rsidRPr="0018629E" w:rsidRDefault="008F30F4" w:rsidP="001F21E7">
            <w:pPr>
              <w:spacing w:before="0" w:line="240" w:lineRule="auto"/>
              <w:contextualSpacing/>
              <w:jc w:val="center"/>
              <w:rPr>
                <w:rFonts w:eastAsia="DengXian" w:cs="Times New Roman"/>
                <w:sz w:val="22"/>
              </w:rPr>
            </w:pPr>
            <w:r>
              <w:rPr>
                <w:sz w:val="22"/>
              </w:rPr>
              <w:t>1.073</w:t>
            </w:r>
          </w:p>
        </w:tc>
      </w:tr>
    </w:tbl>
    <w:p w14:paraId="2ED096D4" w14:textId="77777777" w:rsidR="008F30F4" w:rsidRPr="00244265" w:rsidRDefault="008F30F4" w:rsidP="008F30F4">
      <w:pPr>
        <w:snapToGrid w:val="0"/>
        <w:spacing w:line="240" w:lineRule="auto"/>
        <w:ind w:left="1440" w:right="1382" w:firstLine="0"/>
        <w:rPr>
          <w:rFonts w:eastAsia="DengXian" w:cs="Times New Roman"/>
          <w:sz w:val="22"/>
          <w:szCs w:val="22"/>
        </w:rPr>
      </w:pPr>
      <w:r>
        <w:rPr>
          <w:rFonts w:eastAsia="DengXian" w:cs="Times New Roman"/>
          <w:sz w:val="22"/>
          <w:szCs w:val="22"/>
          <w:vertAlign w:val="superscript"/>
        </w:rPr>
        <w:t>*</w:t>
      </w:r>
      <w:r w:rsidRPr="0018629E">
        <w:rPr>
          <w:rFonts w:eastAsia="DengXian" w:cs="Times New Roman"/>
          <w:sz w:val="22"/>
          <w:szCs w:val="22"/>
        </w:rPr>
        <w:t xml:space="preserve"> The scale is the magnitude of pre-existing tax rates relative to </w:t>
      </w:r>
      <w:r w:rsidRPr="00244265">
        <w:rPr>
          <w:rFonts w:eastAsia="DengXian" w:cs="Times New Roman"/>
          <w:sz w:val="22"/>
          <w:szCs w:val="22"/>
        </w:rPr>
        <w:t xml:space="preserve">the rates in the central case </w:t>
      </w:r>
      <w:r w:rsidRPr="00244265">
        <w:rPr>
          <w:rFonts w:eastAsia="DengXian" w:cs="Times New Roman"/>
          <w:sz w:val="22"/>
          <w:szCs w:val="22"/>
        </w:rPr>
        <w:br w:type="page"/>
      </w:r>
    </w:p>
    <w:p w14:paraId="13371045" w14:textId="77777777" w:rsidR="008F30F4" w:rsidRPr="00333C7B" w:rsidRDefault="008F30F4" w:rsidP="008F30F4">
      <w:pPr>
        <w:pStyle w:val="Heading1"/>
      </w:pPr>
      <w:r w:rsidRPr="00333C7B">
        <w:lastRenderedPageBreak/>
        <w:t xml:space="preserve">Appendix E. Dynamics of </w:t>
      </w:r>
      <w:r>
        <w:t>P</w:t>
      </w:r>
      <w:r w:rsidRPr="00333C7B">
        <w:t xml:space="preserve">otential </w:t>
      </w:r>
      <w:r>
        <w:t>T</w:t>
      </w:r>
      <w:r w:rsidRPr="00333C7B">
        <w:t>ransition from TPS to C&amp;T</w:t>
      </w:r>
    </w:p>
    <w:p w14:paraId="4277E4F5" w14:textId="77777777" w:rsidR="008F30F4" w:rsidRPr="00333C7B" w:rsidRDefault="008F30F4" w:rsidP="008F30F4">
      <w:pPr>
        <w:ind w:firstLineChars="327" w:firstLine="719"/>
        <w:rPr>
          <w:rFonts w:eastAsia="DengXian" w:cs="Times New Roman"/>
          <w:sz w:val="22"/>
        </w:rPr>
      </w:pPr>
      <w:r w:rsidRPr="00333C7B">
        <w:rPr>
          <w:rFonts w:eastAsia="DengXian" w:cs="Times New Roman"/>
          <w:sz w:val="22"/>
        </w:rPr>
        <w:t>In Section 6.1.2</w:t>
      </w:r>
      <w:r>
        <w:rPr>
          <w:rFonts w:eastAsia="DengXian" w:cs="Times New Roman"/>
          <w:sz w:val="22"/>
        </w:rPr>
        <w:t>,</w:t>
      </w:r>
      <w:r w:rsidRPr="00333C7B">
        <w:rPr>
          <w:rFonts w:eastAsia="DengXian" w:cs="Times New Roman"/>
          <w:sz w:val="22"/>
        </w:rPr>
        <w:t xml:space="preserve"> we compared the costs of the TPS and an equally stringent C&amp;T system when each policy is introduced in 2020 and maintained over the entire simulation </w:t>
      </w:r>
      <w:r>
        <w:rPr>
          <w:rFonts w:eastAsia="DengXian" w:cs="Times New Roman"/>
          <w:sz w:val="22"/>
        </w:rPr>
        <w:t>period</w:t>
      </w:r>
      <w:r w:rsidRPr="00333C7B">
        <w:rPr>
          <w:rFonts w:eastAsia="DengXian" w:cs="Times New Roman"/>
          <w:sz w:val="22"/>
        </w:rPr>
        <w:t xml:space="preserve">. </w:t>
      </w:r>
      <w:r>
        <w:rPr>
          <w:rFonts w:eastAsia="DengXian" w:cs="Times New Roman"/>
          <w:sz w:val="22"/>
        </w:rPr>
        <w:t>In this appendix,</w:t>
      </w:r>
      <w:r w:rsidRPr="00333C7B">
        <w:rPr>
          <w:rFonts w:eastAsia="DengXian" w:cs="Times New Roman"/>
          <w:sz w:val="22"/>
        </w:rPr>
        <w:t xml:space="preserve"> we consider </w:t>
      </w:r>
      <w:r w:rsidRPr="00333C7B">
        <w:rPr>
          <w:rFonts w:eastAsia="DengXian" w:cs="Times New Roman" w:hint="eastAsia"/>
          <w:sz w:val="22"/>
        </w:rPr>
        <w:t>a</w:t>
      </w:r>
      <w:r w:rsidRPr="00333C7B">
        <w:rPr>
          <w:rFonts w:eastAsia="DengXian" w:cs="Times New Roman"/>
          <w:sz w:val="22"/>
        </w:rPr>
        <w:t xml:space="preserve"> scenario in which the TPS </w:t>
      </w:r>
      <w:r>
        <w:rPr>
          <w:rFonts w:eastAsia="DengXian" w:cs="Times New Roman"/>
          <w:sz w:val="22"/>
        </w:rPr>
        <w:t>transitions</w:t>
      </w:r>
      <w:r w:rsidRPr="00333C7B">
        <w:rPr>
          <w:rFonts w:eastAsia="DengXian" w:cs="Times New Roman"/>
          <w:sz w:val="22"/>
        </w:rPr>
        <w:t xml:space="preserve"> to C&amp;T at some future time</w:t>
      </w:r>
      <w:r>
        <w:rPr>
          <w:rFonts w:eastAsia="DengXian" w:cs="Times New Roman"/>
          <w:sz w:val="22"/>
        </w:rPr>
        <w:t>,</w:t>
      </w:r>
      <w:r w:rsidRPr="00333C7B">
        <w:rPr>
          <w:rFonts w:eastAsia="DengXian" w:cs="Times New Roman"/>
          <w:sz w:val="22"/>
        </w:rPr>
        <w:t xml:space="preserve"> a transition </w:t>
      </w:r>
      <w:r>
        <w:rPr>
          <w:rFonts w:eastAsia="DengXian" w:cs="Times New Roman"/>
          <w:sz w:val="22"/>
        </w:rPr>
        <w:t>currently</w:t>
      </w:r>
      <w:r w:rsidRPr="00333C7B">
        <w:rPr>
          <w:rFonts w:eastAsia="DengXian" w:cs="Times New Roman"/>
          <w:sz w:val="22"/>
        </w:rPr>
        <w:t xml:space="preserve"> </w:t>
      </w:r>
      <w:r>
        <w:rPr>
          <w:rFonts w:eastAsia="DengXian" w:cs="Times New Roman"/>
          <w:sz w:val="22"/>
        </w:rPr>
        <w:t>under consideration</w:t>
      </w:r>
      <w:r w:rsidRPr="00333C7B">
        <w:rPr>
          <w:rFonts w:eastAsia="DengXian" w:cs="Times New Roman"/>
          <w:sz w:val="22"/>
        </w:rPr>
        <w:t xml:space="preserve"> by China’s planners.</w:t>
      </w:r>
    </w:p>
    <w:p w14:paraId="0C976632" w14:textId="77777777" w:rsidR="008F30F4" w:rsidRPr="00333C7B" w:rsidRDefault="008F30F4" w:rsidP="008F30F4">
      <w:pPr>
        <w:ind w:firstLineChars="327" w:firstLine="719"/>
        <w:rPr>
          <w:rFonts w:eastAsia="DengXian" w:cs="Times New Roman"/>
          <w:sz w:val="22"/>
        </w:rPr>
      </w:pPr>
      <w:r w:rsidRPr="00333C7B">
        <w:rPr>
          <w:rFonts w:eastAsia="DengXian" w:cs="Times New Roman"/>
          <w:sz w:val="22"/>
        </w:rPr>
        <w:t xml:space="preserve">In </w:t>
      </w:r>
      <w:r>
        <w:rPr>
          <w:rFonts w:eastAsia="DengXian" w:cs="Times New Roman"/>
          <w:sz w:val="22"/>
        </w:rPr>
        <w:t>this</w:t>
      </w:r>
      <w:r w:rsidRPr="00333C7B">
        <w:rPr>
          <w:rFonts w:eastAsia="DengXian" w:cs="Times New Roman"/>
          <w:sz w:val="22"/>
        </w:rPr>
        <w:t xml:space="preserve"> transition scenario, the system is a TPS system before 2028 and a C&amp;T system since 2028. That is, the transition is completed in one year, and there is no transition period during which the TPS and C&amp;T co-exist.</w:t>
      </w:r>
      <w:r w:rsidRPr="0088662B">
        <w:rPr>
          <w:rStyle w:val="FootnoteReference"/>
        </w:rPr>
        <w:footnoteReference w:id="10"/>
      </w:r>
      <w:r w:rsidRPr="00333C7B">
        <w:rPr>
          <w:rFonts w:eastAsia="DengXian" w:cs="Times New Roman"/>
          <w:sz w:val="22"/>
        </w:rPr>
        <w:t xml:space="preserve"> </w:t>
      </w:r>
    </w:p>
    <w:p w14:paraId="273841D1" w14:textId="77777777" w:rsidR="008F30F4" w:rsidRDefault="008F30F4" w:rsidP="008F30F4">
      <w:pPr>
        <w:ind w:firstLineChars="327" w:firstLine="719"/>
        <w:rPr>
          <w:rFonts w:eastAsia="DengXian" w:cs="Times New Roman"/>
          <w:sz w:val="22"/>
        </w:rPr>
      </w:pPr>
      <w:r w:rsidRPr="00333C7B">
        <w:rPr>
          <w:rFonts w:eastAsia="DengXian" w:cs="Times New Roman"/>
          <w:sz w:val="22"/>
        </w:rPr>
        <w:t xml:space="preserve">Figure </w:t>
      </w:r>
      <w:r>
        <w:rPr>
          <w:rFonts w:eastAsia="DengXian" w:cs="Times New Roman"/>
          <w:sz w:val="22"/>
        </w:rPr>
        <w:t>E1</w:t>
      </w:r>
      <w:r w:rsidRPr="00333C7B">
        <w:rPr>
          <w:rFonts w:eastAsia="DengXian" w:cs="Times New Roman"/>
          <w:sz w:val="22"/>
        </w:rPr>
        <w:t xml:space="preserve"> shows the cost</w:t>
      </w:r>
      <w:r>
        <w:rPr>
          <w:rFonts w:eastAsia="DengXian" w:cs="Times New Roman"/>
          <w:sz w:val="22"/>
        </w:rPr>
        <w:t>s</w:t>
      </w:r>
      <w:r w:rsidRPr="00333C7B">
        <w:rPr>
          <w:rFonts w:eastAsia="DengXian" w:cs="Times New Roman"/>
          <w:sz w:val="22"/>
        </w:rPr>
        <w:t xml:space="preserve"> of</w:t>
      </w:r>
      <w:r>
        <w:rPr>
          <w:rFonts w:eastAsia="DengXian" w:cs="Times New Roman"/>
          <w:sz w:val="22"/>
        </w:rPr>
        <w:t xml:space="preserve"> Case 1</w:t>
      </w:r>
      <w:r w:rsidRPr="00333C7B">
        <w:rPr>
          <w:rFonts w:eastAsia="DengXian" w:cs="Times New Roman"/>
          <w:sz w:val="22"/>
        </w:rPr>
        <w:t>, C&amp;T</w:t>
      </w:r>
      <w:r>
        <w:rPr>
          <w:rFonts w:eastAsia="DengXian" w:cs="Times New Roman"/>
          <w:sz w:val="22"/>
        </w:rPr>
        <w:t>,</w:t>
      </w:r>
      <w:r w:rsidRPr="00333C7B">
        <w:rPr>
          <w:rFonts w:eastAsia="DengXian" w:cs="Times New Roman"/>
          <w:sz w:val="22"/>
        </w:rPr>
        <w:t xml:space="preserve"> and the transition case. </w:t>
      </w:r>
      <w:r>
        <w:rPr>
          <w:rFonts w:eastAsia="DengXian" w:cs="Times New Roman"/>
          <w:sz w:val="22"/>
        </w:rPr>
        <w:t>T</w:t>
      </w:r>
      <w:r w:rsidRPr="00333C7B">
        <w:rPr>
          <w:rFonts w:eastAsia="DengXian" w:cs="Times New Roman"/>
          <w:sz w:val="22"/>
        </w:rPr>
        <w:t>he transition case has lower cost</w:t>
      </w:r>
      <w:r>
        <w:rPr>
          <w:rFonts w:eastAsia="DengXian" w:cs="Times New Roman"/>
          <w:sz w:val="22"/>
        </w:rPr>
        <w:t>s</w:t>
      </w:r>
      <w:r w:rsidRPr="00333C7B">
        <w:rPr>
          <w:rFonts w:eastAsia="DengXian" w:cs="Times New Roman"/>
          <w:sz w:val="22"/>
        </w:rPr>
        <w:t xml:space="preserve"> than </w:t>
      </w:r>
      <w:r>
        <w:rPr>
          <w:rFonts w:eastAsia="DengXian" w:cs="Times New Roman"/>
          <w:sz w:val="22"/>
        </w:rPr>
        <w:t>both Case 1 (TPS)</w:t>
      </w:r>
      <w:r w:rsidRPr="00333C7B">
        <w:rPr>
          <w:rFonts w:eastAsia="DengXian" w:cs="Times New Roman"/>
          <w:sz w:val="22"/>
        </w:rPr>
        <w:t xml:space="preserve"> and C&amp;T since 2028. Its economic cost is lower than the TPS because of the absence of the implicit output subsidy. Its economic cost is lower than the C&amp;T because of the differences in capital accumulation before the transition. Prior to the transition year, when the TPS system applies in the transition case, </w:t>
      </w:r>
      <w:r>
        <w:rPr>
          <w:rFonts w:eastAsia="DengXian" w:cs="Times New Roman"/>
          <w:sz w:val="22"/>
        </w:rPr>
        <w:t xml:space="preserve">the </w:t>
      </w:r>
      <w:r w:rsidRPr="00333C7B">
        <w:rPr>
          <w:rFonts w:eastAsia="DengXian" w:cs="Times New Roman"/>
          <w:sz w:val="22"/>
        </w:rPr>
        <w:t>aggregate investment is higher than in the</w:t>
      </w:r>
      <w:r>
        <w:rPr>
          <w:rFonts w:eastAsia="DengXian" w:cs="Times New Roman"/>
          <w:sz w:val="22"/>
        </w:rPr>
        <w:t xml:space="preserve"> </w:t>
      </w:r>
      <w:r w:rsidRPr="00333C7B">
        <w:rPr>
          <w:rFonts w:eastAsia="DengXian" w:cs="Times New Roman"/>
          <w:sz w:val="22"/>
        </w:rPr>
        <w:t>C&amp;T case. The higher investment reflects TPS’s implicit output subsidy, which implies lower prices of the more emission-intensive capital goods relative to the prices under C&amp;T. As a result, during and after the transition, the economy’s capital endowment</w:t>
      </w:r>
      <w:r>
        <w:rPr>
          <w:rFonts w:eastAsia="DengXian" w:cs="Times New Roman"/>
          <w:sz w:val="22"/>
        </w:rPr>
        <w:t xml:space="preserve"> in the transition case</w:t>
      </w:r>
      <w:r w:rsidRPr="00333C7B">
        <w:rPr>
          <w:rFonts w:eastAsia="DengXian" w:cs="Times New Roman"/>
          <w:sz w:val="22"/>
        </w:rPr>
        <w:t xml:space="preserve"> is higher than </w:t>
      </w:r>
      <w:r>
        <w:rPr>
          <w:rFonts w:eastAsia="DengXian" w:cs="Times New Roman"/>
          <w:sz w:val="22"/>
        </w:rPr>
        <w:t xml:space="preserve">in the </w:t>
      </w:r>
      <w:r w:rsidRPr="00333C7B">
        <w:rPr>
          <w:rFonts w:eastAsia="DengXian" w:cs="Times New Roman"/>
          <w:sz w:val="22"/>
        </w:rPr>
        <w:t>C&amp;T. The higher capital endowment implies a lower rental price of capital, which in turn implies a lower cost of CO</w:t>
      </w:r>
      <w:r w:rsidRPr="00333C7B">
        <w:rPr>
          <w:rFonts w:eastAsia="DengXian" w:cs="Times New Roman"/>
          <w:sz w:val="22"/>
          <w:vertAlign w:val="subscript"/>
        </w:rPr>
        <w:t>2</w:t>
      </w:r>
      <w:r w:rsidRPr="00333C7B">
        <w:rPr>
          <w:rFonts w:eastAsia="DengXian" w:cs="Times New Roman"/>
          <w:sz w:val="22"/>
        </w:rPr>
        <w:t xml:space="preserve"> abatement, as covered facilities can switch at a lower cost from carbon-based fuels to capital in production.</w:t>
      </w:r>
    </w:p>
    <w:p w14:paraId="3441A480" w14:textId="77777777" w:rsidR="008F30F4" w:rsidRDefault="008F30F4" w:rsidP="008F30F4">
      <w:pPr>
        <w:ind w:firstLineChars="327" w:firstLine="719"/>
        <w:rPr>
          <w:rFonts w:eastAsia="DengXian" w:cs="Times New Roman"/>
          <w:sz w:val="22"/>
        </w:rPr>
      </w:pPr>
      <w:r>
        <w:rPr>
          <w:rFonts w:eastAsia="DengXian" w:cs="Times New Roman"/>
          <w:noProof/>
          <w:sz w:val="22"/>
        </w:rPr>
        <w:lastRenderedPageBreak/>
        <w:drawing>
          <wp:anchor distT="0" distB="0" distL="114300" distR="114300" simplePos="0" relativeHeight="251679744" behindDoc="0" locked="0" layoutInCell="1" allowOverlap="1" wp14:anchorId="5DD48B4C" wp14:editId="3DF0CF41">
            <wp:simplePos x="0" y="0"/>
            <wp:positionH relativeFrom="page">
              <wp:align>center</wp:align>
            </wp:positionH>
            <wp:positionV relativeFrom="paragraph">
              <wp:posOffset>235913</wp:posOffset>
            </wp:positionV>
            <wp:extent cx="4398010" cy="3106420"/>
            <wp:effectExtent l="0" t="0" r="2540" b="0"/>
            <wp:wrapTopAndBottom/>
            <wp:docPr id="148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398010" cy="3106420"/>
                    </a:xfrm>
                    <a:prstGeom prst="rect">
                      <a:avLst/>
                    </a:prstGeom>
                    <a:noFill/>
                  </pic:spPr>
                </pic:pic>
              </a:graphicData>
            </a:graphic>
            <wp14:sizeRelH relativeFrom="page">
              <wp14:pctWidth>0</wp14:pctWidth>
            </wp14:sizeRelH>
            <wp14:sizeRelV relativeFrom="page">
              <wp14:pctHeight>0</wp14:pctHeight>
            </wp14:sizeRelV>
          </wp:anchor>
        </w:drawing>
      </w:r>
    </w:p>
    <w:p w14:paraId="55509778" w14:textId="77777777" w:rsidR="008F30F4" w:rsidRPr="00333C7B" w:rsidRDefault="008F30F4" w:rsidP="008F30F4">
      <w:pPr>
        <w:ind w:firstLineChars="327" w:firstLine="719"/>
        <w:rPr>
          <w:rFonts w:eastAsia="DengXian" w:cs="Times New Roman"/>
          <w:b/>
          <w:bCs/>
          <w:sz w:val="22"/>
        </w:rPr>
      </w:pPr>
      <w:r w:rsidRPr="00333C7B">
        <w:rPr>
          <w:rFonts w:eastAsia="DengXian" w:cs="Times New Roman"/>
          <w:b/>
          <w:bCs/>
          <w:sz w:val="22"/>
        </w:rPr>
        <w:t xml:space="preserve">Figure </w:t>
      </w:r>
      <w:r>
        <w:rPr>
          <w:rFonts w:eastAsia="DengXian" w:cs="Times New Roman"/>
          <w:b/>
          <w:bCs/>
          <w:sz w:val="22"/>
        </w:rPr>
        <w:t>E1</w:t>
      </w:r>
      <w:r w:rsidRPr="00333C7B">
        <w:rPr>
          <w:rFonts w:eastAsia="DengXian" w:cs="Times New Roman"/>
          <w:b/>
          <w:bCs/>
          <w:sz w:val="22"/>
        </w:rPr>
        <w:t>. Economic Cost under Transition to a Full C&amp;T System, 2020</w:t>
      </w:r>
      <w:r>
        <w:rPr>
          <w:rFonts w:cs="Times New Roman"/>
          <w:bCs/>
          <w:sz w:val="22"/>
          <w:szCs w:val="22"/>
        </w:rPr>
        <w:t>-</w:t>
      </w:r>
      <w:r w:rsidRPr="00333C7B">
        <w:rPr>
          <w:rFonts w:eastAsia="DengXian" w:cs="Times New Roman"/>
          <w:b/>
          <w:bCs/>
          <w:sz w:val="22"/>
        </w:rPr>
        <w:t>2035</w:t>
      </w:r>
    </w:p>
    <w:p w14:paraId="0FCFAFB0" w14:textId="77777777" w:rsidR="008F30F4" w:rsidRPr="00333C7B" w:rsidRDefault="008F30F4" w:rsidP="008F30F4">
      <w:pPr>
        <w:jc w:val="center"/>
        <w:rPr>
          <w:rFonts w:eastAsia="SimSun" w:cs="Times New Roman"/>
          <w:color w:val="000000"/>
          <w:szCs w:val="21"/>
        </w:rPr>
      </w:pPr>
    </w:p>
    <w:p w14:paraId="2D93A54A" w14:textId="77777777" w:rsidR="008F30F4" w:rsidRPr="00333C7B" w:rsidRDefault="008F30F4" w:rsidP="008F30F4">
      <w:pPr>
        <w:rPr>
          <w:rFonts w:eastAsia="DengXian" w:cs="Times New Roman"/>
          <w:color w:val="000000"/>
          <w:sz w:val="22"/>
          <w:szCs w:val="21"/>
        </w:rPr>
      </w:pPr>
      <w:r w:rsidRPr="00333C7B">
        <w:rPr>
          <w:rFonts w:eastAsia="DengXian" w:cs="Times New Roman"/>
        </w:rPr>
        <w:br w:type="page"/>
      </w:r>
    </w:p>
    <w:p w14:paraId="1438E41F" w14:textId="77777777" w:rsidR="008F30F4" w:rsidRPr="00333C7B" w:rsidRDefault="008F30F4" w:rsidP="008F30F4">
      <w:pPr>
        <w:pStyle w:val="Heading1"/>
      </w:pPr>
      <w:r w:rsidRPr="0026592C">
        <w:lastRenderedPageBreak/>
        <w:t xml:space="preserve">Appendix </w:t>
      </w:r>
      <w:r>
        <w:t>F</w:t>
      </w:r>
      <w:r w:rsidRPr="0026592C">
        <w:t xml:space="preserve">. </w:t>
      </w:r>
      <w:r>
        <w:t xml:space="preserve">Evaluation of </w:t>
      </w:r>
      <w:r w:rsidRPr="0026592C">
        <w:t>PM</w:t>
      </w:r>
      <w:r w:rsidRPr="00A17466">
        <w:rPr>
          <w:vertAlign w:val="subscript"/>
        </w:rPr>
        <w:t>2.5</w:t>
      </w:r>
      <w:r w:rsidRPr="0026592C">
        <w:t xml:space="preserve"> </w:t>
      </w:r>
      <w:r>
        <w:t>C</w:t>
      </w:r>
      <w:r w:rsidRPr="0026592C">
        <w:t xml:space="preserve">oncentrations and </w:t>
      </w:r>
      <w:r>
        <w:t>C</w:t>
      </w:r>
      <w:r w:rsidRPr="0026592C">
        <w:t xml:space="preserve">orresponding </w:t>
      </w:r>
      <w:r>
        <w:t>H</w:t>
      </w:r>
      <w:r w:rsidRPr="0026592C">
        <w:t xml:space="preserve">ealth </w:t>
      </w:r>
      <w:r>
        <w:t>C</w:t>
      </w:r>
      <w:r w:rsidRPr="0026592C">
        <w:t xml:space="preserve">o-benefits </w:t>
      </w:r>
    </w:p>
    <w:p w14:paraId="659443BD" w14:textId="77777777" w:rsidR="008F30F4" w:rsidRPr="00333C7B" w:rsidRDefault="008F30F4" w:rsidP="008F30F4">
      <w:pPr>
        <w:snapToGrid w:val="0"/>
        <w:ind w:firstLine="720"/>
        <w:contextualSpacing/>
        <w:rPr>
          <w:rFonts w:eastAsia="SimSun" w:cs="Times New Roman"/>
          <w:color w:val="000000"/>
          <w:sz w:val="22"/>
          <w:szCs w:val="20"/>
          <w:lang w:eastAsia="en-US"/>
        </w:rPr>
      </w:pPr>
      <w:r w:rsidRPr="00333C7B">
        <w:rPr>
          <w:rFonts w:eastAsia="SimSun" w:cs="Times New Roman"/>
          <w:color w:val="000000"/>
          <w:sz w:val="22"/>
          <w:szCs w:val="20"/>
        </w:rPr>
        <w:t>To</w:t>
      </w:r>
      <w:r w:rsidRPr="00333C7B">
        <w:rPr>
          <w:rFonts w:eastAsia="SimSun" w:cs="Times New Roman"/>
          <w:color w:val="000000"/>
          <w:sz w:val="22"/>
          <w:szCs w:val="20"/>
          <w:lang w:eastAsia="en-US"/>
        </w:rPr>
        <w:t xml:space="preserve"> calculate the health co-benefits from avoided pre-mature deaths, we apply an emission</w:t>
      </w:r>
      <w:r>
        <w:rPr>
          <w:rFonts w:eastAsia="SimSun" w:cs="Times New Roman"/>
          <w:color w:val="000000"/>
          <w:sz w:val="22"/>
          <w:szCs w:val="20"/>
          <w:lang w:eastAsia="en-US"/>
        </w:rPr>
        <w:t xml:space="preserve"> </w:t>
      </w:r>
      <w:r w:rsidRPr="00333C7B">
        <w:rPr>
          <w:rFonts w:eastAsia="SimSun" w:cs="Times New Roman"/>
          <w:color w:val="000000"/>
          <w:sz w:val="22"/>
          <w:szCs w:val="20"/>
          <w:lang w:eastAsia="en-US"/>
        </w:rPr>
        <w:t xml:space="preserve">inventory model </w:t>
      </w:r>
      <w:r w:rsidRPr="00333C7B">
        <w:rPr>
          <w:rFonts w:eastAsia="SimSun" w:cs="Times New Roman"/>
          <w:color w:val="000000"/>
          <w:sz w:val="22"/>
          <w:szCs w:val="20"/>
          <w:lang w:eastAsia="en-US"/>
        </w:rPr>
        <w:fldChar w:fldCharType="begin"/>
      </w:r>
      <w:r>
        <w:rPr>
          <w:rFonts w:eastAsia="SimSun" w:cs="Times New Roman"/>
          <w:color w:val="000000"/>
          <w:sz w:val="22"/>
          <w:szCs w:val="20"/>
          <w:lang w:eastAsia="en-US"/>
        </w:rPr>
        <w:instrText xml:space="preserve"> ADDIN ZOTERO_ITEM CSL_CITATION {"citationID":"McCF3ROx","properties":{"formattedCitation":"(Zheng et al., 2019)","plainCitation":"(Zheng et al., 2019)","dontUpdate":true,"noteIndex":0},"citationItems":[{"id":1314,"uris":["http://zotero.org/users/local/x9Q64Idg/items/LVQY2CNG"],"itemData":{"id":1314,"type":"article-journal","abstract":"The serious ﬁne particle (PM2.5) pollution in China causes millions of premature deaths. Driven by swift economic growth and stringent control policies, air pollutant emissions in China have changed signiﬁcantly in the last decade, but the change in the source contribution of PM2.5-related health impacts remains unclear. In this study, we develop a multi-pollutant emission inventory in China for 2005–2015, and combine chemical transport modeling, ambient/household exposure evaluation and health impact assessment to quantify the contribution of eight emission sectors to PM2.5 exposure and associated health risk. From 2005 to 2015, the mortality due to PM2.5 from ambient air pollution (AAP) decreases from 1.04 (95% conﬁdence interval, 0.84–1.25) million to 0.87 (0.70–1.04) million. The agricultural sector contributes 25% and 32% to ambient PM2.5-attributed mortality in 2005 and 2015, respectively, representing the largest contributor during this period. The contribution of power plants drops monotonously from 13% to 6%. The percentage contribution of industrial process drops signiﬁcantly while the contribution of industrial combustion stays the same level. The overall contribution of industry is still as large as 26% in 2015 in spite of strict control measures. For transportation, despite strict emission standards, its contribution increases remarkably due to the rapid growth of vehicle population. When both ambient and household PM2.5 exposures are taken into account, the mortality due to integrated populationweighted exposure to PM2.5 (IPWE) drops from 1.78 (1.46–2.09) million in 2005 to 1.28 (1.05–1.52) million in 2015. Most of the IPWE reduction comes from domestic combustion as a result of urbanization and improved income, whereas this sector remains the largest contributor (58%) to IPWE-related health risk in 2015. Our results suggest that the government should dynamically adjust the air pollution control strategy according to the change in source contributions. Domestic combustion and agriculture should be prioritized considering their predominant contributions to mortality and the lack of eﬀective control policies. More stringent control measures for industry and transportation are necessary since the existing policies have not adequately reduced their health impacts. Electricity production is no longer the top priority of air pollution control policies given its lower health impact compared with that of other sources.","container-title":"Environment International","DOI":"10.1016/j.envint.2019.105111","ISSN":"01604120","journalAbbreviation":"Environment International","language":"en","page":"105111","source":"DOI.org (Crossref)","title":"Transition in source contributions of PM2.5 exposure and associated premature mortality in China during 2005–2015","volume":"132","author":[{"family":"Zheng","given":"Haotian"},{"family":"Zhao","given":"Bin"},{"family":"Wang","given":"Shuxiao"},{"family":"Wang","given":"Tong"},{"family":"Ding","given":"Dian"},{"family":"Chang","given":"Xing"},{"family":"Liu","given":"Kaiyun"},{"family":"Xing","given":"Jia"},{"family":"Dong","given":"Zhaoxin"},{"family":"Aunan","given":"Kristin"},{"family":"Liu","given":"Tonghao"},{"family":"Wu","given":"Xiaomeng"},{"family":"Zhang","given":"Shaojun"},{"family":"Wu","given":"Ye"}],"issued":{"date-parts":[["2019",11]]}}}],"schema":"https://github.com/citation-style-language/schema/raw/master/csl-citation.json"} </w:instrText>
      </w:r>
      <w:r w:rsidRPr="00333C7B">
        <w:rPr>
          <w:rFonts w:eastAsia="SimSun" w:cs="Times New Roman"/>
          <w:color w:val="000000"/>
          <w:sz w:val="22"/>
          <w:szCs w:val="20"/>
          <w:lang w:eastAsia="en-US"/>
        </w:rPr>
        <w:fldChar w:fldCharType="separate"/>
      </w:r>
      <w:r w:rsidRPr="00D100C7">
        <w:rPr>
          <w:rFonts w:cs="Times New Roman"/>
          <w:sz w:val="22"/>
        </w:rPr>
        <w:t>(</w:t>
      </w:r>
      <w:r>
        <w:rPr>
          <w:rFonts w:cs="Times New Roman" w:hint="eastAsia"/>
          <w:sz w:val="22"/>
        </w:rPr>
        <w:t>described</w:t>
      </w:r>
      <w:r>
        <w:rPr>
          <w:rFonts w:cs="Times New Roman"/>
          <w:sz w:val="22"/>
        </w:rPr>
        <w:t xml:space="preserve"> </w:t>
      </w:r>
      <w:r>
        <w:rPr>
          <w:rFonts w:cs="Times New Roman" w:hint="eastAsia"/>
          <w:sz w:val="22"/>
        </w:rPr>
        <w:t>in</w:t>
      </w:r>
      <w:r>
        <w:rPr>
          <w:rFonts w:cs="Times New Roman"/>
          <w:sz w:val="22"/>
        </w:rPr>
        <w:t xml:space="preserve"> </w:t>
      </w:r>
      <w:r w:rsidRPr="00D100C7">
        <w:rPr>
          <w:rFonts w:cs="Times New Roman"/>
          <w:sz w:val="22"/>
        </w:rPr>
        <w:t xml:space="preserve">Zheng </w:t>
      </w:r>
      <w:r w:rsidRPr="00CB18CB">
        <w:rPr>
          <w:rFonts w:cs="Times New Roman"/>
          <w:i/>
          <w:iCs/>
          <w:sz w:val="22"/>
        </w:rPr>
        <w:t>et al.</w:t>
      </w:r>
      <w:r w:rsidRPr="00D100C7">
        <w:rPr>
          <w:rFonts w:cs="Times New Roman"/>
          <w:sz w:val="22"/>
        </w:rPr>
        <w:t xml:space="preserve"> </w:t>
      </w:r>
      <w:r>
        <w:rPr>
          <w:rFonts w:cs="Times New Roman"/>
          <w:sz w:val="22"/>
        </w:rPr>
        <w:t>(</w:t>
      </w:r>
      <w:r w:rsidRPr="00D100C7">
        <w:rPr>
          <w:rFonts w:cs="Times New Roman"/>
          <w:sz w:val="22"/>
        </w:rPr>
        <w:t>2019)</w:t>
      </w:r>
      <w:r w:rsidRPr="00333C7B">
        <w:rPr>
          <w:rFonts w:eastAsia="SimSun" w:cs="Times New Roman"/>
          <w:color w:val="000000"/>
          <w:sz w:val="22"/>
          <w:szCs w:val="20"/>
          <w:lang w:eastAsia="en-US"/>
        </w:rPr>
        <w:fldChar w:fldCharType="end"/>
      </w:r>
      <w:r>
        <w:rPr>
          <w:rFonts w:eastAsia="SimSun" w:cs="Times New Roman"/>
          <w:color w:val="000000"/>
          <w:sz w:val="22"/>
          <w:szCs w:val="20"/>
          <w:lang w:eastAsia="en-US"/>
        </w:rPr>
        <w:t>)</w:t>
      </w:r>
      <w:r w:rsidRPr="00333C7B">
        <w:rPr>
          <w:rFonts w:eastAsia="SimSun" w:cs="Times New Roman"/>
          <w:color w:val="000000"/>
          <w:sz w:val="22"/>
          <w:szCs w:val="20"/>
          <w:lang w:eastAsia="en-US"/>
        </w:rPr>
        <w:t xml:space="preserve">, an air-quality model (Polynomial function-based Response Surface Model, </w:t>
      </w:r>
      <w:r>
        <w:rPr>
          <w:rFonts w:eastAsia="SimSun" w:cs="Times New Roman"/>
          <w:color w:val="000000"/>
          <w:sz w:val="22"/>
          <w:szCs w:val="20"/>
          <w:lang w:eastAsia="en-US"/>
        </w:rPr>
        <w:t>P</w:t>
      </w:r>
      <w:r w:rsidRPr="00333C7B">
        <w:rPr>
          <w:rFonts w:eastAsia="SimSun" w:cs="Times New Roman"/>
          <w:color w:val="000000"/>
          <w:sz w:val="22"/>
          <w:szCs w:val="20"/>
          <w:lang w:eastAsia="en-US"/>
        </w:rPr>
        <w:t xml:space="preserve">f-RSM, described in </w:t>
      </w:r>
      <w:r w:rsidRPr="00333C7B">
        <w:rPr>
          <w:rFonts w:eastAsia="SimSun" w:cs="Times New Roman"/>
          <w:color w:val="000000"/>
          <w:sz w:val="22"/>
          <w:szCs w:val="20"/>
          <w:lang w:eastAsia="en-US"/>
        </w:rPr>
        <w:fldChar w:fldCharType="begin"/>
      </w:r>
      <w:r w:rsidRPr="00333C7B">
        <w:rPr>
          <w:rFonts w:eastAsia="SimSun" w:cs="Times New Roman"/>
          <w:color w:val="000000"/>
          <w:sz w:val="22"/>
          <w:szCs w:val="20"/>
          <w:lang w:eastAsia="en-US"/>
        </w:rPr>
        <w:instrText xml:space="preserve"> ADDIN ZOTERO_ITEM CSL_CITATION {"citationID":"ORIUeLLY","properties":{"formattedCitation":"(Xing et al., 2018)","plainCitation":"(Xing et al., 2018)","dontUpdate":true,"noteIndex":0},"citationItems":[{"id":191,"uris":["http://zotero.org/users/local/x9Q64Idg/items/KHK6E8S3"],"itemData":{"id":191,"type":"article-journal","abstract":"Abstract. As one common precursor for both PM2.5 and O3 pollution,\nNOx gains great attention because its controls can be beneficial for\nreducing both PM2.5 and O3. However, the effectiveness of\nNOx controls for reducing PM2.5 and O3 are largely\ninfluenced by the ambient levels of NH3 and VOC, exhibiting strong\nnonlinearities characterized as NH3-limited/NH3-poor and\nNOx-/VOC-limited conditions, respectively. Quantification of such\nnonlinearities is a prerequisite for making suitable policy decisions but\nlimitations of existing methods were recognized. In this study, a new method\nwas developed by fitting multiple simulations of a chemical transport model\n(i.e., Community Multiscale Air Quality Modeling System, CMAQ) with a set\nof polynomial functions (denoted as “pf-RSM”) to quantify responses of\nambient PM2.5 and O3 concentrations to changes in precursor\nemissions. The accuracy of the pf-RSM is carefully examined to meet the\ncriteria of a mean normalized error within 2 % and a maximal normalized\nerror within 10 % by using 40 training samples with marginal\nprocessing. An advantage of the pf-RSM method is that the nonlinearity in\nPM2.5 and O3 responses to precursor emission changes can be\ncharacterized by quantitative indicators, including (1) a peak ratio (denoted\nas PR) representing VOC-limited or NOx-limited conditions, (2) a suggested\nratio of VOC reduction to NOx reduction to avoid increasing O3 under\nVOC-limited conditions, (3) a flex ratio (denoted as FR) representing\nNH3-poor or NH3-rich conditions, and (4) enhanced benefits in\nPM2.5 reductions from simultaneous reduction of NH3 with\nthe same reduction rate of NOx. A case study in the Beijing–Tianjin–Hebei\nregion suggested that most urban areas present strong VOC-limited conditions\nwith a PR from 0.4 to 0.8 in July, implying that the NOx emission\nreduction rate needs to be greater than 20–60 % to pass the transition from\nVOC-limited to NOx-limited conditions. A simultaneous VOC control (the ratio of VOC\nreduction to NOx reduction is about 0.5–1.2) can avoid increasing\nO3 during the transition. For PM2.5, most urban areas\npresent strong NH3-rich conditions with a PR from 0.75 to 0.95, implying\nthat NH3 is sufficiently abundant to neutralize extra nitric acid\nproduced by an additional 5–35 % of NOx emissions. Enhanced\nbenefits in PM2.5 reductions from simultaneous reduction of\nNH3 were estimated to be 0.04–0.15 µg m−3\nPM2.5 per 1 % reduction of NH3 along with NOx,\nwith greater benefits in July when the NH3-rich conditions are not as\nstrong as in January. Thus, the newly developed pf-RSM model has successfully\nquantified the enhanced effectiveness of NOx control, and simultaneous\nreduction of VOC and NH3 with NOx can assure the control\neffectiveness of PM2.5 and O3.","container-title":"Atmospheric Chemistry and Physics","DOI":"10.5194/acp-18-7799-2018","ISSN":"1680-7324","issue":"11","journalAbbreviation":"Atmos. Chem. Phys.","language":"en","note":"number: 11","page":"7799-7814","source":"DOI.org (Crossref)","title":"Quantification of the enhanced effectiveness of control from simultaneous reductions of VOC and NH&amp;lt;sub&amp;gt;3&amp;lt;/sub&amp;gt; for reducing air pollution in the Beijing–Tianjin–Hebei region, China","volume":"18","author":[{"family":"Xing","given":"Jia"},{"family":"Ding","given":"Dian"},{"family":"Wang","given":"Shuxiao"},{"family":"Zhao","given":"Bin"},{"family":"Jang","given":"Carey"},{"family":"Wu","given":"Wenjing"},{"family":"Zhang","given":"Fenfen"},{"family":"Zhu","given":"Yun"},{"family":"Hao","given":"Jiming"}],"issued":{"date-parts":[["2018",6,4]]}}}],"schema":"https://github.com/citation-style-language/schema/raw/master/csl-citation.json"} </w:instrText>
      </w:r>
      <w:r w:rsidRPr="00333C7B">
        <w:rPr>
          <w:rFonts w:eastAsia="SimSun" w:cs="Times New Roman"/>
          <w:color w:val="000000"/>
          <w:sz w:val="22"/>
          <w:szCs w:val="20"/>
          <w:lang w:eastAsia="en-US"/>
        </w:rPr>
        <w:fldChar w:fldCharType="separate"/>
      </w:r>
      <w:r w:rsidRPr="00333C7B">
        <w:rPr>
          <w:rFonts w:eastAsia="SimSun" w:cs="Times New Roman"/>
          <w:color w:val="000000"/>
          <w:sz w:val="22"/>
          <w:szCs w:val="20"/>
        </w:rPr>
        <w:t xml:space="preserve">Xing </w:t>
      </w:r>
      <w:r w:rsidRPr="00333C7B">
        <w:rPr>
          <w:rFonts w:eastAsia="SimSun" w:cs="Times New Roman"/>
          <w:i/>
          <w:iCs/>
          <w:color w:val="000000"/>
          <w:sz w:val="22"/>
          <w:szCs w:val="20"/>
        </w:rPr>
        <w:t>et al.</w:t>
      </w:r>
      <w:r>
        <w:rPr>
          <w:rFonts w:eastAsia="SimSun" w:cs="Times New Roman"/>
          <w:color w:val="000000"/>
          <w:sz w:val="22"/>
          <w:szCs w:val="20"/>
        </w:rPr>
        <w:t xml:space="preserve"> (</w:t>
      </w:r>
      <w:r w:rsidRPr="00333C7B">
        <w:rPr>
          <w:rFonts w:eastAsia="SimSun" w:cs="Times New Roman"/>
          <w:color w:val="000000"/>
          <w:sz w:val="22"/>
          <w:szCs w:val="20"/>
        </w:rPr>
        <w:t>2018</w:t>
      </w:r>
      <w:r w:rsidRPr="00333C7B">
        <w:rPr>
          <w:rFonts w:eastAsia="SimSun" w:cs="Times New Roman"/>
          <w:color w:val="000000"/>
          <w:sz w:val="22"/>
          <w:szCs w:val="20"/>
          <w:lang w:eastAsia="en-US"/>
        </w:rPr>
        <w:fldChar w:fldCharType="end"/>
      </w:r>
      <w:r>
        <w:rPr>
          <w:rFonts w:eastAsia="SimSun" w:cs="Times New Roman"/>
          <w:color w:val="000000"/>
          <w:sz w:val="22"/>
          <w:szCs w:val="20"/>
          <w:lang w:eastAsia="en-US"/>
        </w:rPr>
        <w:t>)</w:t>
      </w:r>
      <w:r w:rsidRPr="00333C7B">
        <w:rPr>
          <w:rFonts w:eastAsia="SimSun" w:cs="Times New Roman" w:hint="eastAsia"/>
          <w:color w:val="000000"/>
          <w:sz w:val="22"/>
          <w:szCs w:val="20"/>
        </w:rPr>
        <w:t>)</w:t>
      </w:r>
      <w:r w:rsidRPr="00333C7B">
        <w:rPr>
          <w:rFonts w:eastAsia="SimSun" w:cs="Times New Roman"/>
          <w:color w:val="000000"/>
          <w:sz w:val="22"/>
          <w:szCs w:val="20"/>
          <w:lang w:eastAsia="en-US"/>
        </w:rPr>
        <w:t xml:space="preserve">, and the Global Exposure Mortality Model (GEMM) developed by </w:t>
      </w:r>
      <w:r w:rsidRPr="00333C7B">
        <w:rPr>
          <w:rFonts w:eastAsia="SimSun" w:cs="Times New Roman"/>
          <w:color w:val="000000"/>
          <w:sz w:val="22"/>
          <w:szCs w:val="20"/>
          <w:lang w:eastAsia="en-US"/>
        </w:rPr>
        <w:fldChar w:fldCharType="begin"/>
      </w:r>
      <w:r w:rsidRPr="00333C7B">
        <w:rPr>
          <w:rFonts w:eastAsia="SimSun" w:cs="Times New Roman"/>
          <w:color w:val="000000"/>
          <w:sz w:val="22"/>
          <w:szCs w:val="20"/>
          <w:lang w:eastAsia="en-US"/>
        </w:rPr>
        <w:instrText xml:space="preserve"> ADDIN ZOTERO_ITEM CSL_CITATION {"citationID":"ZmJfibLT","properties":{"formattedCitation":"(Burnett et al., 2018)","plainCitation":"(Burnett et al., 2018)","dontUpdate":true,"noteIndex":0},"citationItems":[{"id":914,"uris":["http://zotero.org/users/local/x9Q64Idg/items/9UFUELNX"],"itemData":{"id":914,"type":"article-journal","abstract":"Exposure to ambient fine particulate matter (PM\n              2.5\n              ) is a major global health concern. Quantitative estimates of attributable mortality are based on disease-specific hazard ratio models that incorporate risk information from multiple PM\n              2.5\n              sources (outdoor and indoor air pollution from use of solid fuels and secondhand and active smoking), requiring assumptions about equivalent exposure and toxicity. We relax these contentious assumptions by constructing a PM\n              2.5\n              -mortality hazard ratio function based only on cohort studies of outdoor air pollution that covers the global exposure range. We modeled the shape of the association between PM\n              2.5\n              and nonaccidental mortality using data from 41 cohorts from 16 countries—the Global Exposure Mortality Model (GEMM). We then constructed GEMMs for five specific causes of death examined by the global burden of disease (GBD). The GEMM predicts 8.9 million [95% confidence interval (CI): 7.5–10.3] deaths in 2015, a figure 30% larger than that predicted by the sum of deaths among the five specific causes (6.9; 95% CI: 4.9–8.5) and 120% larger than the risk function used in the GBD (4.0; 95% CI: 3.3–4.8). Differences between the GEMM and GBD risk functions are larger for a 20% reduction in concentrations, with the GEMM predicting 220% higher excess deaths. These results suggest that PM\n              2.5\n              exposure may be related to additional causes of death than the five considered by the GBD and that incorporation of risk information from other, nonoutdoor, particle sources leads to underestimation of disease burden, especially at higher concentrations.","container-title":"Proceedings of the National Academy of Sciences","DOI":"10.1073/pnas.1803222115","ISSN":"0027-8424, 1091-6490","issue":"38","journalAbbreviation":"Proc. Natl. Acad. Sci. U.S.A.","language":"en","page":"9592-9597","source":"DOI.org (Crossref)","title":"Global estimates of mortality associated with long-term exposure to outdoor fine particulate matter","volume":"115","author":[{"family":"Burnett","given":"Richard"},{"family":"Chen","given":"Hong"},{"family":"Szyszkowicz","given":"Mieczysław"},{"family":"Fann","given":"Neal"},{"family":"Hubbell","given":"Bryan"},{"family":"Pope","given":"C. Arden"},{"family":"Apte","given":"Joshua S."},{"family":"Brauer","given":"Michael"},{"family":"Cohen","given":"Aaron"},{"family":"Weichenthal","given":"Scott"},{"family":"Coggins","given":"Jay"},{"family":"Di","given":"Qian"},{"family":"Brunekreef","given":"Bert"},{"family":"Frostad","given":"Joseph"},{"family":"Lim","given":"Stephen S."},{"family":"Kan","given":"Haidong"},{"family":"Walker","given":"Katherine D."},{"family":"Thurston","given":"George D."},{"family":"Hayes","given":"Richard B."},{"family":"Lim","given":"Chris C."},{"family":"Turner","given":"Michelle C."},{"family":"Jerrett","given":"Michael"},{"family":"Krewski","given":"Daniel"},{"family":"Gapstur","given":"Susan M."},{"family":"Diver","given":"W. Ryan"},{"family":"Ostro","given":"Bart"},{"family":"Goldberg","given":"Debbie"},{"family":"Crouse","given":"Daniel L."},{"family":"Martin","given":"Randall V."},{"family":"Peters","given":"Paul"},{"family":"Pinault","given":"Lauren"},{"family":"Tjepkema","given":"Michael"},{"family":"Donkelaar","given":"Aaron","non-dropping-particle":"van"},{"family":"Villeneuve","given":"Paul J."},{"family":"Miller","given":"Anthony B."},{"family":"Yin","given":"Peng"},{"family":"Zhou","given":"Maigeng"},{"family":"Wang","given":"Lijun"},{"family":"Janssen","given":"Nicole A. H."},{"family":"Marra","given":"Marten"},{"family":"Atkinson","given":"Richard W."},{"family":"Tsang","given":"Hilda"},{"family":"Quoc Thach","given":"Thuan"},{"family":"Cannon","given":"John B."},{"family":"Allen","given":"Ryan T."},{"family":"Hart","given":"Jaime E."},{"family":"Laden","given":"Francine"},{"family":"Cesaroni","given":"Giulia"},{"family":"Forastiere","given":"Francesco"},{"family":"Weinmayr","given":"Gudrun"},{"family":"Jaensch","given":"Andrea"},{"family":"Nagel","given":"Gabriele"},{"family":"Concin","given":"Hans"},{"family":"Spadaro","given":"Joseph V."}],"issued":{"date-parts":[["2018",9,18]]}}}],"schema":"https://github.com/citation-style-language/schema/raw/master/csl-citation.json"} </w:instrText>
      </w:r>
      <w:r w:rsidRPr="00333C7B">
        <w:rPr>
          <w:rFonts w:eastAsia="SimSun" w:cs="Times New Roman"/>
          <w:color w:val="000000"/>
          <w:sz w:val="22"/>
          <w:szCs w:val="20"/>
          <w:lang w:eastAsia="en-US"/>
        </w:rPr>
        <w:fldChar w:fldCharType="separate"/>
      </w:r>
      <w:r w:rsidRPr="00333C7B">
        <w:rPr>
          <w:rFonts w:eastAsia="SimSun" w:cs="Times New Roman"/>
          <w:color w:val="000000"/>
          <w:sz w:val="22"/>
          <w:szCs w:val="20"/>
        </w:rPr>
        <w:t xml:space="preserve">Burnett </w:t>
      </w:r>
      <w:r w:rsidRPr="00333C7B">
        <w:rPr>
          <w:rFonts w:eastAsia="SimSun" w:cs="Times New Roman"/>
          <w:i/>
          <w:iCs/>
          <w:color w:val="000000"/>
          <w:sz w:val="22"/>
          <w:szCs w:val="20"/>
        </w:rPr>
        <w:t>et al.</w:t>
      </w:r>
      <w:r w:rsidRPr="00333C7B">
        <w:rPr>
          <w:rFonts w:eastAsia="SimSun" w:cs="Times New Roman"/>
          <w:color w:val="000000"/>
          <w:sz w:val="22"/>
          <w:szCs w:val="20"/>
        </w:rPr>
        <w:t xml:space="preserve"> (2018)</w:t>
      </w:r>
      <w:r w:rsidRPr="00333C7B">
        <w:rPr>
          <w:rFonts w:eastAsia="SimSun" w:cs="Times New Roman"/>
          <w:color w:val="000000"/>
          <w:sz w:val="22"/>
          <w:szCs w:val="20"/>
          <w:lang w:eastAsia="en-US"/>
        </w:rPr>
        <w:fldChar w:fldCharType="end"/>
      </w:r>
      <w:r w:rsidRPr="00333C7B">
        <w:rPr>
          <w:rFonts w:eastAsia="SimSun" w:cs="Times New Roman"/>
          <w:color w:val="000000"/>
          <w:sz w:val="22"/>
          <w:szCs w:val="20"/>
          <w:lang w:eastAsia="en-US"/>
        </w:rPr>
        <w:t xml:space="preserve"> to calculate PM</w:t>
      </w:r>
      <w:r w:rsidRPr="00333C7B">
        <w:rPr>
          <w:rFonts w:eastAsia="SimSun" w:cs="Times New Roman"/>
          <w:color w:val="000000"/>
          <w:sz w:val="22"/>
          <w:szCs w:val="20"/>
          <w:vertAlign w:val="subscript"/>
          <w:lang w:eastAsia="en-US"/>
        </w:rPr>
        <w:t>2.5</w:t>
      </w:r>
      <w:r w:rsidRPr="00333C7B">
        <w:rPr>
          <w:rFonts w:eastAsia="SimSun" w:cs="Times New Roman"/>
          <w:color w:val="000000"/>
          <w:sz w:val="22"/>
          <w:szCs w:val="20"/>
          <w:lang w:eastAsia="en-US"/>
        </w:rPr>
        <w:t xml:space="preserve">-related pre-mature mortalities </w:t>
      </w:r>
      <w:r w:rsidRPr="00333C7B">
        <w:rPr>
          <w:rFonts w:eastAsia="SimSun" w:cs="Times New Roman"/>
          <w:color w:val="000000"/>
          <w:sz w:val="22"/>
          <w:szCs w:val="20"/>
        </w:rPr>
        <w:t>under</w:t>
      </w:r>
      <w:r w:rsidRPr="00333C7B">
        <w:rPr>
          <w:rFonts w:eastAsia="SimSun" w:cs="Times New Roman"/>
          <w:color w:val="000000"/>
          <w:sz w:val="22"/>
          <w:szCs w:val="20"/>
          <w:lang w:eastAsia="en-US"/>
        </w:rPr>
        <w:t xml:space="preserve"> </w:t>
      </w:r>
      <w:r w:rsidRPr="00333C7B">
        <w:rPr>
          <w:rFonts w:eastAsia="SimSun" w:cs="Times New Roman"/>
          <w:color w:val="000000"/>
          <w:sz w:val="22"/>
          <w:szCs w:val="20"/>
        </w:rPr>
        <w:t>the baseline and the TPS.</w:t>
      </w:r>
      <w:r w:rsidRPr="00333C7B">
        <w:rPr>
          <w:rFonts w:eastAsia="SimSun" w:cs="Times New Roman"/>
          <w:color w:val="000000"/>
          <w:sz w:val="22"/>
          <w:szCs w:val="20"/>
          <w:lang w:eastAsia="en-US"/>
        </w:rPr>
        <w:t xml:space="preserve"> </w:t>
      </w:r>
    </w:p>
    <w:p w14:paraId="03F798A2" w14:textId="77777777" w:rsidR="008F30F4" w:rsidRPr="00333C7B" w:rsidRDefault="008F30F4" w:rsidP="008F30F4">
      <w:pPr>
        <w:snapToGrid w:val="0"/>
        <w:ind w:firstLine="720"/>
        <w:contextualSpacing/>
        <w:rPr>
          <w:rFonts w:eastAsia="SimSun" w:cs="Times New Roman"/>
          <w:color w:val="000000"/>
          <w:sz w:val="22"/>
          <w:szCs w:val="20"/>
          <w:lang w:eastAsia="en-US"/>
        </w:rPr>
      </w:pPr>
      <w:r w:rsidRPr="00333C7B">
        <w:rPr>
          <w:rFonts w:eastAsia="SimSun" w:cs="Times New Roman"/>
          <w:color w:val="000000"/>
          <w:sz w:val="22"/>
          <w:szCs w:val="20"/>
          <w:lang w:eastAsia="en-US"/>
        </w:rPr>
        <w:t>The emissions inventory model is the Air Benefit and Cost and Attainment Assessment System – Emission Inventory (ABaCAS-EI) model, which was jointly developed by the School of Environment at Tsinghua</w:t>
      </w:r>
      <w:r>
        <w:rPr>
          <w:rFonts w:eastAsia="SimSun" w:cs="Times New Roman"/>
          <w:color w:val="000000"/>
          <w:sz w:val="22"/>
          <w:szCs w:val="20"/>
          <w:lang w:eastAsia="en-US"/>
        </w:rPr>
        <w:t xml:space="preserve"> University</w:t>
      </w:r>
      <w:r w:rsidRPr="00333C7B">
        <w:rPr>
          <w:rFonts w:eastAsia="SimSun" w:cs="Times New Roman"/>
          <w:color w:val="000000"/>
          <w:sz w:val="22"/>
          <w:szCs w:val="20"/>
          <w:lang w:eastAsia="en-US"/>
        </w:rPr>
        <w:t>, the Southern China University of Technology, and the University of Tennessee. It is widely used in China’s air quality research. It covers six major categories of anthropogenic emissions sources, each of which is further divided top-down into industry-level, fuel-level, and technology-level subsectors.</w:t>
      </w:r>
    </w:p>
    <w:p w14:paraId="4CA732B4" w14:textId="77777777" w:rsidR="008F30F4" w:rsidRPr="00333C7B" w:rsidRDefault="008F30F4" w:rsidP="008F30F4">
      <w:pPr>
        <w:snapToGrid w:val="0"/>
        <w:ind w:firstLineChars="327" w:firstLine="719"/>
        <w:contextualSpacing/>
        <w:rPr>
          <w:rFonts w:eastAsia="SimSun" w:cs="Times New Roman"/>
          <w:color w:val="000000"/>
          <w:sz w:val="22"/>
          <w:szCs w:val="20"/>
          <w:lang w:eastAsia="en-US"/>
        </w:rPr>
      </w:pPr>
      <w:r w:rsidRPr="00333C7B">
        <w:rPr>
          <w:rFonts w:eastAsia="SimSun" w:cs="Times New Roman"/>
          <w:color w:val="000000"/>
          <w:sz w:val="22"/>
          <w:szCs w:val="20"/>
          <w:lang w:eastAsia="en-US"/>
        </w:rPr>
        <w:t xml:space="preserve">The air quality model is the Polynomial function-based Response Surface Model (Pf-RSM), which was developed by the School of Environment at Tsinghua. </w:t>
      </w:r>
      <w:r>
        <w:rPr>
          <w:rFonts w:eastAsia="SimSun" w:cs="Times New Roman"/>
          <w:color w:val="000000"/>
          <w:sz w:val="22"/>
          <w:szCs w:val="20"/>
          <w:lang w:eastAsia="en-US"/>
        </w:rPr>
        <w:t>P</w:t>
      </w:r>
      <w:r w:rsidRPr="00333C7B">
        <w:rPr>
          <w:rFonts w:eastAsia="SimSun" w:cs="Times New Roman"/>
          <w:color w:val="000000"/>
          <w:sz w:val="22"/>
          <w:szCs w:val="20"/>
          <w:lang w:eastAsia="en-US"/>
        </w:rPr>
        <w:t>f-RSM combines mathematical and statistical methods and performs stable emissions concentration-response simulation.</w:t>
      </w:r>
    </w:p>
    <w:p w14:paraId="4550F18A" w14:textId="77777777" w:rsidR="008F30F4" w:rsidRPr="00F41111" w:rsidRDefault="008F30F4" w:rsidP="008F30F4">
      <w:pPr>
        <w:snapToGrid w:val="0"/>
        <w:ind w:firstLine="720"/>
        <w:contextualSpacing/>
        <w:rPr>
          <w:rFonts w:eastAsia="SimSun" w:cs="Times New Roman"/>
          <w:color w:val="000000"/>
          <w:sz w:val="22"/>
          <w:szCs w:val="22"/>
          <w:lang w:eastAsia="en-US"/>
        </w:rPr>
      </w:pPr>
      <w:r w:rsidRPr="00F41111">
        <w:rPr>
          <w:rFonts w:eastAsia="SimSun" w:cs="Times New Roman"/>
          <w:color w:val="000000"/>
          <w:sz w:val="22"/>
          <w:szCs w:val="22"/>
          <w:lang w:eastAsia="en-US"/>
        </w:rPr>
        <w:t xml:space="preserve">To link the dynamic general equilibrium model to the air quality model, we first run the general equilibrium model to obtain results for sectoral fuel consumption and sectoral outputs. These results are then multiplied by the </w:t>
      </w:r>
      <w:r w:rsidRPr="006D416B">
        <w:rPr>
          <w:rFonts w:eastAsia="SimSun" w:cs="Times New Roman"/>
          <w:color w:val="000000"/>
          <w:sz w:val="22"/>
          <w:szCs w:val="22"/>
          <w:lang w:eastAsia="en-US"/>
        </w:rPr>
        <w:t>energy emission factors in the ABaCAS-EI emissions inventory to yield sectoral pollutant emissions at the provincial level.</w:t>
      </w:r>
      <w:r w:rsidRPr="00A17466">
        <w:rPr>
          <w:rStyle w:val="FootnoteReference"/>
          <w:sz w:val="22"/>
          <w:szCs w:val="22"/>
        </w:rPr>
        <w:footnoteReference w:id="11"/>
      </w:r>
      <w:r w:rsidRPr="00F41111">
        <w:rPr>
          <w:rFonts w:eastAsia="SimSun" w:cs="Times New Roman"/>
          <w:color w:val="000000"/>
          <w:sz w:val="22"/>
          <w:szCs w:val="22"/>
          <w:lang w:eastAsia="en-US"/>
        </w:rPr>
        <w:t xml:space="preserve"> The air pollutants we consider include SO</w:t>
      </w:r>
      <w:r w:rsidRPr="00F41111">
        <w:rPr>
          <w:rFonts w:eastAsia="SimSun" w:cs="Times New Roman"/>
          <w:color w:val="000000"/>
          <w:sz w:val="22"/>
          <w:szCs w:val="22"/>
          <w:vertAlign w:val="subscript"/>
          <w:lang w:eastAsia="en-US"/>
        </w:rPr>
        <w:t>2</w:t>
      </w:r>
      <w:r w:rsidRPr="00F41111">
        <w:rPr>
          <w:rFonts w:eastAsia="SimSun" w:cs="Times New Roman"/>
          <w:color w:val="000000"/>
          <w:sz w:val="22"/>
          <w:szCs w:val="22"/>
          <w:lang w:eastAsia="en-US"/>
        </w:rPr>
        <w:t>, NOx, NH</w:t>
      </w:r>
      <w:r w:rsidRPr="00F41111">
        <w:rPr>
          <w:rFonts w:eastAsia="SimSun" w:cs="Times New Roman"/>
          <w:color w:val="000000"/>
          <w:sz w:val="22"/>
          <w:szCs w:val="22"/>
          <w:vertAlign w:val="subscript"/>
          <w:lang w:eastAsia="en-US"/>
        </w:rPr>
        <w:t>3</w:t>
      </w:r>
      <w:r w:rsidRPr="00F41111">
        <w:rPr>
          <w:rFonts w:eastAsia="SimSun" w:cs="Times New Roman"/>
          <w:color w:val="000000"/>
          <w:sz w:val="22"/>
          <w:szCs w:val="22"/>
          <w:lang w:eastAsia="en-US"/>
        </w:rPr>
        <w:t xml:space="preserve">, non-methane volatile organic compounds (NMVOCs), and primary </w:t>
      </w:r>
      <w:r w:rsidRPr="009452A9">
        <w:rPr>
          <w:rFonts w:eastAsia="SimSun" w:cs="Times New Roman"/>
          <w:color w:val="000000"/>
          <w:sz w:val="22"/>
          <w:szCs w:val="22"/>
          <w:lang w:eastAsia="en-US"/>
        </w:rPr>
        <w:t>particulate matter (</w:t>
      </w:r>
      <w:r w:rsidRPr="0096493C">
        <w:rPr>
          <w:rFonts w:eastAsia="SimSun" w:cs="Times New Roman"/>
          <w:color w:val="000000"/>
          <w:sz w:val="22"/>
          <w:szCs w:val="22"/>
          <w:lang w:eastAsia="en-US"/>
        </w:rPr>
        <w:t>PM</w:t>
      </w:r>
      <w:r w:rsidRPr="006D416B">
        <w:rPr>
          <w:rFonts w:eastAsia="SimSun" w:cs="Times New Roman"/>
          <w:color w:val="000000"/>
          <w:sz w:val="22"/>
          <w:szCs w:val="22"/>
          <w:lang w:eastAsia="en-US"/>
        </w:rPr>
        <w:t xml:space="preserve">). Then, the provincial sectoral emissions are employed as inputs to the RSM model. Using these inputs, the RSM model simulates the local air pollution concentrations for each </w:t>
      </w:r>
      <w:r w:rsidRPr="00902E37">
        <w:rPr>
          <w:rFonts w:eastAsia="SimSun" w:cs="Times New Roman"/>
          <w:color w:val="000000"/>
          <w:sz w:val="22"/>
          <w:szCs w:val="22"/>
          <w:lang w:eastAsia="en-US"/>
        </w:rPr>
        <w:t xml:space="preserve">province for each year. </w:t>
      </w:r>
      <w:r w:rsidRPr="00A17466">
        <w:rPr>
          <w:rFonts w:eastAsia="SimSun" w:cs="Times New Roman"/>
          <w:color w:val="000000"/>
          <w:sz w:val="22"/>
          <w:szCs w:val="22"/>
          <w:lang w:eastAsia="en-US"/>
        </w:rPr>
        <w:t>We focus on changes in provincial PM</w:t>
      </w:r>
      <w:r w:rsidRPr="00A17466">
        <w:rPr>
          <w:rFonts w:eastAsia="SimSun" w:cs="Times New Roman"/>
          <w:color w:val="000000"/>
          <w:sz w:val="22"/>
          <w:szCs w:val="22"/>
          <w:vertAlign w:val="subscript"/>
          <w:lang w:eastAsia="en-US"/>
        </w:rPr>
        <w:t xml:space="preserve">2.5 </w:t>
      </w:r>
      <w:r w:rsidRPr="00A17466">
        <w:rPr>
          <w:rFonts w:eastAsia="SimSun" w:cs="Times New Roman"/>
          <w:color w:val="000000"/>
          <w:sz w:val="22"/>
          <w:szCs w:val="22"/>
          <w:lang w:eastAsia="en-US"/>
        </w:rPr>
        <w:t>concentration</w:t>
      </w:r>
      <w:r w:rsidRPr="00A17466">
        <w:rPr>
          <w:rFonts w:eastAsia="SimSun" w:cs="Times New Roman"/>
          <w:color w:val="000000"/>
          <w:sz w:val="22"/>
          <w:szCs w:val="22"/>
        </w:rPr>
        <w:t xml:space="preserve"> because </w:t>
      </w:r>
      <w:r w:rsidRPr="00A17466">
        <w:rPr>
          <w:sz w:val="22"/>
          <w:szCs w:val="22"/>
        </w:rPr>
        <w:t>studies suggest that PM</w:t>
      </w:r>
      <w:r w:rsidRPr="00A17466">
        <w:rPr>
          <w:sz w:val="22"/>
          <w:szCs w:val="22"/>
          <w:vertAlign w:val="subscript"/>
        </w:rPr>
        <w:t>2.5</w:t>
      </w:r>
      <w:r w:rsidRPr="00A17466">
        <w:rPr>
          <w:sz w:val="22"/>
          <w:szCs w:val="22"/>
        </w:rPr>
        <w:t xml:space="preserve"> is responsible, and will continue to be responsible for a large fraction of premature mortality from air pollution in the next several decades </w:t>
      </w:r>
      <w:r w:rsidRPr="00A17466">
        <w:rPr>
          <w:sz w:val="22"/>
          <w:szCs w:val="22"/>
        </w:rPr>
        <w:fldChar w:fldCharType="begin"/>
      </w:r>
      <w:r w:rsidRPr="00A17466">
        <w:rPr>
          <w:sz w:val="22"/>
          <w:szCs w:val="22"/>
        </w:rPr>
        <w:instrText xml:space="preserve"> ADDIN ZOTERO_ITEM CSL_CITATION {"citationID":"S35iGd3E","properties":{"formattedCitation":"(Y. Wang et al., 2021)","plainCitation":"(Y. Wang et al., 2021)","noteIndex":38},"citationItems":[{"id":"5561u5JT/GZdpUiDw","uris":["http://zotero.org/users/7551265/items/TSERID4A"],"itemData":{"id":1202,"type":"article-journal","abstract":"Quantifying the future health burden attributed to fine particulate matter (PM2.5) and ozone (O3) in China is challenging when jointly accounting for emissions, climate, and population changes. Future health burdens caused by PM2.5 and O3 in China remain largely understudied. In this study, the Goddard Earth Observing System chemical transport model (GEOS-Chem) was used to calculate the PM2.5 and O3 concentrations from 2010 to 2050 under four Representative Concentration Pathway (RCP) scenarios, including RCP2.6, RCP4.5, RCP6.0, and RCP8.5. Then the PM2.5 and O3-related premature mortality and years of life lost (YLL) in this period were projected. The resulting economic burdens, such as medical expenses (ME) and value of statistical life (VSL) in 2010–2050 attributed to the burdens of disease on PM2.5 and O3, were estimated. The results show that the PM2.5 concentrations by 2050 will change by -31.5% to 14.5% compared to those in 2010 among different RCP sce­ narios, resulting in -13.5% to 9.4% changes in the PM2.5-related mortality and -25.7% to 0.6% changes in the YLL. For O3, the concentration changes will vary from -13.3% to 3.7% by 2050, contributing to -26.9% to 13.1% changes in the O3-related mortality and -48.8% to 4.0% changes in the YLL. The lowest health impacts occur in the RCP4.5 scenario by 2050 for both pollutants. In 2010, the ME caused by PM2.5 and O3 is $6.3–6.5 billion, and the VSL is $112.1–114.9 billion, accounting for 2.9–3.0% of the total GDP ($3874 billion). By 2050, the ME and VSL will change -19.7% - 17.5% and -65.5% - 136.6%, respectively. This study suggested that future PM2.5 and O3 under RCP4.5 and RCP2.6 scenarios can have significant health and economic benefits. However, given that the future population will be higher than the baseline in 2010, more aggressive air pollution mitigation measures are required for China.","container-title":"Resources, Conservation and Recycling","DOI":"10.1016/j.resconrec.2021.105731","ISSN":"09213449","journalAbbreviation":"Resources, Conservation and Recycling","language":"en","page":"105731","source":"DOI.org (Crossref)","title":"Health Burden and economic impacts attributed to PM2.5 and O3 in china from 2010 to 2050 under different representative concentration pathway scenarios","volume":"173","author":[{"family":"Wang","given":"Yiyi"},{"family":"Hu","given":"Jianlin"},{"family":"Zhu","given":"Jia"},{"family":"Li","given":"Jingyi"},{"family":"Qin","given":"Momei"},{"family":"Liao","given":"Hong"},{"family":"Chen","given":"Kai"},{"family":"Wang","given":"Meng"}],"issued":{"date-parts":[["2021",10]]}},"label":"page"}],"schema":"https://github.com/citation-style-language/schema/raw/master/csl-citation.json"} </w:instrText>
      </w:r>
      <w:r w:rsidRPr="00A17466">
        <w:rPr>
          <w:sz w:val="22"/>
          <w:szCs w:val="22"/>
        </w:rPr>
        <w:fldChar w:fldCharType="separate"/>
      </w:r>
      <w:r w:rsidRPr="00A17466">
        <w:rPr>
          <w:rFonts w:cs="Times New Roman"/>
          <w:sz w:val="22"/>
          <w:szCs w:val="22"/>
        </w:rPr>
        <w:t>(</w:t>
      </w:r>
      <w:r w:rsidRPr="00A17466">
        <w:rPr>
          <w:rFonts w:eastAsia="SimSun" w:cs="Times New Roman"/>
          <w:sz w:val="22"/>
          <w:szCs w:val="22"/>
          <w:lang w:eastAsia="en-US"/>
        </w:rPr>
        <w:fldChar w:fldCharType="begin"/>
      </w:r>
      <w:r w:rsidRPr="00A17466">
        <w:rPr>
          <w:rFonts w:eastAsia="SimSun" w:cs="Times New Roman"/>
          <w:sz w:val="22"/>
          <w:szCs w:val="22"/>
          <w:lang w:eastAsia="en-US"/>
        </w:rPr>
        <w:instrText xml:space="preserve"> ADDIN ZOTERO_ITEM CSL_CITATION {"citationID":"97ltueaA","properties":{"formattedCitation":"(Burnett et al., 2018)","plainCitation":"(Burnett et al., 2018)","dontUpdate":true,"noteIndex":0},"citationItems":[{"id":914,"uris":["http://zotero.org/users/local/x9Q64Idg/items/9UFUELNX"],"itemData":{"id":914,"type":"article-journal","abstract":"Exposure to ambient fine particulate matter (PM\n              2.5\n              ) is a major global health concern. Quantitative estimates of attributable mortality are based on disease-specific hazard ratio models that incorporate risk information from multiple PM\n              2.5\n              sources (outdoor and indoor air pollution from use of solid fuels and secondhand and active smoking), requiring assumptions about equivalent exposure and toxicity. We relax these contentious assumptions by constructing a PM\n              2.5\n              -mortality hazard ratio function based only on cohort studies of outdoor air pollution that covers the global exposure range. We modeled the shape of the association between PM\n              2.5\n              and nonaccidental mortality using data from 41 cohorts from 16 countries—the Global Exposure Mortality Model (GEMM). We then constructed GEMMs for five specific causes of death examined by the global burden of disease (GBD). The GEMM predicts 8.9 million [95% confidence interval (CI): 7.5–10.3] deaths in 2015, a figure 30% larger than that predicted by the sum of deaths among the five specific causes (6.9; 95% CI: 4.9–8.5) and 120% larger than the risk function used in the GBD (4.0; 95% CI: 3.3–4.8). Differences between the GEMM and GBD risk functions are larger for a 20% reduction in concentrations, with the GEMM predicting 220% higher excess deaths. These results suggest that PM\n              2.5\n              exposure may be related to additional causes of death than the five considered by the GBD and that incorporation of risk information from other, nonoutdoor, particle sources leads to underestimation of disease burden, especially at higher concentrations.","container-title":"Proceedings of the National Academy of Sciences","DOI":"10.1073/pnas.1803222115","ISSN":"0027-8424, 1091-6490","issue":"38","journalAbbreviation":"Proc. Natl. Acad. Sci. U.S.A.","language":"en","page":"9592-9597","source":"DOI.org (Crossref)","title":"Global estimates of mortality associated with long-term exposure to outdoor fine particulate matter","volume":"115","author":[{"family":"Burnett","given":"Richard"},{"family":"Chen","given":"Hong"},{"family":"Szyszkowicz","given":"Mieczysław"},{"family":"Fann","given":"Neal"},{"family":"Hubbell","given":"Bryan"},{"family":"Pope","given":"C. Arden"},{"family":"Apte","given":"Joshua S."},{"family":"Brauer","given":"Michael"},{"family":"Cohen","given":"Aaron"},{"family":"Weichenthal","given":"Scott"},{"family":"Coggins","given":"Jay"},{"family":"Di","given":"Qian"},{"family":"Brunekreef","given":"Bert"},{"family":"Frostad","given":"Joseph"},{"family":"Lim","given":"Stephen S."},{"family":"Kan","given":"Haidong"},{"family":"Walker","given":"Katherine D."},{"family":"Thurston","given":"George D."},{"family":"Hayes","given":"Richard B."},{"family":"Lim","given":"Chris C."},{"family":"Turner","given":"Michelle C."},{"family":"Jerrett","given":"Michael"},{"family":"Krewski","given":"Daniel"},{"family":"Gapstur","given":"Susan M."},{"family":"Diver","given":"W. Ryan"},{"family":"Ostro","given":"Bart"},{"family":"Goldberg","given":"Debbie"},{"family":"Crouse","given":"Daniel L."},{"family":"Martin","given":"Randall V."},{"family":"Peters","given":"Paul"},{"family":"Pinault","given":"Lauren"},{"family":"Tjepkema","given":"Michael"},{"family":"Donkelaar","given":"Aaron","non-dropping-particle":"van"},{"family":"Villeneuve","given":"Paul J."},{"family":"Miller","given":"Anthony B."},{"family":"Yin","given":"Peng"},{"family":"Zhou","given":"Maigeng"},{"family":"Wang","given":"Lijun"},{"family":"Janssen","given":"Nicole A. H."},{"family":"Marra","given":"Marten"},{"family":"Atkinson","given":"Richard W."},{"family":"Tsang","given":"Hilda"},{"family":"Quoc Thach","given":"Thuan"},{"family":"Cannon","given":"John B."},{"family":"Allen","given":"Ryan T."},{"family":"Hart","given":"Jaime E."},{"family":"Laden","given":"Francine"},{"family":"Cesaroni","given":"Giulia"},{"family":"Forastiere","given":"Francesco"},{"family":"Weinmayr","given":"Gudrun"},{"family":"Jaensch","given":"Andrea"},{"family":"Nagel","given":"Gabriele"},{"family":"Concin","given":"Hans"},{"family":"Spadaro","given":"Joseph V."}],"issued":{"date-parts":[["2018",9,18]]}}}],"schema":"https://github.com/citation-style-language/schema/raw/master/csl-citation.json"} </w:instrText>
      </w:r>
      <w:r w:rsidRPr="00A17466">
        <w:rPr>
          <w:rFonts w:eastAsia="SimSun" w:cs="Times New Roman"/>
          <w:sz w:val="22"/>
          <w:szCs w:val="22"/>
          <w:lang w:eastAsia="en-US"/>
        </w:rPr>
        <w:fldChar w:fldCharType="separate"/>
      </w:r>
      <w:r w:rsidRPr="00A17466">
        <w:rPr>
          <w:rFonts w:cs="Times New Roman"/>
          <w:sz w:val="22"/>
          <w:szCs w:val="22"/>
        </w:rPr>
        <w:t xml:space="preserve">Burnett </w:t>
      </w:r>
      <w:r w:rsidRPr="00A17466">
        <w:rPr>
          <w:rFonts w:cs="Times New Roman"/>
          <w:i/>
          <w:iCs/>
          <w:sz w:val="22"/>
          <w:szCs w:val="22"/>
        </w:rPr>
        <w:t>et al.</w:t>
      </w:r>
      <w:r w:rsidRPr="00A17466">
        <w:rPr>
          <w:rFonts w:cs="Times New Roman"/>
          <w:sz w:val="22"/>
          <w:szCs w:val="22"/>
        </w:rPr>
        <w:t>, 2018</w:t>
      </w:r>
      <w:r w:rsidRPr="00A17466">
        <w:rPr>
          <w:rFonts w:eastAsia="SimSun" w:cs="Times New Roman"/>
          <w:sz w:val="22"/>
          <w:szCs w:val="22"/>
          <w:lang w:eastAsia="en-US"/>
        </w:rPr>
        <w:fldChar w:fldCharType="end"/>
      </w:r>
      <w:r w:rsidRPr="00A17466">
        <w:rPr>
          <w:rFonts w:eastAsia="SimSun" w:cs="Times New Roman"/>
          <w:sz w:val="22"/>
          <w:szCs w:val="22"/>
          <w:lang w:eastAsia="en-US"/>
        </w:rPr>
        <w:t xml:space="preserve">; Zhou </w:t>
      </w:r>
      <w:r w:rsidRPr="00A17466">
        <w:rPr>
          <w:rFonts w:eastAsia="SimSun" w:cs="Times New Roman"/>
          <w:i/>
          <w:iCs/>
          <w:sz w:val="22"/>
          <w:szCs w:val="22"/>
          <w:lang w:eastAsia="en-US"/>
        </w:rPr>
        <w:t>et al.</w:t>
      </w:r>
      <w:r w:rsidRPr="00A17466">
        <w:rPr>
          <w:rFonts w:eastAsia="SimSun" w:cs="Times New Roman"/>
          <w:sz w:val="22"/>
          <w:szCs w:val="22"/>
          <w:lang w:eastAsia="en-US"/>
        </w:rPr>
        <w:t xml:space="preserve">, 2019; </w:t>
      </w:r>
      <w:r w:rsidRPr="00A17466">
        <w:rPr>
          <w:rFonts w:cs="Times New Roman"/>
          <w:sz w:val="22"/>
          <w:szCs w:val="22"/>
        </w:rPr>
        <w:t xml:space="preserve">Wang </w:t>
      </w:r>
      <w:r w:rsidRPr="00A17466">
        <w:rPr>
          <w:rFonts w:cs="Times New Roman"/>
          <w:i/>
          <w:iCs/>
          <w:sz w:val="22"/>
          <w:szCs w:val="22"/>
        </w:rPr>
        <w:t>et al.,</w:t>
      </w:r>
      <w:r w:rsidRPr="00A17466">
        <w:rPr>
          <w:rFonts w:cs="Times New Roman"/>
          <w:sz w:val="22"/>
          <w:szCs w:val="22"/>
        </w:rPr>
        <w:t xml:space="preserve"> 2021)</w:t>
      </w:r>
      <w:r w:rsidRPr="00A17466">
        <w:rPr>
          <w:sz w:val="22"/>
          <w:szCs w:val="22"/>
        </w:rPr>
        <w:fldChar w:fldCharType="end"/>
      </w:r>
      <w:r w:rsidRPr="00A17466">
        <w:rPr>
          <w:sz w:val="22"/>
          <w:szCs w:val="22"/>
        </w:rPr>
        <w:t xml:space="preserve">. </w:t>
      </w:r>
      <w:r w:rsidRPr="00542B40">
        <w:rPr>
          <w:rFonts w:eastAsia="SimSun" w:cs="Times New Roman"/>
          <w:color w:val="000000"/>
          <w:sz w:val="22"/>
          <w:szCs w:val="22"/>
          <w:lang w:eastAsia="en-US"/>
        </w:rPr>
        <w:t>F</w:t>
      </w:r>
      <w:r w:rsidRPr="00902E37">
        <w:rPr>
          <w:rFonts w:eastAsia="SimSun" w:cs="Times New Roman"/>
          <w:color w:val="000000"/>
          <w:sz w:val="22"/>
          <w:szCs w:val="22"/>
          <w:lang w:eastAsia="en-US"/>
        </w:rPr>
        <w:t xml:space="preserve">igure </w:t>
      </w:r>
      <w:r>
        <w:rPr>
          <w:rFonts w:eastAsia="SimSun" w:cs="Times New Roman"/>
          <w:color w:val="000000"/>
          <w:sz w:val="22"/>
          <w:szCs w:val="22"/>
          <w:lang w:eastAsia="en-US"/>
        </w:rPr>
        <w:t>F1</w:t>
      </w:r>
      <w:r w:rsidRPr="00902E37">
        <w:rPr>
          <w:rFonts w:eastAsia="SimSun" w:cs="Times New Roman"/>
          <w:color w:val="000000"/>
          <w:sz w:val="22"/>
          <w:szCs w:val="22"/>
          <w:lang w:eastAsia="en-US"/>
        </w:rPr>
        <w:t xml:space="preserve"> represent</w:t>
      </w:r>
      <w:r w:rsidRPr="00A17466">
        <w:rPr>
          <w:rFonts w:eastAsia="SimSun" w:cs="Times New Roman"/>
          <w:color w:val="000000"/>
          <w:sz w:val="22"/>
          <w:szCs w:val="22"/>
          <w:lang w:eastAsia="en-US"/>
        </w:rPr>
        <w:t>s</w:t>
      </w:r>
      <w:r w:rsidRPr="00902E37">
        <w:rPr>
          <w:rFonts w:eastAsia="SimSun" w:cs="Times New Roman"/>
          <w:color w:val="000000"/>
          <w:sz w:val="22"/>
          <w:szCs w:val="22"/>
          <w:lang w:eastAsia="en-US"/>
        </w:rPr>
        <w:t xml:space="preserve"> the results for the year 2035. </w:t>
      </w:r>
      <w:r w:rsidRPr="00A17466">
        <w:rPr>
          <w:rFonts w:eastAsia="SimSun" w:cs="Times New Roman"/>
          <w:color w:val="000000"/>
          <w:sz w:val="22"/>
          <w:szCs w:val="22"/>
        </w:rPr>
        <w:t xml:space="preserve">Similar </w:t>
      </w:r>
      <w:r w:rsidRPr="00902E37">
        <w:rPr>
          <w:rFonts w:eastAsia="SimSun" w:cs="Times New Roman"/>
          <w:color w:val="000000"/>
          <w:sz w:val="22"/>
          <w:szCs w:val="22"/>
          <w:lang w:eastAsia="en-US"/>
        </w:rPr>
        <w:t>patterns can be observed for other years, with the only difference being the magnitude</w:t>
      </w:r>
      <w:r w:rsidRPr="00A17466">
        <w:rPr>
          <w:rFonts w:eastAsia="SimSun" w:cs="Times New Roman"/>
          <w:color w:val="000000"/>
          <w:sz w:val="22"/>
          <w:szCs w:val="22"/>
          <w:lang w:eastAsia="en-US"/>
        </w:rPr>
        <w:t>s</w:t>
      </w:r>
      <w:r w:rsidRPr="00902E37">
        <w:rPr>
          <w:rFonts w:eastAsia="SimSun" w:cs="Times New Roman"/>
          <w:color w:val="000000"/>
          <w:sz w:val="22"/>
          <w:szCs w:val="22"/>
          <w:lang w:eastAsia="en-US"/>
        </w:rPr>
        <w:t>.</w:t>
      </w:r>
    </w:p>
    <w:p w14:paraId="4D4F2648" w14:textId="77777777" w:rsidR="008F30F4" w:rsidRPr="00122D1F" w:rsidRDefault="008F30F4" w:rsidP="008F30F4">
      <w:pPr>
        <w:snapToGrid w:val="0"/>
        <w:ind w:firstLine="0"/>
        <w:contextualSpacing/>
        <w:rPr>
          <w:rFonts w:eastAsia="SimSun" w:cs="Times New Roman"/>
          <w:color w:val="000000"/>
          <w:sz w:val="22"/>
          <w:szCs w:val="20"/>
          <w:lang w:eastAsia="en-US"/>
        </w:rPr>
      </w:pPr>
      <w:r>
        <w:rPr>
          <w:rFonts w:eastAsia="SimSun" w:cs="Times New Roman"/>
          <w:noProof/>
          <w:color w:val="000000"/>
          <w:sz w:val="22"/>
          <w:szCs w:val="20"/>
          <w:lang w:eastAsia="en-US"/>
        </w:rPr>
        <w:lastRenderedPageBreak/>
        <w:drawing>
          <wp:anchor distT="0" distB="0" distL="114300" distR="114300" simplePos="0" relativeHeight="251684864" behindDoc="0" locked="0" layoutInCell="1" allowOverlap="1" wp14:anchorId="5A4BD8FD" wp14:editId="2AD03CBA">
            <wp:simplePos x="0" y="0"/>
            <wp:positionH relativeFrom="column">
              <wp:posOffset>118745</wp:posOffset>
            </wp:positionH>
            <wp:positionV relativeFrom="paragraph">
              <wp:posOffset>344268</wp:posOffset>
            </wp:positionV>
            <wp:extent cx="5632450" cy="5253990"/>
            <wp:effectExtent l="0" t="0" r="6350" b="3810"/>
            <wp:wrapTopAndBottom/>
            <wp:docPr id="1489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376"/>
                    <a:stretch>
                      <a:fillRect/>
                    </a:stretch>
                  </pic:blipFill>
                  <pic:spPr>
                    <a:xfrm>
                      <a:off x="0" y="0"/>
                      <a:ext cx="5632450" cy="5253990"/>
                    </a:xfrm>
                    <a:prstGeom prst="rect">
                      <a:avLst/>
                    </a:prstGeom>
                  </pic:spPr>
                </pic:pic>
              </a:graphicData>
            </a:graphic>
            <wp14:sizeRelH relativeFrom="margin">
              <wp14:pctWidth>0</wp14:pctWidth>
            </wp14:sizeRelH>
            <wp14:sizeRelV relativeFrom="margin">
              <wp14:pctHeight>0</wp14:pctHeight>
            </wp14:sizeRelV>
          </wp:anchor>
        </w:drawing>
      </w:r>
    </w:p>
    <w:p w14:paraId="707C6841" w14:textId="77777777" w:rsidR="008F30F4" w:rsidRPr="00333C7B" w:rsidRDefault="008F30F4" w:rsidP="008F30F4">
      <w:pPr>
        <w:adjustRightInd w:val="0"/>
        <w:snapToGrid w:val="0"/>
        <w:spacing w:before="0" w:line="240" w:lineRule="auto"/>
        <w:ind w:firstLine="0"/>
        <w:contextualSpacing/>
        <w:jc w:val="center"/>
        <w:rPr>
          <w:rFonts w:eastAsia="SimSun" w:cs="Times New Roman"/>
          <w:b/>
          <w:bCs/>
          <w:color w:val="000000"/>
          <w:sz w:val="22"/>
          <w:szCs w:val="20"/>
        </w:rPr>
      </w:pPr>
      <w:r w:rsidRPr="00333C7B">
        <w:rPr>
          <w:rFonts w:eastAsia="SimSun" w:cs="Times New Roman"/>
          <w:b/>
          <w:bCs/>
          <w:color w:val="000000"/>
          <w:sz w:val="22"/>
          <w:szCs w:val="20"/>
        </w:rPr>
        <w:t xml:space="preserve">Figure </w:t>
      </w:r>
      <w:r>
        <w:rPr>
          <w:rFonts w:eastAsia="SimSun" w:cs="Times New Roman"/>
          <w:b/>
          <w:bCs/>
          <w:color w:val="000000"/>
          <w:sz w:val="22"/>
          <w:szCs w:val="20"/>
        </w:rPr>
        <w:t>F1</w:t>
      </w:r>
      <w:r w:rsidRPr="00333C7B">
        <w:rPr>
          <w:rFonts w:eastAsia="SimSun" w:cs="Times New Roman"/>
          <w:b/>
          <w:bCs/>
          <w:color w:val="000000"/>
          <w:sz w:val="22"/>
          <w:szCs w:val="20"/>
        </w:rPr>
        <w:t>. Change</w:t>
      </w:r>
      <w:r>
        <w:rPr>
          <w:rFonts w:eastAsia="SimSun" w:cs="Times New Roman"/>
          <w:b/>
          <w:bCs/>
          <w:color w:val="000000"/>
          <w:sz w:val="22"/>
          <w:szCs w:val="20"/>
        </w:rPr>
        <w:t>s</w:t>
      </w:r>
      <w:r w:rsidRPr="00333C7B">
        <w:rPr>
          <w:rFonts w:eastAsia="SimSun" w:cs="Times New Roman"/>
          <w:b/>
          <w:bCs/>
          <w:color w:val="000000"/>
          <w:sz w:val="22"/>
          <w:szCs w:val="20"/>
        </w:rPr>
        <w:t xml:space="preserve"> in PM</w:t>
      </w:r>
      <w:r w:rsidRPr="00333C7B">
        <w:rPr>
          <w:rFonts w:eastAsia="SimSun" w:cs="Times New Roman"/>
          <w:b/>
          <w:bCs/>
          <w:color w:val="000000"/>
          <w:sz w:val="22"/>
          <w:szCs w:val="20"/>
          <w:vertAlign w:val="subscript"/>
        </w:rPr>
        <w:t>2.5</w:t>
      </w:r>
      <w:r w:rsidRPr="00A17466">
        <w:rPr>
          <w:rFonts w:eastAsia="SimSun" w:cs="Times New Roman"/>
          <w:b/>
          <w:bCs/>
          <w:color w:val="000000"/>
          <w:sz w:val="22"/>
          <w:szCs w:val="20"/>
        </w:rPr>
        <w:t xml:space="preserve"> </w:t>
      </w:r>
      <w:r>
        <w:rPr>
          <w:rFonts w:eastAsia="SimSun" w:cs="Times New Roman"/>
          <w:b/>
          <w:bCs/>
          <w:color w:val="000000"/>
          <w:sz w:val="22"/>
          <w:szCs w:val="20"/>
        </w:rPr>
        <w:t>C</w:t>
      </w:r>
      <w:r w:rsidRPr="00333C7B">
        <w:rPr>
          <w:rFonts w:eastAsia="SimSun" w:cs="Times New Roman"/>
          <w:b/>
          <w:bCs/>
          <w:color w:val="000000"/>
          <w:sz w:val="22"/>
          <w:szCs w:val="20"/>
        </w:rPr>
        <w:t>oncentration</w:t>
      </w:r>
      <w:r>
        <w:rPr>
          <w:rFonts w:eastAsia="SimSun" w:cs="Times New Roman"/>
          <w:b/>
          <w:bCs/>
          <w:color w:val="000000"/>
          <w:sz w:val="22"/>
          <w:szCs w:val="20"/>
        </w:rPr>
        <w:t>s</w:t>
      </w:r>
      <w:r w:rsidRPr="00333C7B">
        <w:rPr>
          <w:rFonts w:eastAsia="SimSun" w:cs="Times New Roman"/>
          <w:b/>
          <w:bCs/>
          <w:color w:val="000000"/>
          <w:sz w:val="22"/>
          <w:szCs w:val="20"/>
        </w:rPr>
        <w:t xml:space="preserve"> under </w:t>
      </w:r>
      <w:r>
        <w:rPr>
          <w:rFonts w:eastAsia="SimSun" w:cs="Times New Roman"/>
          <w:b/>
          <w:bCs/>
          <w:color w:val="000000"/>
          <w:sz w:val="22"/>
          <w:szCs w:val="20"/>
        </w:rPr>
        <w:t xml:space="preserve">the </w:t>
      </w:r>
      <w:r w:rsidRPr="00333C7B">
        <w:rPr>
          <w:rFonts w:eastAsia="SimSun" w:cs="Times New Roman"/>
          <w:b/>
          <w:bCs/>
          <w:color w:val="000000"/>
          <w:sz w:val="22"/>
          <w:szCs w:val="20"/>
        </w:rPr>
        <w:t xml:space="preserve">TPS </w:t>
      </w:r>
      <w:r>
        <w:rPr>
          <w:rFonts w:eastAsia="SimSun" w:cs="Times New Roman"/>
          <w:b/>
          <w:bCs/>
          <w:color w:val="000000"/>
          <w:sz w:val="22"/>
          <w:szCs w:val="20"/>
        </w:rPr>
        <w:t>R</w:t>
      </w:r>
      <w:r w:rsidRPr="00333C7B">
        <w:rPr>
          <w:rFonts w:eastAsia="SimSun" w:cs="Times New Roman"/>
          <w:b/>
          <w:bCs/>
          <w:color w:val="000000"/>
          <w:sz w:val="22"/>
          <w:szCs w:val="20"/>
        </w:rPr>
        <w:t xml:space="preserve">elative to the </w:t>
      </w:r>
      <w:r>
        <w:rPr>
          <w:rFonts w:eastAsia="SimSun" w:cs="Times New Roman"/>
          <w:b/>
          <w:bCs/>
          <w:color w:val="000000"/>
          <w:sz w:val="22"/>
          <w:szCs w:val="20"/>
        </w:rPr>
        <w:t>B</w:t>
      </w:r>
      <w:r w:rsidRPr="00333C7B">
        <w:rPr>
          <w:rFonts w:eastAsia="SimSun" w:cs="Times New Roman"/>
          <w:b/>
          <w:bCs/>
          <w:color w:val="000000"/>
          <w:sz w:val="22"/>
          <w:szCs w:val="20"/>
        </w:rPr>
        <w:t>aseline, 2035</w:t>
      </w:r>
    </w:p>
    <w:p w14:paraId="6FB8661E" w14:textId="77777777" w:rsidR="008F30F4" w:rsidRPr="0075651D" w:rsidRDefault="008F30F4" w:rsidP="008F30F4">
      <w:pPr>
        <w:ind w:firstLine="0"/>
        <w:rPr>
          <w:rFonts w:eastAsia="SimSun" w:cs="Times New Roman"/>
          <w:color w:val="000000"/>
          <w:sz w:val="18"/>
          <w:szCs w:val="18"/>
        </w:rPr>
      </w:pPr>
      <w:r w:rsidRPr="0075651D">
        <w:rPr>
          <w:rFonts w:eastAsia="SimSun" w:cs="Times New Roman"/>
          <w:i/>
          <w:iCs/>
          <w:color w:val="000000"/>
          <w:sz w:val="21"/>
          <w:szCs w:val="18"/>
        </w:rPr>
        <w:t>Note</w:t>
      </w:r>
      <w:r w:rsidRPr="00BE02C5">
        <w:rPr>
          <w:rFonts w:eastAsia="SimSun" w:cs="Times New Roman"/>
          <w:color w:val="000000"/>
          <w:sz w:val="21"/>
          <w:szCs w:val="18"/>
        </w:rPr>
        <w:t xml:space="preserve">: </w:t>
      </w:r>
      <w:r w:rsidRPr="0075651D">
        <w:rPr>
          <w:rFonts w:eastAsia="SimSun" w:cs="Times New Roman"/>
          <w:color w:val="000000"/>
          <w:sz w:val="18"/>
          <w:szCs w:val="18"/>
        </w:rPr>
        <w:t xml:space="preserve">The abbreviations for provinces are AH-Anhui, BJ-Beijing, CQ-Chongqing, FJ-Fujian, GS-Gansu, GD-Guangdong, GX-Guangxi, GZ-Guizhou, HI-Hainan, HE-Hebei, HL-Heilongjiang, HA-Henan, HB-Hubei, HN-Hunan, JS-Jiangsu, JX-Jiangxi, JL-Jilin, LN-Liaoning, NM-Inner Mongolia, NX-Ningxia, QH-Qinghai, SN-Shaanxi, SD-Shandong, SH-Shanghai, SX-Shanxi, SC-Sichuan, TJ-Tianjin, XJ-Xinjiang, XZ-Tibet, YN-Yunnan, ZJ-Zhejiang. Results for </w:t>
      </w:r>
      <w:r w:rsidRPr="0075651D">
        <w:rPr>
          <w:rFonts w:eastAsia="DengXian" w:cs="Times New Roman"/>
          <w:sz w:val="18"/>
          <w:szCs w:val="18"/>
        </w:rPr>
        <w:t xml:space="preserve">Hong Kong, Macao, and Taiwan are not included in this figure due to data limitations in their emissions inventories. </w:t>
      </w:r>
    </w:p>
    <w:p w14:paraId="10328B4E" w14:textId="77777777" w:rsidR="008F30F4" w:rsidRPr="004556FC" w:rsidRDefault="008F30F4" w:rsidP="008F30F4">
      <w:pPr>
        <w:ind w:firstLine="0"/>
        <w:rPr>
          <w:rFonts w:eastAsia="SimSun" w:cs="Times New Roman"/>
          <w:color w:val="000000"/>
          <w:sz w:val="22"/>
          <w:szCs w:val="20"/>
        </w:rPr>
      </w:pPr>
    </w:p>
    <w:p w14:paraId="7E16F34B" w14:textId="77777777" w:rsidR="008F30F4" w:rsidRDefault="008F30F4" w:rsidP="008F30F4">
      <w:pPr>
        <w:ind w:firstLineChars="327" w:firstLine="719"/>
        <w:contextualSpacing/>
      </w:pPr>
      <w:r w:rsidRPr="00333C7B">
        <w:rPr>
          <w:rFonts w:eastAsia="SimSun" w:cs="Times New Roman"/>
          <w:color w:val="000000"/>
          <w:sz w:val="22"/>
          <w:szCs w:val="22"/>
          <w:lang w:eastAsia="en-US"/>
        </w:rPr>
        <w:t>We calculate the health-related benefits</w:t>
      </w:r>
      <w:r>
        <w:rPr>
          <w:rFonts w:eastAsia="SimSun" w:cs="Times New Roman"/>
          <w:color w:val="000000"/>
          <w:sz w:val="22"/>
          <w:szCs w:val="22"/>
          <w:lang w:eastAsia="en-US"/>
        </w:rPr>
        <w:t xml:space="preserve"> </w:t>
      </w:r>
      <w:r>
        <w:rPr>
          <w:rFonts w:eastAsia="SimSun" w:cs="Times New Roman" w:hint="eastAsia"/>
          <w:color w:val="000000"/>
          <w:sz w:val="22"/>
          <w:szCs w:val="22"/>
        </w:rPr>
        <w:t>from</w:t>
      </w:r>
      <w:r>
        <w:rPr>
          <w:rFonts w:eastAsia="SimSun" w:cs="Times New Roman"/>
          <w:color w:val="000000"/>
          <w:sz w:val="22"/>
          <w:szCs w:val="22"/>
        </w:rPr>
        <w:t xml:space="preserve"> reduced air pollution concentrations as follows.  First, we apply</w:t>
      </w:r>
      <w:r>
        <w:rPr>
          <w:rFonts w:eastAsia="SimSun" w:cs="Times New Roman"/>
          <w:color w:val="000000"/>
          <w:sz w:val="22"/>
          <w:szCs w:val="22"/>
          <w:lang w:eastAsia="en-US"/>
        </w:rPr>
        <w:t xml:space="preserve"> the</w:t>
      </w:r>
      <w:r w:rsidRPr="00333C7B">
        <w:rPr>
          <w:rFonts w:eastAsia="SimSun" w:cs="Times New Roman"/>
          <w:color w:val="000000"/>
          <w:sz w:val="22"/>
          <w:szCs w:val="22"/>
          <w:lang w:eastAsia="en-US"/>
        </w:rPr>
        <w:t xml:space="preserve"> GEMM NCD+LRI method </w:t>
      </w:r>
      <w:r w:rsidRPr="00333C7B">
        <w:rPr>
          <w:rFonts w:eastAsia="SimSun" w:cs="Times New Roman"/>
          <w:color w:val="000000"/>
          <w:sz w:val="22"/>
          <w:szCs w:val="22"/>
          <w:lang w:eastAsia="en-US"/>
        </w:rPr>
        <w:fldChar w:fldCharType="begin"/>
      </w:r>
      <w:r>
        <w:rPr>
          <w:rFonts w:eastAsia="SimSun" w:cs="Times New Roman"/>
          <w:color w:val="000000"/>
          <w:sz w:val="22"/>
          <w:szCs w:val="22"/>
          <w:lang w:eastAsia="en-US"/>
        </w:rPr>
        <w:instrText xml:space="preserve"> ADDIN ZOTERO_ITEM CSL_CITATION {"citationID":"hRzPEZXf","properties":{"formattedCitation":"(R. Burnett et al., 2018b)","plainCitation":"(R. Burnett et al., 2018b)","dontUpdate":true,"noteIndex":0},"citationItems":[{"id":"VlUszWYZ/lDvMHdKr","uris":["http://zotero.org/users/7551265/items/THNXZANW"],"itemData":{"id":1178,"type":"article-journal","abstract":"Exposure to ambient fine particulate matter (PM\n              2.5\n              ) is a major global health concern. Quantitative estimates of attributable mortality are based on disease-specific hazard ratio models that incorporate risk information from multiple PM\n              2.5\n              sources (outdoor and indoor air pollution from use of solid fuels and secondhand and active smoking), requiring assumptions about equivalent exposure and toxicity. We relax these contentious assumptions by constructing a PM\n              2.5\n              -mortality hazard ratio function based only on cohort studies of outdoor air pollution that covers the global exposure range. We modeled the shape of the association between PM\n              2.5\n              and nonaccidental mortality using data from 41 cohorts from 16 countries—the Global Exposure Mortality Model (GEMM). We then constructed GEMMs for five specific causes of death examined by the global burden of disease (GBD). The GEMM predicts 8.9 million [95% confidence interval (CI): 7.5–10.3] deaths in 2015, a figure 30% larger than that predicted by the sum of deaths among the five specific causes (6.9; 95% CI: 4.9–8.5) and 120% larger than the risk function used in the GBD (4.0; 95% CI: 3.3–4.8). Differences between the GEMM and GBD risk functions are larger for a 20% reduction in concentrations, with the GEMM predicting 220% higher excess deaths. These results suggest that PM\n              2.5\n              exposure may be related to additional causes of death than the five considered by the GBD and that incorporation of risk information from other, nonoutdoor, particle sources leads to underestimation of disease burden, especially at higher concentrations.","container-title":"Proceedings of the National Academy of Sciences","DOI":"10.1073/pnas.1803222115","ISSN":"0027-8424, 1091-6490","issue":"38","journalAbbreviation":"Proc. Natl. Acad. Sci. U.S.A.","language":"en","page":"9592-9597","source":"DOI.org (Crossref)","title":"Global estimates of mortality associated with long-term exposure to outdoor fine particulate matter","volume":"115","author":[{"family":"Burnett","given":"Richard"},{"family":"Chen","given":"Hong"},{"family":"Szyszkowicz","given":"Mieczysław"},{"family":"Fann","given":"Neal"},{"family":"Hubbell","given":"Bryan"},{"family":"Pope","given":"C. Arden"},{"family":"Apte","given":"Joshua S."},{"family":"Brauer","given":"Michael"},{"family":"Cohen","given":"Aaron"},{"family":"Weichenthal","given":"Scott"},{"family":"Coggins","given":"Jay"},{"family":"Di","given":"Qian"},{"family":"Brunekreef","given":"Bert"},{"family":"Frostad","given":"Joseph"},{"family":"Lim","given":"Stephen S."},{"family":"Kan","given":"Haidong"},{"family":"Walker","given":"Katherine D."},{"family":"Thurston","given":"George D."},{"family":"Hayes","given":"Richard B."},{"family":"Lim","given":"Chris C."},{"family":"Turner","given":"Michelle C."},{"family":"Jerrett","given":"Michael"},{"family":"Krewski","given":"Daniel"},{"family":"Gapstur","given":"Susan M."},{"family":"Diver","given":"W. Ryan"},{"family":"Ostro","given":"Bart"},{"family":"Goldberg","given":"Debbie"},{"family":"Crouse","given":"Daniel L."},{"family":"Martin","given":"Randall V."},{"family":"Peters","given":"Paul"},{"family":"Pinault","given":"Lauren"},{"family":"Tjepkema","given":"Michael"},{"family":"Donkelaar","given":"Aaron","non-dropping-particle":"van"},{"family":"Villeneuve","given":"Paul J."},{"family":"Miller","given":"Anthony B."},{"family":"Yin","given":"Peng"},{"family":"Zhou","given":"Maigeng"},{"family":"Wang","given":"Lijun"},{"family":"Janssen","given":"Nicole A. H."},{"family":"Marra","given":"Marten"},{"family":"Atkinson","given":"Richard W."},{"family":"Tsang","given":"Hilda"},{"family":"Quoc Thach","given":"Thuan"},{"family":"Cannon","given":"John B."},{"family":"Allen","given":"Ryan T."},{"family":"Hart","given":"Jaime E."},{"family":"Laden","given":"Francine"},{"family":"Cesaroni","given":"Giulia"},{"family":"Forastiere","given":"Francesco"},{"family":"Weinmayr","given":"Gudrun"},{"family":"Jaensch","given":"Andrea"},{"family":"Nagel","given":"Gabriele"},{"family":"Concin","given":"Hans"},{"family":"Spadaro","given":"Joseph V."}],"issued":{"date-parts":[["2018",9,18]]}}}],"schema":"https://github.com/citation-style-language/schema/raw/master/csl-citation.json"} </w:instrText>
      </w:r>
      <w:r w:rsidRPr="00333C7B">
        <w:rPr>
          <w:rFonts w:eastAsia="SimSun" w:cs="Times New Roman"/>
          <w:color w:val="000000"/>
          <w:sz w:val="22"/>
          <w:szCs w:val="22"/>
          <w:lang w:eastAsia="en-US"/>
        </w:rPr>
        <w:fldChar w:fldCharType="separate"/>
      </w:r>
      <w:r w:rsidRPr="00333C7B">
        <w:rPr>
          <w:rFonts w:eastAsia="SimSun" w:cs="Times New Roman"/>
          <w:color w:val="000000"/>
          <w:sz w:val="22"/>
          <w:szCs w:val="22"/>
        </w:rPr>
        <w:t xml:space="preserve">(Burnett </w:t>
      </w:r>
      <w:r w:rsidRPr="00333C7B">
        <w:rPr>
          <w:rFonts w:eastAsia="SimSun" w:cs="Times New Roman"/>
          <w:i/>
          <w:iCs/>
          <w:color w:val="000000"/>
          <w:sz w:val="22"/>
          <w:szCs w:val="22"/>
        </w:rPr>
        <w:t>et al.</w:t>
      </w:r>
      <w:r w:rsidRPr="00333C7B">
        <w:rPr>
          <w:rFonts w:eastAsia="SimSun" w:cs="Times New Roman"/>
          <w:color w:val="000000"/>
          <w:sz w:val="22"/>
          <w:szCs w:val="22"/>
        </w:rPr>
        <w:t>, 2018)</w:t>
      </w:r>
      <w:r w:rsidRPr="00333C7B">
        <w:rPr>
          <w:rFonts w:eastAsia="SimSun" w:cs="Times New Roman"/>
          <w:color w:val="000000"/>
          <w:sz w:val="22"/>
          <w:szCs w:val="22"/>
          <w:lang w:eastAsia="en-US"/>
        </w:rPr>
        <w:fldChar w:fldCharType="end"/>
      </w:r>
      <w:r w:rsidRPr="00333C7B">
        <w:rPr>
          <w:rFonts w:eastAsia="SimSun" w:cs="Times New Roman"/>
          <w:color w:val="000000"/>
          <w:sz w:val="22"/>
          <w:szCs w:val="22"/>
          <w:lang w:eastAsia="en-US"/>
        </w:rPr>
        <w:t xml:space="preserve"> to estimate avoided pre-mature death related to reductions in chronic exposure to outdoor fine particulate matter (PM</w:t>
      </w:r>
      <w:r w:rsidRPr="00333C7B">
        <w:rPr>
          <w:rFonts w:eastAsia="SimSun" w:cs="Times New Roman"/>
          <w:color w:val="000000"/>
          <w:sz w:val="22"/>
          <w:szCs w:val="22"/>
          <w:vertAlign w:val="subscript"/>
          <w:lang w:eastAsia="en-US"/>
        </w:rPr>
        <w:t>2.5</w:t>
      </w:r>
      <w:r w:rsidRPr="00333C7B">
        <w:rPr>
          <w:rFonts w:eastAsia="SimSun" w:cs="Times New Roman"/>
          <w:color w:val="000000"/>
          <w:sz w:val="22"/>
          <w:szCs w:val="22"/>
          <w:lang w:eastAsia="en-US"/>
        </w:rPr>
        <w:t xml:space="preserve">) under different scenarios. The GEMM NCD+LRI </w:t>
      </w:r>
      <w:r>
        <w:rPr>
          <w:rFonts w:eastAsia="SimSun" w:cs="Times New Roman"/>
          <w:color w:val="000000"/>
          <w:sz w:val="22"/>
          <w:szCs w:val="22"/>
          <w:lang w:eastAsia="en-US"/>
        </w:rPr>
        <w:t xml:space="preserve">adopts the following equation to </w:t>
      </w:r>
      <w:r w:rsidRPr="00333C7B">
        <w:rPr>
          <w:rFonts w:eastAsia="SimSun" w:cs="Times New Roman"/>
          <w:color w:val="000000"/>
          <w:sz w:val="22"/>
          <w:szCs w:val="22"/>
          <w:lang w:eastAsia="en-US"/>
        </w:rPr>
        <w:t>quantif</w:t>
      </w:r>
      <w:r>
        <w:rPr>
          <w:rFonts w:eastAsia="SimSun" w:cs="Times New Roman"/>
          <w:color w:val="000000"/>
          <w:sz w:val="22"/>
          <w:szCs w:val="22"/>
          <w:lang w:eastAsia="en-US"/>
        </w:rPr>
        <w:t>y</w:t>
      </w:r>
      <w:r w:rsidRPr="00333C7B">
        <w:rPr>
          <w:rFonts w:eastAsia="SimSun" w:cs="Times New Roman"/>
          <w:color w:val="000000"/>
          <w:sz w:val="22"/>
          <w:szCs w:val="22"/>
          <w:lang w:eastAsia="en-US"/>
        </w:rPr>
        <w:t xml:space="preserve"> the relationship between the hazard ratio (</w:t>
      </w:r>
      <m:oMath>
        <m:r>
          <w:rPr>
            <w:rFonts w:ascii="Cambria Math" w:eastAsia="SimSun" w:hAnsi="Cambria Math" w:cs="Times New Roman"/>
            <w:color w:val="000000"/>
            <w:sz w:val="22"/>
            <w:szCs w:val="22"/>
            <w:lang w:eastAsia="en-US"/>
          </w:rPr>
          <m:t>RR</m:t>
        </m:r>
      </m:oMath>
      <w:r w:rsidRPr="00333C7B">
        <w:rPr>
          <w:rFonts w:eastAsia="SimSun" w:cs="Times New Roman"/>
          <w:color w:val="000000"/>
          <w:sz w:val="22"/>
          <w:szCs w:val="22"/>
          <w:lang w:eastAsia="en-US"/>
        </w:rPr>
        <w:t>) and ambient PM</w:t>
      </w:r>
      <w:r w:rsidRPr="00333C7B">
        <w:rPr>
          <w:rFonts w:eastAsia="SimSun" w:cs="Times New Roman"/>
          <w:color w:val="000000"/>
          <w:sz w:val="22"/>
          <w:szCs w:val="22"/>
          <w:vertAlign w:val="subscript"/>
          <w:lang w:eastAsia="en-US"/>
        </w:rPr>
        <w:t xml:space="preserve">2.5 </w:t>
      </w:r>
      <w:r w:rsidRPr="00333C7B">
        <w:rPr>
          <w:rFonts w:eastAsia="SimSun" w:cs="Times New Roman"/>
          <w:color w:val="000000"/>
          <w:sz w:val="22"/>
          <w:szCs w:val="22"/>
          <w:lang w:eastAsia="en-US"/>
        </w:rPr>
        <w:t>concentration (</w:t>
      </w:r>
      <m:oMath>
        <m:r>
          <w:rPr>
            <w:rFonts w:ascii="Cambria Math" w:eastAsia="SimSun" w:hAnsi="Cambria Math" w:cs="Times New Roman"/>
            <w:color w:val="000000"/>
            <w:sz w:val="22"/>
            <w:szCs w:val="22"/>
            <w:lang w:eastAsia="en-US"/>
          </w:rPr>
          <m:t>c</m:t>
        </m:r>
      </m:oMath>
      <w:r w:rsidRPr="00333C7B">
        <w:rPr>
          <w:rFonts w:eastAsia="SimSun" w:cs="Times New Roman"/>
          <w:color w:val="000000"/>
          <w:sz w:val="22"/>
          <w:szCs w:val="22"/>
          <w:lang w:eastAsia="en-US"/>
        </w:rPr>
        <w:t>):</w:t>
      </w:r>
    </w:p>
    <w:p w14:paraId="51807AC8" w14:textId="77777777" w:rsidR="008F30F4" w:rsidRPr="002B761D" w:rsidRDefault="008F30F4" w:rsidP="008F30F4">
      <w:pPr>
        <w:pStyle w:val="a2"/>
      </w:pPr>
      <w:r w:rsidRPr="002B761D">
        <w:lastRenderedPageBreak/>
        <w:tab/>
      </w:r>
      <w:r w:rsidR="0038014B" w:rsidRPr="003F23B2">
        <w:rPr>
          <w:noProof/>
          <w:position w:val="-76"/>
        </w:rPr>
        <w:object w:dxaOrig="4380" w:dyaOrig="1620" w14:anchorId="11B664BE">
          <v:shape id="_x0000_i1043" type="#_x0000_t75" alt="" style="width:219.55pt;height:80.45pt;mso-width-percent:0;mso-height-percent:0;mso-width-percent:0;mso-height-percent:0" o:ole="">
            <v:imagedata r:id="rId377" o:title=""/>
          </v:shape>
          <o:OLEObject Type="Embed" ProgID="Equation.DSMT4" ShapeID="_x0000_i1043" DrawAspect="Content" ObjectID="_1758969588" r:id="rId378"/>
        </w:object>
      </w:r>
      <w:r w:rsidRPr="002B761D">
        <w:tab/>
      </w:r>
      <w:r w:rsidRPr="002B761D">
        <w:fldChar w:fldCharType="begin"/>
      </w:r>
      <w:r w:rsidRPr="002B761D">
        <w:instrText xml:space="preserve"> MACROBUTTON MTPlaceRef \* MERGEFORMAT </w:instrText>
      </w:r>
      <w:r w:rsidRPr="002B761D">
        <w:fldChar w:fldCharType="begin"/>
      </w:r>
      <w:r w:rsidRPr="002B761D">
        <w:instrText xml:space="preserve"> SEQ MTEqn \h \* MERGEFORMAT </w:instrText>
      </w:r>
      <w:r w:rsidRPr="002B761D">
        <w:fldChar w:fldCharType="end"/>
      </w:r>
      <w:r w:rsidRPr="002B761D">
        <w:instrText>(</w:instrText>
      </w:r>
      <w:fldSimple w:instr=" SEQ MTSec \c \* Alphabetic \* MERGEFORMAT ">
        <w:r>
          <w:rPr>
            <w:noProof/>
          </w:rPr>
          <w:instrText>A</w:instrText>
        </w:r>
      </w:fldSimple>
      <w:fldSimple w:instr=" SEQ MTEqn \c \* Arabic \* MERGEFORMAT ">
        <w:r>
          <w:rPr>
            <w:noProof/>
          </w:rPr>
          <w:instrText>29</w:instrText>
        </w:r>
      </w:fldSimple>
      <w:r w:rsidRPr="002B761D">
        <w:instrText>)</w:instrText>
      </w:r>
      <w:r w:rsidRPr="002B761D">
        <w:fldChar w:fldCharType="end"/>
      </w:r>
    </w:p>
    <w:p w14:paraId="48F33248" w14:textId="77777777" w:rsidR="008F30F4" w:rsidRPr="002B761D" w:rsidRDefault="008F30F4" w:rsidP="008F30F4">
      <w:pPr>
        <w:spacing w:after="240"/>
        <w:ind w:firstLine="0"/>
        <w:contextualSpacing/>
        <w:rPr>
          <w:rFonts w:eastAsia="DengXian" w:cs="Times New Roman"/>
          <w:color w:val="000000"/>
          <w:sz w:val="22"/>
          <w:szCs w:val="22"/>
          <w:lang w:eastAsia="en-US"/>
        </w:rPr>
      </w:pPr>
      <w:r w:rsidRPr="002B761D">
        <w:rPr>
          <w:rFonts w:eastAsia="DengXian" w:cs="Times New Roman"/>
          <w:color w:val="000000"/>
          <w:sz w:val="22"/>
          <w:szCs w:val="22"/>
          <w:lang w:eastAsia="en-US"/>
        </w:rPr>
        <w:t xml:space="preserve">where </w:t>
      </w:r>
      <w:r w:rsidR="0038014B" w:rsidRPr="003F23B2">
        <w:rPr>
          <w:noProof/>
          <w:position w:val="-6"/>
        </w:rPr>
        <w:object w:dxaOrig="200" w:dyaOrig="260" w14:anchorId="450C78FC">
          <v:shape id="_x0000_i1042" type="#_x0000_t75" alt="" style="width:8.45pt;height:14.1pt;mso-width-percent:0;mso-height-percent:0;mso-width-percent:0;mso-height-percent:0" o:ole="">
            <v:imagedata r:id="rId379" o:title=""/>
          </v:shape>
          <o:OLEObject Type="Embed" ProgID="Equation.DSMT4" ShapeID="_x0000_i1042" DrawAspect="Content" ObjectID="_1758969589" r:id="rId380"/>
        </w:object>
      </w:r>
      <w:r w:rsidRPr="002B761D">
        <w:rPr>
          <w:rFonts w:eastAsia="DengXian" w:cs="Times New Roman"/>
          <w:color w:val="000000"/>
          <w:sz w:val="22"/>
          <w:szCs w:val="22"/>
          <w:lang w:eastAsia="en-US"/>
        </w:rPr>
        <w:t>,</w:t>
      </w:r>
      <w:r w:rsidR="0038014B" w:rsidRPr="003F23B2">
        <w:rPr>
          <w:noProof/>
          <w:position w:val="-6"/>
        </w:rPr>
        <w:object w:dxaOrig="220" w:dyaOrig="220" w14:anchorId="75B5AB89">
          <v:shape id="_x0000_i1041" type="#_x0000_t75" alt="" style="width:12.7pt;height:12.7pt;mso-width-percent:0;mso-height-percent:0;mso-width-percent:0;mso-height-percent:0" o:ole="">
            <v:imagedata r:id="rId381" o:title=""/>
          </v:shape>
          <o:OLEObject Type="Embed" ProgID="Equation.DSMT4" ShapeID="_x0000_i1041" DrawAspect="Content" ObjectID="_1758969590" r:id="rId382"/>
        </w:object>
      </w:r>
      <w:r w:rsidRPr="002B761D">
        <w:rPr>
          <w:rFonts w:eastAsia="DengXian" w:cs="Times New Roman"/>
          <w:color w:val="000000"/>
          <w:sz w:val="22"/>
          <w:szCs w:val="22"/>
          <w:lang w:eastAsia="en-US"/>
        </w:rPr>
        <w:t>,</w:t>
      </w:r>
      <w:r w:rsidR="0038014B" w:rsidRPr="003F23B2">
        <w:rPr>
          <w:noProof/>
          <w:position w:val="-10"/>
        </w:rPr>
        <w:object w:dxaOrig="220" w:dyaOrig="240" w14:anchorId="0F411C4F">
          <v:shape id="_x0000_i1040" type="#_x0000_t75" alt="" style="width:12.7pt;height:12.7pt;mso-width-percent:0;mso-height-percent:0;mso-width-percent:0;mso-height-percent:0" o:ole="">
            <v:imagedata r:id="rId383" o:title=""/>
          </v:shape>
          <o:OLEObject Type="Embed" ProgID="Equation.DSMT4" ShapeID="_x0000_i1040" DrawAspect="Content" ObjectID="_1758969591" r:id="rId384"/>
        </w:object>
      </w:r>
      <w:r w:rsidRPr="002B761D">
        <w:rPr>
          <w:rFonts w:eastAsia="DengXian" w:cs="Times New Roman"/>
          <w:color w:val="000000"/>
          <w:sz w:val="22"/>
          <w:szCs w:val="22"/>
          <w:lang w:eastAsia="en-US"/>
        </w:rPr>
        <w:t>,</w:t>
      </w:r>
      <w:r w:rsidR="0038014B" w:rsidRPr="003F23B2">
        <w:rPr>
          <w:noProof/>
          <w:position w:val="-6"/>
        </w:rPr>
        <w:object w:dxaOrig="200" w:dyaOrig="220" w14:anchorId="093BB764">
          <v:shape id="_x0000_i1039" type="#_x0000_t75" alt="" style="width:8.45pt;height:12.7pt;mso-width-percent:0;mso-height-percent:0;mso-width-percent:0;mso-height-percent:0" o:ole="">
            <v:imagedata r:id="rId385" o:title=""/>
          </v:shape>
          <o:OLEObject Type="Embed" ProgID="Equation.DSMT4" ShapeID="_x0000_i1039" DrawAspect="Content" ObjectID="_1758969592" r:id="rId386"/>
        </w:object>
      </w:r>
      <w:r w:rsidRPr="002B761D">
        <w:rPr>
          <w:rFonts w:eastAsia="DengXian" w:cs="Times New Roman"/>
          <w:color w:val="000000"/>
          <w:sz w:val="22"/>
          <w:szCs w:val="22"/>
          <w:lang w:eastAsia="en-US"/>
        </w:rPr>
        <w:t>, and</w:t>
      </w:r>
      <w:r w:rsidR="0038014B" w:rsidRPr="003F23B2">
        <w:rPr>
          <w:noProof/>
          <w:position w:val="-14"/>
        </w:rPr>
        <w:object w:dxaOrig="260" w:dyaOrig="360" w14:anchorId="7048C5F6">
          <v:shape id="_x0000_i1038" type="#_x0000_t75" alt="" style="width:14.1pt;height:19.75pt;mso-width-percent:0;mso-height-percent:0;mso-width-percent:0;mso-height-percent:0" o:ole="">
            <v:imagedata r:id="rId387" o:title=""/>
          </v:shape>
          <o:OLEObject Type="Embed" ProgID="Equation.DSMT4" ShapeID="_x0000_i1038" DrawAspect="Content" ObjectID="_1758969593" r:id="rId388"/>
        </w:object>
      </w:r>
      <w:r w:rsidRPr="002B761D">
        <w:rPr>
          <w:rFonts w:eastAsia="DengXian" w:cs="Times New Roman"/>
          <w:color w:val="000000"/>
          <w:sz w:val="22"/>
          <w:szCs w:val="22"/>
          <w:lang w:eastAsia="en-US"/>
        </w:rPr>
        <w:t xml:space="preserve">are shape parameters and are adopted from </w:t>
      </w:r>
      <w:r w:rsidRPr="002B761D">
        <w:rPr>
          <w:rFonts w:eastAsia="DengXian" w:cs="Times New Roman"/>
          <w:sz w:val="22"/>
          <w:szCs w:val="22"/>
          <w:lang w:eastAsia="en-US"/>
        </w:rPr>
        <w:fldChar w:fldCharType="begin"/>
      </w:r>
      <w:r w:rsidRPr="002B761D">
        <w:rPr>
          <w:rFonts w:eastAsia="DengXian" w:cs="Times New Roman"/>
          <w:sz w:val="22"/>
          <w:szCs w:val="22"/>
          <w:lang w:eastAsia="en-US"/>
        </w:rPr>
        <w:instrText xml:space="preserve"> ADDIN ZOTERO_ITEM CSL_CITATION {"citationID":"FT0QXCZt","properties":{"formattedCitation":"(R. Burnett et al., 2018b)","plainCitation":"(R. Burnett et al., 2018b)","dontUpdate":true,"noteIndex":0},"citationItems":[{"id":"VlUszWYZ/lDvMHdKr","uris":["http://zotero.org/users/7551265/items/THNXZANW"],"itemData":{"id":1178,"type":"article-journal","abstract":"Exposure to ambient fine particulate matter (PM\n              2.5\n              ) is a major global health concern. Quantitative estimates of attributable mortality are based on disease-specific hazard ratio models that incorporate risk information from multiple PM\n              2.5\n              sources (outdoor and indoor air pollution from use of solid fuels and secondhand and active smoking), requiring assumptions about equivalent exposure and toxicity. We relax these contentious assumptions by constructing a PM\n              2.5\n              -mortality hazard ratio function based only on cohort studies of outdoor air pollution that covers the global exposure range. We modeled the shape of the association between PM\n              2.5\n              and nonaccidental mortality using data from 41 cohorts from 16 countries—the Global Exposure Mortality Model (GEMM). We then constructed GEMMs for five specific causes of death examined by the global burden of disease (GBD). The GEMM predicts 8.9 million [95% confidence interval (CI): 7.5–10.3] deaths in 2015, a figure 30% larger than that predicted by the sum of deaths among the five specific causes (6.9; 95% CI: 4.9–8.5) and 120% larger than the risk function used in the GBD (4.0; 95% CI: 3.3–4.8). Differences between the GEMM and GBD risk functions are larger for a 20% reduction in concentrations, with the GEMM predicting 220% higher excess deaths. These results suggest that PM\n              2.5\n              exposure may be related to additional causes of death than the five considered by the GBD and that incorporation of risk information from other, nonoutdoor, particle sources leads to underestimation of disease burden, especially at higher concentrations.","container-title":"Proceedings of the National Academy of Sciences","DOI":"10.1073/pnas.1803222115","ISSN":"0027-8424, 1091-6490","issue":"38","journalAbbreviation":"Proc. Natl. Acad. Sci. U.S.A.","language":"en","page":"9592-9597","source":"DOI.org (Crossref)","title":"Global estimates of mortality associated with long-term exposure to outdoor fine particulate matter","volume":"115","author":[{"family":"Burnett","given":"Richard"},{"family":"Chen","given":"Hong"},{"family":"Szyszkowicz","given":"Mieczysław"},{"family":"Fann","given":"Neal"},{"family":"Hubbell","given":"Bryan"},{"family":"Pope","given":"C. Arden"},{"family":"Apte","given":"Joshua S."},{"family":"Brauer","given":"Michael"},{"family":"Cohen","given":"Aaron"},{"family":"Weichenthal","given":"Scott"},{"family":"Coggins","given":"Jay"},{"family":"Di","given":"Qian"},{"family":"Brunekreef","given":"Bert"},{"family":"Frostad","given":"Joseph"},{"family":"Lim","given":"Stephen S."},{"family":"Kan","given":"Haidong"},{"family":"Walker","given":"Katherine D."},{"family":"Thurston","given":"George D."},{"family":"Hayes","given":"Richard B."},{"family":"Lim","given":"Chris C."},{"family":"Turner","given":"Michelle C."},{"family":"Jerrett","given":"Michael"},{"family":"Krewski","given":"Daniel"},{"family":"Gapstur","given":"Susan M."},{"family":"Diver","given":"W. Ryan"},{"family":"Ostro","given":"Bart"},{"family":"Goldberg","given":"Debbie"},{"family":"Crouse","given":"Daniel L."},{"family":"Martin","given":"Randall V."},{"family":"Peters","given":"Paul"},{"family":"Pinault","given":"Lauren"},{"family":"Tjepkema","given":"Michael"},{"family":"Donkelaar","given":"Aaron","non-dropping-particle":"van"},{"family":"Villeneuve","given":"Paul J."},{"family":"Miller","given":"Anthony B."},{"family":"Yin","given":"Peng"},{"family":"Zhou","given":"Maigeng"},{"family":"Wang","given":"Lijun"},{"family":"Janssen","given":"Nicole A. H."},{"family":"Marra","given":"Marten"},{"family":"Atkinson","given":"Richard W."},{"family":"Tsang","given":"Hilda"},{"family":"Quoc Thach","given":"Thuan"},{"family":"Cannon","given":"John B."},{"family":"Allen","given":"Ryan T."},{"family":"Hart","given":"Jaime E."},{"family":"Laden","given":"Francine"},{"family":"Cesaroni","given":"Giulia"},{"family":"Forastiere","given":"Francesco"},{"family":"Weinmayr","given":"Gudrun"},{"family":"Jaensch","given":"Andrea"},{"family":"Nagel","given":"Gabriele"},{"family":"Concin","given":"Hans"},{"family":"Spadaro","given":"Joseph V."}],"issued":{"date-parts":[["2018",9,18]]}}}],"schema":"https://github.com/citation-style-language/schema/raw/master/csl-citation.json"} </w:instrText>
      </w:r>
      <w:r w:rsidRPr="002B761D">
        <w:rPr>
          <w:rFonts w:eastAsia="DengXian" w:cs="Times New Roman"/>
          <w:sz w:val="22"/>
          <w:szCs w:val="22"/>
          <w:lang w:eastAsia="en-US"/>
        </w:rPr>
        <w:fldChar w:fldCharType="separate"/>
      </w:r>
      <w:r w:rsidRPr="002B761D">
        <w:rPr>
          <w:rFonts w:eastAsia="DengXian" w:cs="Times New Roman"/>
          <w:sz w:val="22"/>
          <w:szCs w:val="22"/>
        </w:rPr>
        <w:t xml:space="preserve">Burnett </w:t>
      </w:r>
      <w:r w:rsidRPr="002B761D">
        <w:rPr>
          <w:rFonts w:eastAsia="DengXian" w:cs="Times New Roman"/>
          <w:i/>
          <w:iCs/>
          <w:sz w:val="22"/>
          <w:szCs w:val="22"/>
        </w:rPr>
        <w:t>et al.</w:t>
      </w:r>
      <w:r w:rsidRPr="002B761D">
        <w:rPr>
          <w:rFonts w:eastAsia="DengXian" w:cs="Times New Roman"/>
          <w:sz w:val="22"/>
          <w:szCs w:val="22"/>
        </w:rPr>
        <w:t xml:space="preserve"> (2018)</w:t>
      </w:r>
      <w:r w:rsidRPr="002B761D">
        <w:rPr>
          <w:rFonts w:eastAsia="DengXian" w:cs="Times New Roman"/>
          <w:sz w:val="22"/>
          <w:szCs w:val="22"/>
          <w:lang w:eastAsia="en-US"/>
        </w:rPr>
        <w:fldChar w:fldCharType="end"/>
      </w:r>
      <w:r w:rsidRPr="002B761D">
        <w:rPr>
          <w:rFonts w:eastAsia="DengXian" w:cs="Times New Roman"/>
          <w:color w:val="000000"/>
          <w:sz w:val="22"/>
          <w:szCs w:val="22"/>
          <w:lang w:eastAsia="en-US"/>
        </w:rPr>
        <w:t xml:space="preserve">. </w:t>
      </w:r>
      <w:r>
        <w:rPr>
          <w:rFonts w:eastAsia="DengXian" w:cs="Times New Roman"/>
          <w:color w:val="000000"/>
          <w:sz w:val="22"/>
          <w:szCs w:val="22"/>
          <w:lang w:eastAsia="en-US"/>
        </w:rPr>
        <w:t>A</w:t>
      </w:r>
      <w:r w:rsidRPr="002B761D">
        <w:rPr>
          <w:rFonts w:eastAsia="DengXian" w:cs="Times New Roman"/>
          <w:color w:val="000000"/>
          <w:sz w:val="22"/>
          <w:szCs w:val="22"/>
          <w:lang w:eastAsia="en-US"/>
        </w:rPr>
        <w:t>voided death</w:t>
      </w:r>
      <w:r>
        <w:rPr>
          <w:rFonts w:eastAsia="DengXian" w:cs="Times New Roman"/>
          <w:color w:val="000000"/>
          <w:sz w:val="22"/>
          <w:szCs w:val="22"/>
          <w:lang w:eastAsia="en-US"/>
        </w:rPr>
        <w:t>s</w:t>
      </w:r>
      <w:r w:rsidRPr="002B761D">
        <w:rPr>
          <w:rFonts w:eastAsia="DengXian" w:cs="Times New Roman"/>
          <w:color w:val="000000"/>
          <w:sz w:val="22"/>
          <w:szCs w:val="22"/>
          <w:lang w:eastAsia="en-US"/>
        </w:rPr>
        <w:t xml:space="preserve"> can </w:t>
      </w:r>
      <w:r>
        <w:rPr>
          <w:rFonts w:eastAsia="DengXian" w:cs="Times New Roman"/>
          <w:color w:val="000000"/>
          <w:sz w:val="22"/>
          <w:szCs w:val="22"/>
          <w:lang w:eastAsia="en-US"/>
        </w:rPr>
        <w:t xml:space="preserve">then </w:t>
      </w:r>
      <w:r w:rsidRPr="002B761D">
        <w:rPr>
          <w:rFonts w:eastAsia="DengXian" w:cs="Times New Roman"/>
          <w:color w:val="000000"/>
          <w:sz w:val="22"/>
          <w:szCs w:val="22"/>
          <w:lang w:eastAsia="en-US"/>
        </w:rPr>
        <w:t>be calculated using Equat</w:t>
      </w:r>
      <w:r w:rsidRPr="00035FAD">
        <w:rPr>
          <w:rFonts w:eastAsia="DengXian" w:cs="Times New Roman"/>
          <w:color w:val="000000"/>
          <w:sz w:val="22"/>
          <w:szCs w:val="22"/>
          <w:lang w:eastAsia="en-US"/>
        </w:rPr>
        <w:t>ion (A3</w:t>
      </w:r>
      <w:r>
        <w:rPr>
          <w:rFonts w:eastAsia="DengXian" w:cs="Times New Roman"/>
          <w:color w:val="000000"/>
          <w:sz w:val="22"/>
          <w:szCs w:val="22"/>
          <w:lang w:eastAsia="en-US"/>
        </w:rPr>
        <w:t>0</w:t>
      </w:r>
      <w:r w:rsidRPr="00035FAD">
        <w:rPr>
          <w:rFonts w:eastAsia="DengXian" w:cs="Times New Roman"/>
          <w:color w:val="000000"/>
          <w:sz w:val="22"/>
          <w:szCs w:val="22"/>
          <w:lang w:eastAsia="en-US"/>
        </w:rPr>
        <w:t>)</w:t>
      </w:r>
      <w:r w:rsidRPr="002B761D">
        <w:rPr>
          <w:rFonts w:eastAsia="DengXian" w:cs="Times New Roman"/>
          <w:color w:val="000000"/>
          <w:sz w:val="22"/>
          <w:szCs w:val="22"/>
          <w:lang w:eastAsia="en-US"/>
        </w:rPr>
        <w:t xml:space="preserve">. </w:t>
      </w:r>
    </w:p>
    <w:p w14:paraId="34DCD603" w14:textId="77777777" w:rsidR="008F30F4" w:rsidRPr="002B761D" w:rsidRDefault="008F30F4" w:rsidP="008F30F4">
      <w:pPr>
        <w:pStyle w:val="a2"/>
      </w:pPr>
      <w:r w:rsidRPr="002B761D">
        <w:tab/>
      </w:r>
      <w:r w:rsidR="0038014B" w:rsidRPr="003F23B2">
        <w:rPr>
          <w:noProof/>
          <w:position w:val="-34"/>
        </w:rPr>
        <w:object w:dxaOrig="4420" w:dyaOrig="800" w14:anchorId="3E266571">
          <v:shape id="_x0000_i1037" type="#_x0000_t75" alt="" style="width:223.75pt;height:40.95pt;mso-width-percent:0;mso-height-percent:0;mso-width-percent:0;mso-height-percent:0" o:ole="">
            <v:imagedata r:id="rId389" o:title=""/>
          </v:shape>
          <o:OLEObject Type="Embed" ProgID="Equation.DSMT4" ShapeID="_x0000_i1037" DrawAspect="Content" ObjectID="_1758969594" r:id="rId390"/>
        </w:object>
      </w:r>
      <w:r w:rsidRPr="002B761D">
        <w:tab/>
      </w:r>
      <w:r w:rsidRPr="002B761D">
        <w:fldChar w:fldCharType="begin"/>
      </w:r>
      <w:r w:rsidRPr="002B761D">
        <w:instrText xml:space="preserve"> MACROBUTTON MTPlaceRef \* MERGEFORMAT </w:instrText>
      </w:r>
      <w:r w:rsidRPr="002B761D">
        <w:fldChar w:fldCharType="begin"/>
      </w:r>
      <w:r w:rsidRPr="002B761D">
        <w:instrText xml:space="preserve"> SEQ MTEqn \h \* MERGEFORMAT </w:instrText>
      </w:r>
      <w:r w:rsidRPr="002B761D">
        <w:fldChar w:fldCharType="end"/>
      </w:r>
      <w:r w:rsidRPr="002B761D">
        <w:instrText>(</w:instrText>
      </w:r>
      <w:fldSimple w:instr=" SEQ MTSec \c \* Alphabetic \* MERGEFORMAT ">
        <w:r>
          <w:rPr>
            <w:noProof/>
          </w:rPr>
          <w:instrText>A</w:instrText>
        </w:r>
      </w:fldSimple>
      <w:fldSimple w:instr=" SEQ MTEqn \c \* Arabic \* MERGEFORMAT ">
        <w:r>
          <w:rPr>
            <w:noProof/>
          </w:rPr>
          <w:instrText>30</w:instrText>
        </w:r>
      </w:fldSimple>
      <w:r w:rsidRPr="002B761D">
        <w:instrText>)</w:instrText>
      </w:r>
      <w:r w:rsidRPr="002B761D">
        <w:fldChar w:fldCharType="end"/>
      </w:r>
    </w:p>
    <w:p w14:paraId="170B1379" w14:textId="77777777" w:rsidR="008F30F4" w:rsidRPr="002B761D" w:rsidRDefault="008F30F4" w:rsidP="008F30F4">
      <w:pPr>
        <w:spacing w:after="240"/>
        <w:ind w:firstLine="0"/>
        <w:contextualSpacing/>
        <w:rPr>
          <w:rFonts w:eastAsia="DengXian" w:cs="Times New Roman"/>
          <w:iCs/>
          <w:color w:val="000000"/>
          <w:sz w:val="22"/>
          <w:szCs w:val="22"/>
          <w:lang w:eastAsia="en-US"/>
        </w:rPr>
      </w:pPr>
      <w:r w:rsidRPr="002B761D">
        <w:rPr>
          <w:rFonts w:eastAsia="DengXian" w:cs="Times New Roman"/>
          <w:color w:val="000000"/>
          <w:sz w:val="22"/>
          <w:szCs w:val="22"/>
          <w:lang w:eastAsia="en-US"/>
        </w:rPr>
        <w:t xml:space="preserve">where </w:t>
      </w:r>
      <w:r w:rsidR="0038014B" w:rsidRPr="00CF2194">
        <w:rPr>
          <w:noProof/>
          <w:position w:val="-12"/>
        </w:rPr>
        <w:object w:dxaOrig="420" w:dyaOrig="340" w14:anchorId="60EE0B6C">
          <v:shape id="_x0000_i1036" type="#_x0000_t75" alt="" style="width:21.2pt;height:15.55pt;mso-width-percent:0;mso-height-percent:0;mso-width-percent:0;mso-height-percent:0" o:ole="">
            <v:imagedata r:id="rId391" o:title=""/>
          </v:shape>
          <o:OLEObject Type="Embed" ProgID="Equation.DSMT4" ShapeID="_x0000_i1036" DrawAspect="Content" ObjectID="_1758969595" r:id="rId392"/>
        </w:object>
      </w:r>
      <w:r w:rsidRPr="002B761D">
        <w:rPr>
          <w:rFonts w:eastAsia="DengXian" w:cs="Times New Roman"/>
          <w:color w:val="000000"/>
          <w:sz w:val="22"/>
          <w:szCs w:val="22"/>
          <w:lang w:eastAsia="en-US"/>
        </w:rPr>
        <w:t xml:space="preserve"> is the PM</w:t>
      </w:r>
      <w:r w:rsidRPr="002B761D">
        <w:rPr>
          <w:rFonts w:eastAsia="DengXian" w:cs="Times New Roman"/>
          <w:color w:val="000000"/>
          <w:sz w:val="22"/>
          <w:szCs w:val="22"/>
          <w:vertAlign w:val="subscript"/>
          <w:lang w:eastAsia="en-US"/>
        </w:rPr>
        <w:t>2.5</w:t>
      </w:r>
      <w:r w:rsidRPr="002B761D">
        <w:rPr>
          <w:rFonts w:eastAsia="DengXian" w:cs="Times New Roman"/>
          <w:color w:val="000000"/>
          <w:sz w:val="22"/>
          <w:szCs w:val="22"/>
          <w:lang w:eastAsia="en-US"/>
        </w:rPr>
        <w:t xml:space="preserve"> concentration under the baseline in period t, and </w:t>
      </w:r>
      <w:r w:rsidR="0038014B" w:rsidRPr="00CF2194">
        <w:rPr>
          <w:noProof/>
          <w:position w:val="-12"/>
        </w:rPr>
        <w:object w:dxaOrig="480" w:dyaOrig="340" w14:anchorId="519E7695">
          <v:shape id="_x0000_i1035" type="#_x0000_t75" alt="" style="width:24pt;height:15.55pt;mso-width-percent:0;mso-height-percent:0;mso-width-percent:0;mso-height-percent:0" o:ole="">
            <v:imagedata r:id="rId393" o:title=""/>
          </v:shape>
          <o:OLEObject Type="Embed" ProgID="Equation.DSMT4" ShapeID="_x0000_i1035" DrawAspect="Content" ObjectID="_1758969596" r:id="rId394"/>
        </w:object>
      </w:r>
      <w:r w:rsidRPr="002B761D">
        <w:rPr>
          <w:rFonts w:eastAsia="DengXian" w:cs="Times New Roman"/>
          <w:color w:val="000000"/>
          <w:sz w:val="22"/>
          <w:szCs w:val="22"/>
          <w:lang w:eastAsia="en-US"/>
        </w:rPr>
        <w:t>is the PM</w:t>
      </w:r>
      <w:r w:rsidRPr="002B761D">
        <w:rPr>
          <w:rFonts w:eastAsia="DengXian" w:cs="Times New Roman"/>
          <w:color w:val="000000"/>
          <w:sz w:val="22"/>
          <w:szCs w:val="22"/>
          <w:vertAlign w:val="subscript"/>
          <w:lang w:eastAsia="en-US"/>
        </w:rPr>
        <w:t>2.5</w:t>
      </w:r>
      <w:r w:rsidRPr="002B761D">
        <w:rPr>
          <w:rFonts w:eastAsia="DengXian" w:cs="Times New Roman"/>
          <w:color w:val="000000"/>
          <w:sz w:val="22"/>
          <w:szCs w:val="22"/>
          <w:lang w:eastAsia="en-US"/>
        </w:rPr>
        <w:t xml:space="preserve"> concentration under the TPS in period </w:t>
      </w:r>
      <w:r w:rsidRPr="00A17466">
        <w:rPr>
          <w:rFonts w:eastAsia="DengXian" w:cs="Times New Roman"/>
          <w:i/>
          <w:iCs/>
          <w:color w:val="000000"/>
          <w:sz w:val="22"/>
          <w:szCs w:val="22"/>
          <w:lang w:eastAsia="en-US"/>
        </w:rPr>
        <w:t>t</w:t>
      </w:r>
      <w:r w:rsidRPr="002B761D">
        <w:rPr>
          <w:rFonts w:eastAsia="DengXian" w:cs="Times New Roman"/>
          <w:color w:val="000000"/>
          <w:sz w:val="22"/>
          <w:szCs w:val="22"/>
          <w:lang w:eastAsia="en-US"/>
        </w:rPr>
        <w:t>.</w:t>
      </w:r>
      <w:r w:rsidRPr="002B761D">
        <w:rPr>
          <w:rFonts w:eastAsia="DengXian" w:cs="Times New Roman"/>
          <w:sz w:val="22"/>
          <w:szCs w:val="22"/>
        </w:rPr>
        <w:t xml:space="preserve"> </w:t>
      </w:r>
      <w:r w:rsidR="0038014B" w:rsidRPr="00CF2194">
        <w:rPr>
          <w:noProof/>
          <w:position w:val="-10"/>
        </w:rPr>
        <w:object w:dxaOrig="400" w:dyaOrig="340" w14:anchorId="4E0485AF">
          <v:shape id="_x0000_i1034" type="#_x0000_t75" alt="" style="width:20.45pt;height:15.55pt;mso-width-percent:0;mso-height-percent:0;mso-width-percent:0;mso-height-percent:0" o:ole="">
            <v:imagedata r:id="rId395" o:title=""/>
          </v:shape>
          <o:OLEObject Type="Embed" ProgID="Equation.DSMT4" ShapeID="_x0000_i1034" DrawAspect="Content" ObjectID="_1758969597" r:id="rId396"/>
        </w:object>
      </w:r>
      <w:r w:rsidRPr="002B761D">
        <w:rPr>
          <w:rFonts w:eastAsia="DengXian" w:cs="Times New Roman"/>
          <w:color w:val="000000"/>
          <w:sz w:val="22"/>
          <w:szCs w:val="22"/>
          <w:lang w:eastAsia="en-US"/>
        </w:rPr>
        <w:t xml:space="preserve"> are the mortality rates with the lowest level of exposure to PM</w:t>
      </w:r>
      <w:r w:rsidRPr="002B761D">
        <w:rPr>
          <w:rFonts w:eastAsia="DengXian" w:cs="Times New Roman"/>
          <w:color w:val="000000"/>
          <w:sz w:val="22"/>
          <w:szCs w:val="22"/>
          <w:vertAlign w:val="subscript"/>
          <w:lang w:eastAsia="en-US"/>
        </w:rPr>
        <w:t>2.5</w:t>
      </w:r>
      <w:r w:rsidRPr="002B761D">
        <w:rPr>
          <w:rFonts w:eastAsia="DengXian" w:cs="Times New Roman"/>
          <w:color w:val="000000"/>
          <w:sz w:val="22"/>
          <w:szCs w:val="22"/>
          <w:lang w:eastAsia="en-US"/>
        </w:rPr>
        <w:t xml:space="preserve"> for age group </w:t>
      </w:r>
      <w:r w:rsidRPr="002B761D">
        <w:rPr>
          <w:rFonts w:eastAsia="DengXian" w:cs="Times New Roman"/>
          <w:i/>
          <w:iCs/>
          <w:color w:val="000000"/>
          <w:sz w:val="22"/>
          <w:szCs w:val="22"/>
          <w:lang w:eastAsia="en-US"/>
        </w:rPr>
        <w:t>m</w:t>
      </w:r>
      <w:r w:rsidRPr="002B761D">
        <w:rPr>
          <w:rFonts w:eastAsia="DengXian" w:cs="Times New Roman"/>
          <w:color w:val="000000"/>
          <w:sz w:val="22"/>
          <w:szCs w:val="22"/>
          <w:lang w:eastAsia="en-US"/>
        </w:rPr>
        <w:t xml:space="preserve"> in China,  and are retrieved from the Global Health Data Exchange. We follow the convention to divide the national population into 12 subgroups (adults with ages 25 to 85 and above in five-year intervals). </w:t>
      </w:r>
      <w:r w:rsidR="0038014B" w:rsidRPr="00CF2194">
        <w:rPr>
          <w:noProof/>
          <w:position w:val="-14"/>
        </w:rPr>
        <w:object w:dxaOrig="520" w:dyaOrig="380" w14:anchorId="1A9E487F">
          <v:shape id="_x0000_i1033" type="#_x0000_t75" alt="" style="width:26.8pt;height:19.75pt;mso-width-percent:0;mso-height-percent:0;mso-width-percent:0;mso-height-percent:0" o:ole="">
            <v:imagedata r:id="rId397" o:title=""/>
          </v:shape>
          <o:OLEObject Type="Embed" ProgID="Equation.DSMT4" ShapeID="_x0000_i1033" DrawAspect="Content" ObjectID="_1758969598" r:id="rId398"/>
        </w:object>
      </w:r>
      <w:r w:rsidRPr="002B761D">
        <w:rPr>
          <w:rFonts w:eastAsia="DengXian" w:cs="Times New Roman"/>
          <w:color w:val="000000"/>
          <w:sz w:val="22"/>
          <w:szCs w:val="22"/>
          <w:lang w:eastAsia="en-US"/>
        </w:rPr>
        <w:t xml:space="preserve"> are </w:t>
      </w:r>
      <w:r w:rsidRPr="002B761D">
        <w:rPr>
          <w:rFonts w:eastAsia="DengXian" w:cs="Times New Roman"/>
          <w:iCs/>
          <w:sz w:val="22"/>
          <w:szCs w:val="22"/>
        </w:rPr>
        <w:t>the baseline provincial population projection</w:t>
      </w:r>
      <w:r>
        <w:rPr>
          <w:rFonts w:eastAsia="DengXian" w:cs="Times New Roman"/>
          <w:iCs/>
          <w:sz w:val="22"/>
          <w:szCs w:val="22"/>
        </w:rPr>
        <w:t>s</w:t>
      </w:r>
      <w:r w:rsidRPr="002B761D">
        <w:rPr>
          <w:rFonts w:eastAsia="DengXian" w:cs="Times New Roman"/>
          <w:iCs/>
          <w:sz w:val="22"/>
          <w:szCs w:val="22"/>
        </w:rPr>
        <w:t xml:space="preserve"> in period </w:t>
      </w:r>
      <w:r w:rsidRPr="002B761D">
        <w:rPr>
          <w:rFonts w:eastAsia="DengXian" w:cs="Times New Roman"/>
          <w:i/>
          <w:sz w:val="22"/>
          <w:szCs w:val="22"/>
        </w:rPr>
        <w:t>t</w:t>
      </w:r>
      <w:r w:rsidRPr="002B761D">
        <w:rPr>
          <w:rFonts w:eastAsia="DengXian" w:cs="Times New Roman"/>
          <w:iCs/>
          <w:sz w:val="22"/>
          <w:szCs w:val="22"/>
        </w:rPr>
        <w:t xml:space="preserve"> and are sourced from </w:t>
      </w:r>
      <w:r w:rsidRPr="002B761D">
        <w:rPr>
          <w:rFonts w:eastAsia="DengXian" w:cs="Times New Roman"/>
          <w:iCs/>
          <w:sz w:val="22"/>
          <w:szCs w:val="22"/>
        </w:rPr>
        <w:fldChar w:fldCharType="begin"/>
      </w:r>
      <w:r w:rsidRPr="002B761D">
        <w:rPr>
          <w:rFonts w:eastAsia="DengXian" w:cs="Times New Roman"/>
          <w:iCs/>
          <w:sz w:val="22"/>
          <w:szCs w:val="22"/>
        </w:rPr>
        <w:instrText xml:space="preserve"> ADDIN ZOTERO_ITEM CSL_CITATION {"citationID":"it33WMDq","properties":{"formattedCitation":"(Y. Chen et al., 2020)","plainCitation":"(Y. Chen et al., 2020)","dontUpdate":true,"noteIndex":0},"citationItems":[{"id":"VlUszWYZ/nA4EktH8","uris":["http://zotero.org/users/7551265/items/XV2AXU2I"],"itemData":{"id":1182,"type":"article-journal","abstract":"Abstract\n            In response to a growing demand for subnational and spatially explicit data on China’s future population, this study estimates China’s provincial population from 2010 to 2100 by age (0–100+), sex (male and female) and educational levels (illiterate, primary school, junior-high school, senior-high school, college, bachelor’s, and master’s and above) under different shared socioeconomic pathways (SSPs). The provincial projection takes into account fertility promoting policies and population ceiling restrictions of megacities that have been implemented in China in recent years to reduce systematic biases in current studies. The predicted provincial population is allocated to spatially explicit population grids for each year at 30 arc-seconds resolution based on representative concentration pathway (RCP) urban grids and historical population grids. The provincial projection data were validated using population data in 2017 from China’s Provincial Statistical Yearbook, and the accuracy of the population grids in 2015 was evaluated. These data have numerous potential uses and can serve as inputs in climate policy research with requirements for precise administrative or spatial population data in China.","container-title":"Scientific Data","DOI":"10.1038/s41597-020-0421-y","ISSN":"2052-4463","issue":"1","journalAbbreviation":"Sci Data","language":"en","page":"83","source":"DOI.org (Crossref)","title":"Provincial and gridded population projection for China under shared socioeconomic pathways from 2010 to 2100","volume":"7","author":[{"family":"Chen","given":"Yidan"},{"family":"Guo","given":"Fang"},{"family":"Wang","given":"Jiachen"},{"family":"Cai","given":"Wenjia"},{"family":"Wang","given":"Can"},{"family":"Wang","given":"Kaicun"}],"issued":{"date-parts":[["2020",3,9]]}}}],"schema":"https://github.com/citation-style-language/schema/raw/master/csl-citation.json"} </w:instrText>
      </w:r>
      <w:r w:rsidRPr="002B761D">
        <w:rPr>
          <w:rFonts w:eastAsia="DengXian" w:cs="Times New Roman"/>
          <w:iCs/>
          <w:sz w:val="22"/>
          <w:szCs w:val="22"/>
        </w:rPr>
        <w:fldChar w:fldCharType="separate"/>
      </w:r>
      <w:r w:rsidRPr="002B761D">
        <w:rPr>
          <w:rFonts w:eastAsia="DengXian" w:cs="Times New Roman"/>
          <w:sz w:val="22"/>
          <w:szCs w:val="22"/>
        </w:rPr>
        <w:t xml:space="preserve">Chen </w:t>
      </w:r>
      <w:r w:rsidRPr="002B761D">
        <w:rPr>
          <w:rFonts w:eastAsia="DengXian" w:cs="Times New Roman"/>
          <w:i/>
          <w:iCs/>
          <w:sz w:val="22"/>
          <w:szCs w:val="22"/>
        </w:rPr>
        <w:t>et al.</w:t>
      </w:r>
      <w:r w:rsidRPr="002B761D">
        <w:rPr>
          <w:rFonts w:eastAsia="DengXian" w:cs="Times New Roman"/>
          <w:sz w:val="22"/>
          <w:szCs w:val="22"/>
        </w:rPr>
        <w:t xml:space="preserve"> (2020)</w:t>
      </w:r>
      <w:r w:rsidRPr="002B761D">
        <w:rPr>
          <w:rFonts w:eastAsia="DengXian" w:cs="Times New Roman"/>
          <w:iCs/>
          <w:sz w:val="22"/>
          <w:szCs w:val="22"/>
        </w:rPr>
        <w:fldChar w:fldCharType="end"/>
      </w:r>
      <w:r w:rsidRPr="002B761D">
        <w:rPr>
          <w:rFonts w:eastAsia="DengXian" w:cs="Times New Roman"/>
          <w:iCs/>
          <w:sz w:val="22"/>
          <w:szCs w:val="22"/>
        </w:rPr>
        <w:t xml:space="preserve">. </w:t>
      </w:r>
    </w:p>
    <w:p w14:paraId="1EF6CF64" w14:textId="77777777" w:rsidR="008F30F4" w:rsidRPr="002B761D" w:rsidRDefault="008F30F4" w:rsidP="008F30F4">
      <w:pPr>
        <w:ind w:firstLineChars="327" w:firstLine="719"/>
        <w:contextualSpacing/>
        <w:rPr>
          <w:rFonts w:eastAsia="SimSun" w:cs="Times New Roman"/>
          <w:color w:val="000000"/>
          <w:sz w:val="22"/>
          <w:szCs w:val="22"/>
        </w:rPr>
      </w:pPr>
      <w:r w:rsidRPr="002B761D">
        <w:rPr>
          <w:rFonts w:eastAsia="SimSun" w:cs="Times New Roman"/>
          <w:color w:val="000000"/>
          <w:sz w:val="22"/>
          <w:szCs w:val="22"/>
        </w:rPr>
        <w:t xml:space="preserve">We consider the uncertainties related to the hazard ratio from equation </w:t>
      </w:r>
      <w:r w:rsidRPr="007A69AD">
        <w:rPr>
          <w:rFonts w:eastAsia="SimSun" w:cs="Times New Roman"/>
          <w:color w:val="000000"/>
          <w:sz w:val="22"/>
          <w:szCs w:val="22"/>
        </w:rPr>
        <w:t>(A</w:t>
      </w:r>
      <w:r>
        <w:rPr>
          <w:rFonts w:eastAsia="SimSun" w:cs="Times New Roman"/>
          <w:color w:val="000000"/>
          <w:sz w:val="22"/>
          <w:szCs w:val="22"/>
        </w:rPr>
        <w:t>29</w:t>
      </w:r>
      <w:r w:rsidRPr="002B761D">
        <w:rPr>
          <w:rFonts w:eastAsia="SimSun" w:cs="Times New Roman"/>
          <w:color w:val="000000"/>
          <w:sz w:val="22"/>
          <w:szCs w:val="22"/>
        </w:rPr>
        <w:t xml:space="preserve">). Following </w:t>
      </w:r>
      <w:r w:rsidRPr="002B761D">
        <w:rPr>
          <w:rFonts w:eastAsia="SimSun" w:cs="Times New Roman"/>
          <w:color w:val="000000"/>
          <w:sz w:val="22"/>
          <w:szCs w:val="22"/>
        </w:rPr>
        <w:fldChar w:fldCharType="begin" w:fldLock="1"/>
      </w:r>
      <w:r w:rsidRPr="002B761D">
        <w:rPr>
          <w:rFonts w:eastAsia="SimSun" w:cs="Times New Roman"/>
          <w:color w:val="000000"/>
          <w:sz w:val="22"/>
          <w:szCs w:val="22"/>
        </w:rPr>
        <w:instrText xml:space="preserve"> ADDIN ZOTERO_ITEM CSL_CITATION {"citationID":"kv5t5uPV","properties":{"formattedCitation":"(R. T. Burnett et al., 2014)","plainCitation":"(R. T. Burnett et al., 2014)","dontUpdate":true,"noteIndex":0},"citationItems":[{"id":"VlUszWYZ/SEscao5v","uris":["http://www.mendeley.com/documents/?uuid=e967ed60-2e91-4b82-8c36-b24017d6708c"],"itemData":{"author":[{"dropping-particle":"","family":"Burnett","given":"Richard T","non-dropping-particle":"","parse-names":false,"suffix":""},{"dropping-particle":"","family":"Pope III","given":"C Arden","non-dropping-particle":"","parse-names":false,"suffix":""},{"dropping-particle":"","family":"Ezzati","given":"Majid","non-dropping-particle":"","parse-names":false,"suffix":""},{"dropping-particle":"","family":"Olives","given":"Casey","non-dropping-particle":"","parse-names":false,"suffix":""},{"dropping-particle":"","family":"Lim","given":"Stephen S","non-dropping-particle":"","parse-names":false,"suffix":""},{"dropping-particle":"","family":"Mehta","given":"Sumi","non-dropping-particle":"","parse-names":false,"suffix":""},{"dropping-particle":"","family":"Shin","given":"Hwashin H","non-dropping-particle":"","parse-names":false,"suffix":""},{"dropping-particle":"","family":"Singh","given":"Gitanjali","non-dropping-particle":"","parse-names":false,"suffix":""},{"dropping-particle":"","family":"Hubbell","given":"Bryan","non-dropping-particle":"","parse-names":false,"suffix":""},{"dropping-particle":"","family":"Brauer","given":"Michael","non-dropping-particle":"","parse-names":false,"suffix":""},{"dropping-particle":"","family":"others","given":"","non-dropping-particle":"","parse-names":false,"suffix":""}],"container-title":"Environmental Health Perspectives","id":"ITEM-1","issue":"4","issued":{"date-parts":[["2014"]]},"page":"397-403","publisher":"National Institute of Environmental Health Sciences","title":"An integrated risk function for estimating the global burden of disease attributable to ambient fine particulate matter exposure","type":"article-journal","volume":"122"}}],"schema":"https://github.com/citation-style-language/schema/raw/master/csl-citation.json"} </w:instrText>
      </w:r>
      <w:r w:rsidRPr="002B761D">
        <w:rPr>
          <w:rFonts w:eastAsia="SimSun" w:cs="Times New Roman"/>
          <w:color w:val="000000"/>
          <w:sz w:val="22"/>
          <w:szCs w:val="22"/>
        </w:rPr>
        <w:fldChar w:fldCharType="separate"/>
      </w:r>
      <w:r w:rsidRPr="002B761D">
        <w:rPr>
          <w:rFonts w:eastAsia="SimSun" w:cs="Times New Roman"/>
          <w:color w:val="000000"/>
          <w:sz w:val="22"/>
          <w:szCs w:val="22"/>
        </w:rPr>
        <w:t xml:space="preserve">Burnett </w:t>
      </w:r>
      <w:r w:rsidRPr="002B761D">
        <w:rPr>
          <w:rFonts w:eastAsia="SimSun" w:cs="Times New Roman"/>
          <w:i/>
          <w:iCs/>
          <w:color w:val="000000"/>
          <w:sz w:val="22"/>
          <w:szCs w:val="22"/>
        </w:rPr>
        <w:t xml:space="preserve">et al. </w:t>
      </w:r>
      <w:r w:rsidRPr="002B761D">
        <w:rPr>
          <w:rFonts w:eastAsia="SimSun" w:cs="Times New Roman"/>
          <w:color w:val="000000"/>
          <w:sz w:val="22"/>
          <w:szCs w:val="22"/>
        </w:rPr>
        <w:t>(2014)</w:t>
      </w:r>
      <w:r w:rsidRPr="002B761D">
        <w:rPr>
          <w:rFonts w:eastAsia="SimSun" w:cs="Times New Roman"/>
          <w:color w:val="000000"/>
          <w:sz w:val="22"/>
          <w:szCs w:val="22"/>
        </w:rPr>
        <w:fldChar w:fldCharType="end"/>
      </w:r>
      <w:r w:rsidRPr="002B761D">
        <w:rPr>
          <w:rFonts w:eastAsia="SimSun" w:cs="Times New Roman"/>
          <w:color w:val="000000"/>
          <w:sz w:val="22"/>
          <w:szCs w:val="22"/>
        </w:rPr>
        <w:t xml:space="preserve">, we assume that </w:t>
      </w:r>
      <m:oMath>
        <m:r>
          <w:rPr>
            <w:rFonts w:ascii="Cambria Math" w:eastAsia="SimSun" w:hAnsi="Cambria Math" w:cs="Times New Roman"/>
            <w:color w:val="000000"/>
            <w:sz w:val="22"/>
            <w:szCs w:val="22"/>
          </w:rPr>
          <m:t>θ</m:t>
        </m:r>
      </m:oMath>
      <w:r w:rsidRPr="002B761D">
        <w:rPr>
          <w:rFonts w:eastAsia="SimSun" w:cs="Times New Roman"/>
          <w:color w:val="000000"/>
          <w:sz w:val="22"/>
          <w:szCs w:val="22"/>
        </w:rPr>
        <w:t xml:space="preserve"> has a normal distribution. We sample 1,000 points from the normal distribution and calculate the mean and 95% confidence interval of avoided death, using Equation (A3</w:t>
      </w:r>
      <w:r>
        <w:rPr>
          <w:rFonts w:eastAsia="SimSun" w:cs="Times New Roman"/>
          <w:color w:val="000000"/>
          <w:sz w:val="22"/>
          <w:szCs w:val="22"/>
        </w:rPr>
        <w:t>0</w:t>
      </w:r>
      <w:r w:rsidRPr="002B761D">
        <w:rPr>
          <w:rFonts w:eastAsia="SimSun" w:cs="Times New Roman"/>
          <w:color w:val="000000"/>
          <w:sz w:val="22"/>
          <w:szCs w:val="22"/>
        </w:rPr>
        <w:t xml:space="preserve">). The results </w:t>
      </w:r>
      <w:r>
        <w:rPr>
          <w:rFonts w:eastAsia="SimSun" w:cs="Times New Roman"/>
          <w:color w:val="000000"/>
          <w:sz w:val="22"/>
          <w:szCs w:val="22"/>
        </w:rPr>
        <w:t>for</w:t>
      </w:r>
      <w:r w:rsidRPr="002B761D">
        <w:rPr>
          <w:rFonts w:eastAsia="SimSun" w:cs="Times New Roman"/>
          <w:color w:val="000000"/>
          <w:sz w:val="22"/>
          <w:szCs w:val="22"/>
        </w:rPr>
        <w:t xml:space="preserve"> avoided deaths are presented in Table </w:t>
      </w:r>
      <w:r>
        <w:rPr>
          <w:rFonts w:eastAsia="SimSun" w:cs="Times New Roman"/>
          <w:color w:val="000000"/>
          <w:sz w:val="22"/>
          <w:szCs w:val="22"/>
        </w:rPr>
        <w:t>F1</w:t>
      </w:r>
      <w:r w:rsidRPr="002B761D">
        <w:rPr>
          <w:rFonts w:eastAsia="SimSun" w:cs="Times New Roman"/>
          <w:color w:val="000000"/>
          <w:sz w:val="22"/>
          <w:szCs w:val="22"/>
        </w:rPr>
        <w:t xml:space="preserve">. </w:t>
      </w:r>
      <w:r>
        <w:rPr>
          <w:rFonts w:eastAsia="SimSun" w:cs="Times New Roman"/>
          <w:color w:val="000000"/>
          <w:sz w:val="22"/>
          <w:szCs w:val="22"/>
        </w:rPr>
        <w:t>The confidence interval for total</w:t>
      </w:r>
      <w:r w:rsidRPr="002B761D">
        <w:rPr>
          <w:rFonts w:eastAsia="SimSun" w:cs="Times New Roman"/>
          <w:color w:val="000000"/>
          <w:sz w:val="22"/>
          <w:szCs w:val="22"/>
        </w:rPr>
        <w:t xml:space="preserve"> avoided premature deaths during the period 2020</w:t>
      </w:r>
      <w:r w:rsidRPr="002B761D">
        <w:rPr>
          <w:rFonts w:cs="Times New Roman"/>
          <w:bCs/>
          <w:sz w:val="22"/>
          <w:szCs w:val="22"/>
        </w:rPr>
        <w:t>-</w:t>
      </w:r>
      <w:r w:rsidRPr="002B761D">
        <w:rPr>
          <w:rFonts w:eastAsia="SimSun" w:cs="Times New Roman"/>
          <w:color w:val="000000"/>
          <w:sz w:val="22"/>
          <w:szCs w:val="22"/>
        </w:rPr>
        <w:t xml:space="preserve">2035 </w:t>
      </w:r>
      <w:r>
        <w:rPr>
          <w:rFonts w:eastAsia="SimSun" w:cs="Times New Roman"/>
          <w:color w:val="000000"/>
          <w:sz w:val="22"/>
          <w:szCs w:val="22"/>
        </w:rPr>
        <w:t xml:space="preserve">is </w:t>
      </w:r>
      <w:r w:rsidRPr="002B761D">
        <w:rPr>
          <w:rFonts w:eastAsia="SimSun" w:cs="Times New Roman"/>
          <w:color w:val="000000"/>
          <w:sz w:val="22"/>
          <w:szCs w:val="22"/>
        </w:rPr>
        <w:t>2.</w:t>
      </w:r>
      <w:r>
        <w:rPr>
          <w:rFonts w:eastAsia="SimSun" w:cs="Times New Roman"/>
          <w:color w:val="000000"/>
          <w:sz w:val="22"/>
          <w:szCs w:val="22"/>
        </w:rPr>
        <w:t>3</w:t>
      </w:r>
      <w:r w:rsidRPr="002B761D">
        <w:rPr>
          <w:rFonts w:cs="Times New Roman"/>
          <w:bCs/>
          <w:sz w:val="22"/>
          <w:szCs w:val="22"/>
        </w:rPr>
        <w:t>-</w:t>
      </w:r>
      <w:r w:rsidRPr="002B761D">
        <w:rPr>
          <w:rFonts w:eastAsia="SimSun" w:cs="Times New Roman"/>
          <w:color w:val="000000"/>
          <w:sz w:val="22"/>
          <w:szCs w:val="22"/>
        </w:rPr>
        <w:t>2.</w:t>
      </w:r>
      <w:r>
        <w:rPr>
          <w:rFonts w:eastAsia="SimSun" w:cs="Times New Roman"/>
          <w:color w:val="000000"/>
          <w:sz w:val="22"/>
          <w:szCs w:val="22"/>
        </w:rPr>
        <w:t>5</w:t>
      </w:r>
      <w:r w:rsidRPr="002B761D">
        <w:rPr>
          <w:rFonts w:eastAsia="SimSun" w:cs="Times New Roman"/>
          <w:color w:val="000000"/>
          <w:sz w:val="22"/>
          <w:szCs w:val="22"/>
        </w:rPr>
        <w:t xml:space="preserve"> million</w:t>
      </w:r>
      <w:r>
        <w:rPr>
          <w:rFonts w:eastAsia="SimSun" w:cs="Times New Roman"/>
          <w:color w:val="000000"/>
          <w:sz w:val="22"/>
          <w:szCs w:val="22"/>
        </w:rPr>
        <w:t xml:space="preserve">; the interval for the </w:t>
      </w:r>
      <w:r w:rsidRPr="002B761D">
        <w:rPr>
          <w:rFonts w:eastAsia="SimSun" w:cs="Times New Roman"/>
          <w:color w:val="000000"/>
          <w:sz w:val="22"/>
          <w:szCs w:val="22"/>
        </w:rPr>
        <w:t xml:space="preserve">average </w:t>
      </w:r>
      <w:r>
        <w:rPr>
          <w:rFonts w:eastAsia="SimSun" w:cs="Times New Roman"/>
          <w:color w:val="000000"/>
          <w:sz w:val="22"/>
          <w:szCs w:val="22"/>
        </w:rPr>
        <w:t xml:space="preserve">number of deaths annually is </w:t>
      </w:r>
      <w:r w:rsidRPr="002B761D">
        <w:rPr>
          <w:rFonts w:eastAsia="SimSun" w:cs="Times New Roman"/>
          <w:color w:val="000000"/>
          <w:sz w:val="22"/>
          <w:szCs w:val="22"/>
        </w:rPr>
        <w:t>1</w:t>
      </w:r>
      <w:r>
        <w:rPr>
          <w:rFonts w:eastAsia="SimSun" w:cs="Times New Roman"/>
          <w:color w:val="000000"/>
          <w:sz w:val="22"/>
          <w:szCs w:val="22"/>
        </w:rPr>
        <w:t>42</w:t>
      </w:r>
      <w:r w:rsidRPr="002B761D">
        <w:rPr>
          <w:rFonts w:eastAsia="SimSun" w:cs="Times New Roman"/>
          <w:color w:val="000000"/>
          <w:sz w:val="22"/>
          <w:szCs w:val="22"/>
        </w:rPr>
        <w:t>,000</w:t>
      </w:r>
      <w:r w:rsidRPr="002B761D">
        <w:rPr>
          <w:rFonts w:cs="Times New Roman"/>
          <w:bCs/>
          <w:sz w:val="22"/>
          <w:szCs w:val="22"/>
        </w:rPr>
        <w:t>-</w:t>
      </w:r>
      <w:r w:rsidRPr="002B761D">
        <w:rPr>
          <w:rFonts w:eastAsia="SimSun" w:cs="Times New Roman"/>
          <w:color w:val="000000"/>
          <w:sz w:val="22"/>
          <w:szCs w:val="22"/>
        </w:rPr>
        <w:t>15</w:t>
      </w:r>
      <w:r>
        <w:rPr>
          <w:rFonts w:eastAsia="SimSun" w:cs="Times New Roman"/>
          <w:color w:val="000000"/>
          <w:sz w:val="22"/>
          <w:szCs w:val="22"/>
        </w:rPr>
        <w:t>9</w:t>
      </w:r>
      <w:r w:rsidRPr="002B761D">
        <w:rPr>
          <w:rFonts w:eastAsia="SimSun" w:cs="Times New Roman"/>
          <w:color w:val="000000"/>
          <w:sz w:val="22"/>
          <w:szCs w:val="22"/>
        </w:rPr>
        <w:t>,000.</w:t>
      </w:r>
    </w:p>
    <w:p w14:paraId="7D7EFF46" w14:textId="77777777" w:rsidR="008F30F4" w:rsidRPr="00333C7B" w:rsidRDefault="008F30F4" w:rsidP="008F30F4">
      <w:pPr>
        <w:contextualSpacing/>
        <w:rPr>
          <w:rFonts w:eastAsia="DengXian" w:cs="Times New Roman"/>
          <w:color w:val="000000"/>
          <w:sz w:val="22"/>
        </w:rPr>
      </w:pPr>
      <w:r w:rsidRPr="00333C7B">
        <w:rPr>
          <w:rFonts w:eastAsia="DengXian" w:cs="Times New Roman"/>
        </w:rPr>
        <w:br w:type="page"/>
      </w:r>
    </w:p>
    <w:p w14:paraId="0C14195E" w14:textId="77777777" w:rsidR="008F30F4" w:rsidRPr="003B7DEC" w:rsidRDefault="008F30F4" w:rsidP="008F30F4">
      <w:pPr>
        <w:ind w:firstLine="0"/>
        <w:jc w:val="center"/>
        <w:rPr>
          <w:rFonts w:eastAsia="SimSun" w:cs="Times New Roman"/>
          <w:b/>
          <w:bCs/>
          <w:color w:val="000000"/>
          <w:sz w:val="22"/>
          <w:szCs w:val="22"/>
        </w:rPr>
      </w:pPr>
      <w:r w:rsidRPr="003B7DEC">
        <w:rPr>
          <w:rFonts w:eastAsia="SimSun" w:cs="Times New Roman"/>
          <w:b/>
          <w:bCs/>
          <w:color w:val="000000"/>
          <w:sz w:val="22"/>
          <w:szCs w:val="22"/>
        </w:rPr>
        <w:lastRenderedPageBreak/>
        <w:t xml:space="preserve">Table </w:t>
      </w:r>
      <w:r>
        <w:rPr>
          <w:rFonts w:eastAsia="SimSun" w:cs="Times New Roman"/>
          <w:b/>
          <w:bCs/>
          <w:color w:val="000000"/>
          <w:sz w:val="22"/>
          <w:szCs w:val="22"/>
        </w:rPr>
        <w:t>F1.</w:t>
      </w:r>
      <w:r w:rsidRPr="003B7DEC">
        <w:rPr>
          <w:rFonts w:eastAsia="SimSun" w:cs="Times New Roman"/>
          <w:b/>
          <w:bCs/>
          <w:color w:val="000000"/>
          <w:sz w:val="22"/>
          <w:szCs w:val="22"/>
        </w:rPr>
        <w:t xml:space="preserve"> Average Annual Avoided Deaths under </w:t>
      </w:r>
      <w:r>
        <w:rPr>
          <w:rFonts w:eastAsia="SimSun" w:cs="Times New Roman"/>
          <w:b/>
          <w:bCs/>
          <w:color w:val="000000"/>
          <w:sz w:val="22"/>
          <w:szCs w:val="22"/>
        </w:rPr>
        <w:t xml:space="preserve">the </w:t>
      </w:r>
      <w:r w:rsidRPr="003B7DEC">
        <w:rPr>
          <w:rFonts w:eastAsia="SimSun" w:cs="Times New Roman"/>
          <w:b/>
          <w:bCs/>
          <w:color w:val="000000"/>
          <w:sz w:val="22"/>
          <w:szCs w:val="22"/>
        </w:rPr>
        <w:t>TPS, 2020</w:t>
      </w:r>
      <w:r w:rsidRPr="007C10A5">
        <w:rPr>
          <w:rFonts w:cs="Times New Roman"/>
          <w:bCs/>
          <w:sz w:val="22"/>
          <w:szCs w:val="22"/>
        </w:rPr>
        <w:t>-</w:t>
      </w:r>
      <w:r w:rsidRPr="003B7DEC">
        <w:rPr>
          <w:rFonts w:eastAsia="SimSun" w:cs="Times New Roman"/>
          <w:b/>
          <w:bCs/>
          <w:color w:val="000000"/>
          <w:sz w:val="22"/>
          <w:szCs w:val="22"/>
        </w:rPr>
        <w:t>2035</w:t>
      </w:r>
      <w:r>
        <w:rPr>
          <w:rFonts w:eastAsia="SimSun" w:cs="Times New Roman"/>
          <w:b/>
          <w:bCs/>
          <w:color w:val="000000"/>
          <w:sz w:val="22"/>
          <w:szCs w:val="22"/>
        </w:rPr>
        <w:t xml:space="preserve"> </w:t>
      </w:r>
      <w:r w:rsidRPr="006650EA">
        <w:rPr>
          <w:rFonts w:eastAsia="SimSun" w:cs="Times New Roman"/>
          <w:b/>
          <w:bCs/>
          <w:color w:val="000000"/>
          <w:sz w:val="22"/>
          <w:szCs w:val="22"/>
        </w:rPr>
        <w:t xml:space="preserve"> (thousand)</w:t>
      </w:r>
    </w:p>
    <w:tbl>
      <w:tblPr>
        <w:tblW w:w="6322" w:type="dxa"/>
        <w:jc w:val="center"/>
        <w:tblBorders>
          <w:top w:val="single" w:sz="4" w:space="0" w:color="auto"/>
          <w:bottom w:val="single" w:sz="4" w:space="0" w:color="auto"/>
        </w:tblBorders>
        <w:tblLook w:val="04A0" w:firstRow="1" w:lastRow="0" w:firstColumn="1" w:lastColumn="0" w:noHBand="0" w:noVBand="1"/>
      </w:tblPr>
      <w:tblGrid>
        <w:gridCol w:w="1625"/>
        <w:gridCol w:w="2060"/>
        <w:gridCol w:w="2637"/>
      </w:tblGrid>
      <w:tr w:rsidR="008F30F4" w:rsidRPr="00D65F72" w14:paraId="2ED0E650" w14:textId="77777777" w:rsidTr="001F21E7">
        <w:trPr>
          <w:trHeight w:val="332"/>
          <w:jc w:val="center"/>
        </w:trPr>
        <w:tc>
          <w:tcPr>
            <w:tcW w:w="1625" w:type="dxa"/>
            <w:tcBorders>
              <w:top w:val="single" w:sz="4" w:space="0" w:color="auto"/>
              <w:bottom w:val="single" w:sz="4" w:space="0" w:color="auto"/>
            </w:tcBorders>
            <w:shd w:val="clear" w:color="auto" w:fill="auto"/>
            <w:noWrap/>
            <w:vAlign w:val="center"/>
            <w:hideMark/>
          </w:tcPr>
          <w:p w14:paraId="7A1DE537"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Provinces</w:t>
            </w:r>
          </w:p>
        </w:tc>
        <w:tc>
          <w:tcPr>
            <w:tcW w:w="2060" w:type="dxa"/>
            <w:tcBorders>
              <w:top w:val="single" w:sz="4" w:space="0" w:color="auto"/>
              <w:bottom w:val="single" w:sz="4" w:space="0" w:color="auto"/>
            </w:tcBorders>
            <w:shd w:val="clear" w:color="auto" w:fill="auto"/>
            <w:noWrap/>
            <w:vAlign w:val="center"/>
            <w:hideMark/>
          </w:tcPr>
          <w:p w14:paraId="67EF666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Annual avoided deaths</w:t>
            </w:r>
          </w:p>
        </w:tc>
        <w:tc>
          <w:tcPr>
            <w:tcW w:w="2637" w:type="dxa"/>
            <w:tcBorders>
              <w:top w:val="single" w:sz="4" w:space="0" w:color="auto"/>
              <w:bottom w:val="single" w:sz="4" w:space="0" w:color="auto"/>
            </w:tcBorders>
            <w:shd w:val="clear" w:color="auto" w:fill="auto"/>
            <w:noWrap/>
            <w:vAlign w:val="center"/>
            <w:hideMark/>
          </w:tcPr>
          <w:p w14:paraId="6638DF06"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95% confidence interval</w:t>
            </w:r>
          </w:p>
        </w:tc>
      </w:tr>
      <w:tr w:rsidR="008F30F4" w:rsidRPr="00D65F72" w14:paraId="6446C793" w14:textId="77777777" w:rsidTr="001F21E7">
        <w:trPr>
          <w:trHeight w:val="300"/>
          <w:jc w:val="center"/>
        </w:trPr>
        <w:tc>
          <w:tcPr>
            <w:tcW w:w="1625" w:type="dxa"/>
            <w:tcBorders>
              <w:top w:val="single" w:sz="4" w:space="0" w:color="auto"/>
            </w:tcBorders>
            <w:shd w:val="clear" w:color="auto" w:fill="auto"/>
            <w:noWrap/>
            <w:vAlign w:val="center"/>
            <w:hideMark/>
          </w:tcPr>
          <w:p w14:paraId="1F204B9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Beijing</w:t>
            </w:r>
          </w:p>
        </w:tc>
        <w:tc>
          <w:tcPr>
            <w:tcW w:w="2060" w:type="dxa"/>
            <w:tcBorders>
              <w:top w:val="single" w:sz="4" w:space="0" w:color="auto"/>
            </w:tcBorders>
            <w:shd w:val="clear" w:color="auto" w:fill="auto"/>
            <w:noWrap/>
            <w:vAlign w:val="center"/>
            <w:hideMark/>
          </w:tcPr>
          <w:p w14:paraId="35002F4E"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2.3</w:t>
            </w:r>
          </w:p>
        </w:tc>
        <w:tc>
          <w:tcPr>
            <w:tcW w:w="2637" w:type="dxa"/>
            <w:tcBorders>
              <w:top w:val="single" w:sz="4" w:space="0" w:color="auto"/>
            </w:tcBorders>
            <w:shd w:val="clear" w:color="auto" w:fill="auto"/>
            <w:noWrap/>
            <w:vAlign w:val="center"/>
            <w:hideMark/>
          </w:tcPr>
          <w:p w14:paraId="63238233"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(2.2,2.4)</w:t>
            </w:r>
          </w:p>
        </w:tc>
      </w:tr>
      <w:tr w:rsidR="008F30F4" w:rsidRPr="00D65F72" w14:paraId="3E896D59" w14:textId="77777777" w:rsidTr="001F21E7">
        <w:trPr>
          <w:trHeight w:val="300"/>
          <w:jc w:val="center"/>
        </w:trPr>
        <w:tc>
          <w:tcPr>
            <w:tcW w:w="1625" w:type="dxa"/>
            <w:shd w:val="clear" w:color="auto" w:fill="auto"/>
            <w:noWrap/>
            <w:vAlign w:val="center"/>
            <w:hideMark/>
          </w:tcPr>
          <w:p w14:paraId="0A634592"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Tianjin</w:t>
            </w:r>
          </w:p>
        </w:tc>
        <w:tc>
          <w:tcPr>
            <w:tcW w:w="2060" w:type="dxa"/>
            <w:shd w:val="clear" w:color="auto" w:fill="auto"/>
            <w:noWrap/>
            <w:vAlign w:val="center"/>
            <w:hideMark/>
          </w:tcPr>
          <w:p w14:paraId="1D70AC7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2.1</w:t>
            </w:r>
          </w:p>
        </w:tc>
        <w:tc>
          <w:tcPr>
            <w:tcW w:w="2637" w:type="dxa"/>
            <w:shd w:val="clear" w:color="auto" w:fill="auto"/>
            <w:noWrap/>
            <w:vAlign w:val="center"/>
            <w:hideMark/>
          </w:tcPr>
          <w:p w14:paraId="0695DE9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(2,2.2)</w:t>
            </w:r>
          </w:p>
        </w:tc>
      </w:tr>
      <w:tr w:rsidR="008F30F4" w:rsidRPr="00D65F72" w14:paraId="766C407F" w14:textId="77777777" w:rsidTr="001F21E7">
        <w:trPr>
          <w:trHeight w:val="300"/>
          <w:jc w:val="center"/>
        </w:trPr>
        <w:tc>
          <w:tcPr>
            <w:tcW w:w="1625" w:type="dxa"/>
            <w:shd w:val="clear" w:color="auto" w:fill="auto"/>
            <w:noWrap/>
            <w:vAlign w:val="center"/>
            <w:hideMark/>
          </w:tcPr>
          <w:p w14:paraId="3934BA09"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Hebei</w:t>
            </w:r>
          </w:p>
        </w:tc>
        <w:tc>
          <w:tcPr>
            <w:tcW w:w="2060" w:type="dxa"/>
            <w:shd w:val="clear" w:color="auto" w:fill="auto"/>
            <w:noWrap/>
            <w:vAlign w:val="center"/>
            <w:hideMark/>
          </w:tcPr>
          <w:p w14:paraId="36D1C8C8"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10.7</w:t>
            </w:r>
          </w:p>
        </w:tc>
        <w:tc>
          <w:tcPr>
            <w:tcW w:w="2637" w:type="dxa"/>
            <w:shd w:val="clear" w:color="auto" w:fill="auto"/>
            <w:noWrap/>
            <w:vAlign w:val="center"/>
            <w:hideMark/>
          </w:tcPr>
          <w:p w14:paraId="29106E82"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(10.2,11.2)</w:t>
            </w:r>
          </w:p>
        </w:tc>
      </w:tr>
      <w:tr w:rsidR="008F30F4" w:rsidRPr="00D65F72" w14:paraId="2B413971" w14:textId="77777777" w:rsidTr="001F21E7">
        <w:trPr>
          <w:trHeight w:val="300"/>
          <w:jc w:val="center"/>
        </w:trPr>
        <w:tc>
          <w:tcPr>
            <w:tcW w:w="1625" w:type="dxa"/>
            <w:shd w:val="clear" w:color="auto" w:fill="auto"/>
            <w:noWrap/>
            <w:vAlign w:val="center"/>
            <w:hideMark/>
          </w:tcPr>
          <w:p w14:paraId="31F34F1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Shanxi</w:t>
            </w:r>
          </w:p>
        </w:tc>
        <w:tc>
          <w:tcPr>
            <w:tcW w:w="2060" w:type="dxa"/>
            <w:shd w:val="clear" w:color="auto" w:fill="auto"/>
            <w:noWrap/>
            <w:vAlign w:val="center"/>
            <w:hideMark/>
          </w:tcPr>
          <w:p w14:paraId="5E2DB7B6"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5.3</w:t>
            </w:r>
          </w:p>
        </w:tc>
        <w:tc>
          <w:tcPr>
            <w:tcW w:w="2637" w:type="dxa"/>
            <w:shd w:val="clear" w:color="auto" w:fill="auto"/>
            <w:noWrap/>
            <w:vAlign w:val="center"/>
            <w:hideMark/>
          </w:tcPr>
          <w:p w14:paraId="1AEDAE37"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(5,5.6)</w:t>
            </w:r>
          </w:p>
        </w:tc>
      </w:tr>
      <w:tr w:rsidR="008F30F4" w:rsidRPr="00D65F72" w14:paraId="7F4F8F25" w14:textId="77777777" w:rsidTr="001F21E7">
        <w:trPr>
          <w:trHeight w:val="300"/>
          <w:jc w:val="center"/>
        </w:trPr>
        <w:tc>
          <w:tcPr>
            <w:tcW w:w="1625" w:type="dxa"/>
            <w:shd w:val="clear" w:color="auto" w:fill="auto"/>
            <w:noWrap/>
            <w:vAlign w:val="center"/>
            <w:hideMark/>
          </w:tcPr>
          <w:p w14:paraId="0045662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Inner Mongolia</w:t>
            </w:r>
          </w:p>
        </w:tc>
        <w:tc>
          <w:tcPr>
            <w:tcW w:w="2060" w:type="dxa"/>
            <w:shd w:val="clear" w:color="auto" w:fill="auto"/>
            <w:noWrap/>
            <w:vAlign w:val="center"/>
            <w:hideMark/>
          </w:tcPr>
          <w:p w14:paraId="016C2E80"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1.6</w:t>
            </w:r>
          </w:p>
        </w:tc>
        <w:tc>
          <w:tcPr>
            <w:tcW w:w="2637" w:type="dxa"/>
            <w:shd w:val="clear" w:color="auto" w:fill="auto"/>
            <w:noWrap/>
            <w:vAlign w:val="center"/>
            <w:hideMark/>
          </w:tcPr>
          <w:p w14:paraId="2E40998D"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(1.5,1.7)</w:t>
            </w:r>
          </w:p>
        </w:tc>
      </w:tr>
      <w:tr w:rsidR="008F30F4" w:rsidRPr="00D65F72" w14:paraId="6B1140D7" w14:textId="77777777" w:rsidTr="001F21E7">
        <w:trPr>
          <w:trHeight w:val="300"/>
          <w:jc w:val="center"/>
        </w:trPr>
        <w:tc>
          <w:tcPr>
            <w:tcW w:w="1625" w:type="dxa"/>
            <w:shd w:val="clear" w:color="auto" w:fill="auto"/>
            <w:noWrap/>
            <w:vAlign w:val="center"/>
            <w:hideMark/>
          </w:tcPr>
          <w:p w14:paraId="2A338A8F"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Liaoning</w:t>
            </w:r>
          </w:p>
        </w:tc>
        <w:tc>
          <w:tcPr>
            <w:tcW w:w="2060" w:type="dxa"/>
            <w:shd w:val="clear" w:color="auto" w:fill="auto"/>
            <w:noWrap/>
            <w:vAlign w:val="center"/>
            <w:hideMark/>
          </w:tcPr>
          <w:p w14:paraId="16575D3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5.0</w:t>
            </w:r>
          </w:p>
        </w:tc>
        <w:tc>
          <w:tcPr>
            <w:tcW w:w="2637" w:type="dxa"/>
            <w:shd w:val="clear" w:color="auto" w:fill="auto"/>
            <w:noWrap/>
            <w:vAlign w:val="center"/>
            <w:hideMark/>
          </w:tcPr>
          <w:p w14:paraId="309F51C8"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(4.8,5.3)</w:t>
            </w:r>
          </w:p>
        </w:tc>
      </w:tr>
      <w:tr w:rsidR="008F30F4" w:rsidRPr="00D65F72" w14:paraId="08A46307" w14:textId="77777777" w:rsidTr="001F21E7">
        <w:trPr>
          <w:trHeight w:val="300"/>
          <w:jc w:val="center"/>
        </w:trPr>
        <w:tc>
          <w:tcPr>
            <w:tcW w:w="1625" w:type="dxa"/>
            <w:shd w:val="clear" w:color="auto" w:fill="auto"/>
            <w:noWrap/>
            <w:vAlign w:val="center"/>
            <w:hideMark/>
          </w:tcPr>
          <w:p w14:paraId="0FF17A7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Jilin</w:t>
            </w:r>
          </w:p>
        </w:tc>
        <w:tc>
          <w:tcPr>
            <w:tcW w:w="2060" w:type="dxa"/>
            <w:shd w:val="clear" w:color="auto" w:fill="auto"/>
            <w:noWrap/>
            <w:vAlign w:val="center"/>
            <w:hideMark/>
          </w:tcPr>
          <w:p w14:paraId="3DF49C9F"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1.9</w:t>
            </w:r>
          </w:p>
        </w:tc>
        <w:tc>
          <w:tcPr>
            <w:tcW w:w="2637" w:type="dxa"/>
            <w:shd w:val="clear" w:color="auto" w:fill="auto"/>
            <w:noWrap/>
            <w:vAlign w:val="center"/>
            <w:hideMark/>
          </w:tcPr>
          <w:p w14:paraId="6C2954B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(1.8,2)</w:t>
            </w:r>
          </w:p>
        </w:tc>
      </w:tr>
      <w:tr w:rsidR="008F30F4" w:rsidRPr="00D65F72" w14:paraId="7F7253EE" w14:textId="77777777" w:rsidTr="001F21E7">
        <w:trPr>
          <w:trHeight w:val="300"/>
          <w:jc w:val="center"/>
        </w:trPr>
        <w:tc>
          <w:tcPr>
            <w:tcW w:w="1625" w:type="dxa"/>
            <w:shd w:val="clear" w:color="auto" w:fill="auto"/>
            <w:noWrap/>
            <w:vAlign w:val="center"/>
            <w:hideMark/>
          </w:tcPr>
          <w:p w14:paraId="2577B5F9"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Heilongjiang</w:t>
            </w:r>
          </w:p>
        </w:tc>
        <w:tc>
          <w:tcPr>
            <w:tcW w:w="2060" w:type="dxa"/>
            <w:shd w:val="clear" w:color="auto" w:fill="auto"/>
            <w:noWrap/>
            <w:vAlign w:val="center"/>
            <w:hideMark/>
          </w:tcPr>
          <w:p w14:paraId="7C8CCE4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1.0</w:t>
            </w:r>
          </w:p>
        </w:tc>
        <w:tc>
          <w:tcPr>
            <w:tcW w:w="2637" w:type="dxa"/>
            <w:shd w:val="clear" w:color="auto" w:fill="auto"/>
            <w:noWrap/>
            <w:vAlign w:val="center"/>
            <w:hideMark/>
          </w:tcPr>
          <w:p w14:paraId="40D3265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(0.9,1)</w:t>
            </w:r>
          </w:p>
        </w:tc>
      </w:tr>
      <w:tr w:rsidR="008F30F4" w:rsidRPr="00D65F72" w14:paraId="760EF20A" w14:textId="77777777" w:rsidTr="001F21E7">
        <w:trPr>
          <w:trHeight w:val="300"/>
          <w:jc w:val="center"/>
        </w:trPr>
        <w:tc>
          <w:tcPr>
            <w:tcW w:w="1625" w:type="dxa"/>
            <w:shd w:val="clear" w:color="auto" w:fill="auto"/>
            <w:noWrap/>
            <w:vAlign w:val="center"/>
            <w:hideMark/>
          </w:tcPr>
          <w:p w14:paraId="600AD57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Shanghai</w:t>
            </w:r>
          </w:p>
        </w:tc>
        <w:tc>
          <w:tcPr>
            <w:tcW w:w="2060" w:type="dxa"/>
            <w:shd w:val="clear" w:color="auto" w:fill="auto"/>
            <w:noWrap/>
            <w:vAlign w:val="center"/>
            <w:hideMark/>
          </w:tcPr>
          <w:p w14:paraId="1AACD1FD"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2.9</w:t>
            </w:r>
          </w:p>
        </w:tc>
        <w:tc>
          <w:tcPr>
            <w:tcW w:w="2637" w:type="dxa"/>
            <w:shd w:val="clear" w:color="auto" w:fill="auto"/>
            <w:noWrap/>
            <w:vAlign w:val="center"/>
            <w:hideMark/>
          </w:tcPr>
          <w:p w14:paraId="73008583"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(2.8,3.1)</w:t>
            </w:r>
          </w:p>
        </w:tc>
      </w:tr>
      <w:tr w:rsidR="008F30F4" w:rsidRPr="00D65F72" w14:paraId="7C6283D4" w14:textId="77777777" w:rsidTr="001F21E7">
        <w:trPr>
          <w:trHeight w:val="300"/>
          <w:jc w:val="center"/>
        </w:trPr>
        <w:tc>
          <w:tcPr>
            <w:tcW w:w="1625" w:type="dxa"/>
            <w:shd w:val="clear" w:color="auto" w:fill="auto"/>
            <w:noWrap/>
            <w:vAlign w:val="center"/>
            <w:hideMark/>
          </w:tcPr>
          <w:p w14:paraId="366868C9"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Jiangsu</w:t>
            </w:r>
          </w:p>
        </w:tc>
        <w:tc>
          <w:tcPr>
            <w:tcW w:w="2060" w:type="dxa"/>
            <w:shd w:val="clear" w:color="auto" w:fill="auto"/>
            <w:noWrap/>
            <w:vAlign w:val="center"/>
            <w:hideMark/>
          </w:tcPr>
          <w:p w14:paraId="5E88CA4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10.0</w:t>
            </w:r>
          </w:p>
        </w:tc>
        <w:tc>
          <w:tcPr>
            <w:tcW w:w="2637" w:type="dxa"/>
            <w:shd w:val="clear" w:color="auto" w:fill="auto"/>
            <w:noWrap/>
            <w:vAlign w:val="center"/>
            <w:hideMark/>
          </w:tcPr>
          <w:p w14:paraId="40C5B94D"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(9.4,10.5)</w:t>
            </w:r>
          </w:p>
        </w:tc>
      </w:tr>
      <w:tr w:rsidR="008F30F4" w:rsidRPr="00D65F72" w14:paraId="76F004F8" w14:textId="77777777" w:rsidTr="001F21E7">
        <w:trPr>
          <w:trHeight w:val="300"/>
          <w:jc w:val="center"/>
        </w:trPr>
        <w:tc>
          <w:tcPr>
            <w:tcW w:w="1625" w:type="dxa"/>
            <w:shd w:val="clear" w:color="auto" w:fill="auto"/>
            <w:noWrap/>
            <w:vAlign w:val="center"/>
            <w:hideMark/>
          </w:tcPr>
          <w:p w14:paraId="6A685971"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Zhejiang</w:t>
            </w:r>
          </w:p>
        </w:tc>
        <w:tc>
          <w:tcPr>
            <w:tcW w:w="2060" w:type="dxa"/>
            <w:shd w:val="clear" w:color="auto" w:fill="auto"/>
            <w:noWrap/>
            <w:vAlign w:val="center"/>
            <w:hideMark/>
          </w:tcPr>
          <w:p w14:paraId="403C46F3"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5.9</w:t>
            </w:r>
          </w:p>
        </w:tc>
        <w:tc>
          <w:tcPr>
            <w:tcW w:w="2637" w:type="dxa"/>
            <w:shd w:val="clear" w:color="auto" w:fill="auto"/>
            <w:noWrap/>
            <w:vAlign w:val="center"/>
            <w:hideMark/>
          </w:tcPr>
          <w:p w14:paraId="637ABEA1"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(5.6,6.3)</w:t>
            </w:r>
          </w:p>
        </w:tc>
      </w:tr>
      <w:tr w:rsidR="008F30F4" w:rsidRPr="00D65F72" w14:paraId="79DD6806" w14:textId="77777777" w:rsidTr="001F21E7">
        <w:trPr>
          <w:trHeight w:val="300"/>
          <w:jc w:val="center"/>
        </w:trPr>
        <w:tc>
          <w:tcPr>
            <w:tcW w:w="1625" w:type="dxa"/>
            <w:shd w:val="clear" w:color="auto" w:fill="auto"/>
            <w:noWrap/>
            <w:vAlign w:val="center"/>
            <w:hideMark/>
          </w:tcPr>
          <w:p w14:paraId="70FBA02B"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Anhui</w:t>
            </w:r>
          </w:p>
        </w:tc>
        <w:tc>
          <w:tcPr>
            <w:tcW w:w="2060" w:type="dxa"/>
            <w:shd w:val="clear" w:color="auto" w:fill="auto"/>
            <w:noWrap/>
            <w:vAlign w:val="center"/>
            <w:hideMark/>
          </w:tcPr>
          <w:p w14:paraId="003C780D"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7.2</w:t>
            </w:r>
          </w:p>
        </w:tc>
        <w:tc>
          <w:tcPr>
            <w:tcW w:w="2637" w:type="dxa"/>
            <w:shd w:val="clear" w:color="auto" w:fill="auto"/>
            <w:noWrap/>
            <w:vAlign w:val="center"/>
            <w:hideMark/>
          </w:tcPr>
          <w:p w14:paraId="2AD649E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(6.7,7.6)</w:t>
            </w:r>
          </w:p>
        </w:tc>
      </w:tr>
      <w:tr w:rsidR="008F30F4" w:rsidRPr="00D65F72" w14:paraId="1ADE5473" w14:textId="77777777" w:rsidTr="001F21E7">
        <w:trPr>
          <w:trHeight w:val="300"/>
          <w:jc w:val="center"/>
        </w:trPr>
        <w:tc>
          <w:tcPr>
            <w:tcW w:w="1625" w:type="dxa"/>
            <w:shd w:val="clear" w:color="auto" w:fill="auto"/>
            <w:noWrap/>
            <w:vAlign w:val="center"/>
            <w:hideMark/>
          </w:tcPr>
          <w:p w14:paraId="3DEC9F3F"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Fujian</w:t>
            </w:r>
          </w:p>
        </w:tc>
        <w:tc>
          <w:tcPr>
            <w:tcW w:w="2060" w:type="dxa"/>
            <w:shd w:val="clear" w:color="auto" w:fill="auto"/>
            <w:noWrap/>
            <w:vAlign w:val="center"/>
            <w:hideMark/>
          </w:tcPr>
          <w:p w14:paraId="39A61179"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3.8</w:t>
            </w:r>
          </w:p>
        </w:tc>
        <w:tc>
          <w:tcPr>
            <w:tcW w:w="2637" w:type="dxa"/>
            <w:shd w:val="clear" w:color="auto" w:fill="auto"/>
            <w:noWrap/>
            <w:vAlign w:val="center"/>
            <w:hideMark/>
          </w:tcPr>
          <w:p w14:paraId="32F923C7"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(3.6,4.1)</w:t>
            </w:r>
          </w:p>
        </w:tc>
      </w:tr>
      <w:tr w:rsidR="008F30F4" w:rsidRPr="00D65F72" w14:paraId="1BE10723" w14:textId="77777777" w:rsidTr="001F21E7">
        <w:trPr>
          <w:trHeight w:val="300"/>
          <w:jc w:val="center"/>
        </w:trPr>
        <w:tc>
          <w:tcPr>
            <w:tcW w:w="1625" w:type="dxa"/>
            <w:shd w:val="clear" w:color="auto" w:fill="auto"/>
            <w:noWrap/>
            <w:vAlign w:val="center"/>
            <w:hideMark/>
          </w:tcPr>
          <w:p w14:paraId="5E5A7A5F"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Jiangxi</w:t>
            </w:r>
          </w:p>
        </w:tc>
        <w:tc>
          <w:tcPr>
            <w:tcW w:w="2060" w:type="dxa"/>
            <w:shd w:val="clear" w:color="auto" w:fill="auto"/>
            <w:noWrap/>
            <w:vAlign w:val="center"/>
            <w:hideMark/>
          </w:tcPr>
          <w:p w14:paraId="50156A00"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5.5</w:t>
            </w:r>
          </w:p>
        </w:tc>
        <w:tc>
          <w:tcPr>
            <w:tcW w:w="2637" w:type="dxa"/>
            <w:shd w:val="clear" w:color="auto" w:fill="auto"/>
            <w:noWrap/>
            <w:vAlign w:val="center"/>
            <w:hideMark/>
          </w:tcPr>
          <w:p w14:paraId="6090538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(5.1,5.8)</w:t>
            </w:r>
          </w:p>
        </w:tc>
      </w:tr>
      <w:tr w:rsidR="008F30F4" w:rsidRPr="00D65F72" w14:paraId="653DDC6E" w14:textId="77777777" w:rsidTr="001F21E7">
        <w:trPr>
          <w:trHeight w:val="300"/>
          <w:jc w:val="center"/>
        </w:trPr>
        <w:tc>
          <w:tcPr>
            <w:tcW w:w="1625" w:type="dxa"/>
            <w:shd w:val="clear" w:color="auto" w:fill="auto"/>
            <w:noWrap/>
            <w:vAlign w:val="center"/>
            <w:hideMark/>
          </w:tcPr>
          <w:p w14:paraId="22DB79D2"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Shandong</w:t>
            </w:r>
          </w:p>
        </w:tc>
        <w:tc>
          <w:tcPr>
            <w:tcW w:w="2060" w:type="dxa"/>
            <w:shd w:val="clear" w:color="auto" w:fill="auto"/>
            <w:noWrap/>
            <w:vAlign w:val="center"/>
            <w:hideMark/>
          </w:tcPr>
          <w:p w14:paraId="58DD384B"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13.0</w:t>
            </w:r>
          </w:p>
        </w:tc>
        <w:tc>
          <w:tcPr>
            <w:tcW w:w="2637" w:type="dxa"/>
            <w:shd w:val="clear" w:color="auto" w:fill="auto"/>
            <w:noWrap/>
            <w:vAlign w:val="center"/>
            <w:hideMark/>
          </w:tcPr>
          <w:p w14:paraId="39C5684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(12.3,13.6)</w:t>
            </w:r>
          </w:p>
        </w:tc>
      </w:tr>
      <w:tr w:rsidR="008F30F4" w:rsidRPr="00D65F72" w14:paraId="31522BE3" w14:textId="77777777" w:rsidTr="001F21E7">
        <w:trPr>
          <w:trHeight w:val="300"/>
          <w:jc w:val="center"/>
        </w:trPr>
        <w:tc>
          <w:tcPr>
            <w:tcW w:w="1625" w:type="dxa"/>
            <w:shd w:val="clear" w:color="auto" w:fill="auto"/>
            <w:noWrap/>
            <w:vAlign w:val="center"/>
            <w:hideMark/>
          </w:tcPr>
          <w:p w14:paraId="113E5F1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Henan</w:t>
            </w:r>
          </w:p>
        </w:tc>
        <w:tc>
          <w:tcPr>
            <w:tcW w:w="2060" w:type="dxa"/>
            <w:shd w:val="clear" w:color="auto" w:fill="auto"/>
            <w:noWrap/>
            <w:vAlign w:val="center"/>
            <w:hideMark/>
          </w:tcPr>
          <w:p w14:paraId="20D3149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15.0</w:t>
            </w:r>
          </w:p>
        </w:tc>
        <w:tc>
          <w:tcPr>
            <w:tcW w:w="2637" w:type="dxa"/>
            <w:shd w:val="clear" w:color="auto" w:fill="auto"/>
            <w:noWrap/>
            <w:vAlign w:val="center"/>
            <w:hideMark/>
          </w:tcPr>
          <w:p w14:paraId="5CC94B1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(14.2,15.8)</w:t>
            </w:r>
          </w:p>
        </w:tc>
      </w:tr>
      <w:tr w:rsidR="008F30F4" w:rsidRPr="00D65F72" w14:paraId="5ACAF328" w14:textId="77777777" w:rsidTr="001F21E7">
        <w:trPr>
          <w:trHeight w:val="300"/>
          <w:jc w:val="center"/>
        </w:trPr>
        <w:tc>
          <w:tcPr>
            <w:tcW w:w="1625" w:type="dxa"/>
            <w:shd w:val="clear" w:color="auto" w:fill="auto"/>
            <w:noWrap/>
            <w:vAlign w:val="center"/>
            <w:hideMark/>
          </w:tcPr>
          <w:p w14:paraId="386A7357"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Hubei</w:t>
            </w:r>
          </w:p>
        </w:tc>
        <w:tc>
          <w:tcPr>
            <w:tcW w:w="2060" w:type="dxa"/>
            <w:shd w:val="clear" w:color="auto" w:fill="auto"/>
            <w:noWrap/>
            <w:vAlign w:val="center"/>
            <w:hideMark/>
          </w:tcPr>
          <w:p w14:paraId="66D79C3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7.0</w:t>
            </w:r>
          </w:p>
        </w:tc>
        <w:tc>
          <w:tcPr>
            <w:tcW w:w="2637" w:type="dxa"/>
            <w:shd w:val="clear" w:color="auto" w:fill="auto"/>
            <w:noWrap/>
            <w:vAlign w:val="center"/>
            <w:hideMark/>
          </w:tcPr>
          <w:p w14:paraId="789081A8"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(6.6,7.4)</w:t>
            </w:r>
          </w:p>
        </w:tc>
      </w:tr>
      <w:tr w:rsidR="008F30F4" w:rsidRPr="00D65F72" w14:paraId="007F003D" w14:textId="77777777" w:rsidTr="001F21E7">
        <w:trPr>
          <w:trHeight w:val="300"/>
          <w:jc w:val="center"/>
        </w:trPr>
        <w:tc>
          <w:tcPr>
            <w:tcW w:w="1625" w:type="dxa"/>
            <w:shd w:val="clear" w:color="auto" w:fill="auto"/>
            <w:noWrap/>
            <w:vAlign w:val="center"/>
            <w:hideMark/>
          </w:tcPr>
          <w:p w14:paraId="36DF1960"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Hunan</w:t>
            </w:r>
          </w:p>
        </w:tc>
        <w:tc>
          <w:tcPr>
            <w:tcW w:w="2060" w:type="dxa"/>
            <w:shd w:val="clear" w:color="auto" w:fill="auto"/>
            <w:noWrap/>
            <w:vAlign w:val="center"/>
            <w:hideMark/>
          </w:tcPr>
          <w:p w14:paraId="27DD5B88"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6.8</w:t>
            </w:r>
          </w:p>
        </w:tc>
        <w:tc>
          <w:tcPr>
            <w:tcW w:w="2637" w:type="dxa"/>
            <w:shd w:val="clear" w:color="auto" w:fill="auto"/>
            <w:noWrap/>
            <w:vAlign w:val="center"/>
            <w:hideMark/>
          </w:tcPr>
          <w:p w14:paraId="720D3A3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(6.4,7.1)</w:t>
            </w:r>
          </w:p>
        </w:tc>
      </w:tr>
      <w:tr w:rsidR="008F30F4" w:rsidRPr="00D65F72" w14:paraId="283F438A" w14:textId="77777777" w:rsidTr="001F21E7">
        <w:trPr>
          <w:trHeight w:val="300"/>
          <w:jc w:val="center"/>
        </w:trPr>
        <w:tc>
          <w:tcPr>
            <w:tcW w:w="1625" w:type="dxa"/>
            <w:shd w:val="clear" w:color="auto" w:fill="auto"/>
            <w:noWrap/>
            <w:vAlign w:val="center"/>
            <w:hideMark/>
          </w:tcPr>
          <w:p w14:paraId="2338D6BD"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Guangdong</w:t>
            </w:r>
          </w:p>
        </w:tc>
        <w:tc>
          <w:tcPr>
            <w:tcW w:w="2060" w:type="dxa"/>
            <w:shd w:val="clear" w:color="auto" w:fill="auto"/>
            <w:noWrap/>
            <w:vAlign w:val="center"/>
            <w:hideMark/>
          </w:tcPr>
          <w:p w14:paraId="5692DB70"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11.8</w:t>
            </w:r>
          </w:p>
        </w:tc>
        <w:tc>
          <w:tcPr>
            <w:tcW w:w="2637" w:type="dxa"/>
            <w:shd w:val="clear" w:color="auto" w:fill="auto"/>
            <w:noWrap/>
            <w:vAlign w:val="center"/>
            <w:hideMark/>
          </w:tcPr>
          <w:p w14:paraId="5AF947AB"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(11.1,12.6)</w:t>
            </w:r>
          </w:p>
        </w:tc>
      </w:tr>
      <w:tr w:rsidR="008F30F4" w:rsidRPr="00D65F72" w14:paraId="1C8A9986" w14:textId="77777777" w:rsidTr="001F21E7">
        <w:trPr>
          <w:trHeight w:val="300"/>
          <w:jc w:val="center"/>
        </w:trPr>
        <w:tc>
          <w:tcPr>
            <w:tcW w:w="1625" w:type="dxa"/>
            <w:shd w:val="clear" w:color="auto" w:fill="auto"/>
            <w:noWrap/>
            <w:vAlign w:val="center"/>
            <w:hideMark/>
          </w:tcPr>
          <w:p w14:paraId="1E0EC580"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Guangxi</w:t>
            </w:r>
          </w:p>
        </w:tc>
        <w:tc>
          <w:tcPr>
            <w:tcW w:w="2060" w:type="dxa"/>
            <w:shd w:val="clear" w:color="auto" w:fill="auto"/>
            <w:noWrap/>
            <w:vAlign w:val="center"/>
            <w:hideMark/>
          </w:tcPr>
          <w:p w14:paraId="37BB741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5.7</w:t>
            </w:r>
          </w:p>
        </w:tc>
        <w:tc>
          <w:tcPr>
            <w:tcW w:w="2637" w:type="dxa"/>
            <w:shd w:val="clear" w:color="auto" w:fill="auto"/>
            <w:noWrap/>
            <w:vAlign w:val="center"/>
            <w:hideMark/>
          </w:tcPr>
          <w:p w14:paraId="2D61D08E"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(5.4,6)</w:t>
            </w:r>
          </w:p>
        </w:tc>
      </w:tr>
      <w:tr w:rsidR="008F30F4" w:rsidRPr="00D65F72" w14:paraId="14A5A4FB" w14:textId="77777777" w:rsidTr="001F21E7">
        <w:trPr>
          <w:trHeight w:val="300"/>
          <w:jc w:val="center"/>
        </w:trPr>
        <w:tc>
          <w:tcPr>
            <w:tcW w:w="1625" w:type="dxa"/>
            <w:shd w:val="clear" w:color="auto" w:fill="auto"/>
            <w:noWrap/>
            <w:vAlign w:val="center"/>
            <w:hideMark/>
          </w:tcPr>
          <w:p w14:paraId="0C307D87"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Hainan</w:t>
            </w:r>
          </w:p>
        </w:tc>
        <w:tc>
          <w:tcPr>
            <w:tcW w:w="2060" w:type="dxa"/>
            <w:shd w:val="clear" w:color="auto" w:fill="auto"/>
            <w:noWrap/>
            <w:vAlign w:val="center"/>
            <w:hideMark/>
          </w:tcPr>
          <w:p w14:paraId="3B4C6156"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0.6</w:t>
            </w:r>
          </w:p>
        </w:tc>
        <w:tc>
          <w:tcPr>
            <w:tcW w:w="2637" w:type="dxa"/>
            <w:shd w:val="clear" w:color="auto" w:fill="auto"/>
            <w:noWrap/>
            <w:vAlign w:val="center"/>
            <w:hideMark/>
          </w:tcPr>
          <w:p w14:paraId="7C3EEA0B"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(0.6,0.7)</w:t>
            </w:r>
          </w:p>
        </w:tc>
      </w:tr>
      <w:tr w:rsidR="008F30F4" w:rsidRPr="00D65F72" w14:paraId="6D1AF877" w14:textId="77777777" w:rsidTr="001F21E7">
        <w:trPr>
          <w:trHeight w:val="300"/>
          <w:jc w:val="center"/>
        </w:trPr>
        <w:tc>
          <w:tcPr>
            <w:tcW w:w="1625" w:type="dxa"/>
            <w:shd w:val="clear" w:color="auto" w:fill="auto"/>
            <w:noWrap/>
            <w:vAlign w:val="center"/>
            <w:hideMark/>
          </w:tcPr>
          <w:p w14:paraId="31B6E3C3"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Chongqing</w:t>
            </w:r>
          </w:p>
        </w:tc>
        <w:tc>
          <w:tcPr>
            <w:tcW w:w="2060" w:type="dxa"/>
            <w:shd w:val="clear" w:color="auto" w:fill="auto"/>
            <w:noWrap/>
            <w:vAlign w:val="center"/>
            <w:hideMark/>
          </w:tcPr>
          <w:p w14:paraId="504C7A9E"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2.5</w:t>
            </w:r>
          </w:p>
        </w:tc>
        <w:tc>
          <w:tcPr>
            <w:tcW w:w="2637" w:type="dxa"/>
            <w:shd w:val="clear" w:color="auto" w:fill="auto"/>
            <w:noWrap/>
            <w:vAlign w:val="center"/>
            <w:hideMark/>
          </w:tcPr>
          <w:p w14:paraId="2108E3E1"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(2.3,2.6)</w:t>
            </w:r>
          </w:p>
        </w:tc>
      </w:tr>
      <w:tr w:rsidR="008F30F4" w:rsidRPr="00D65F72" w14:paraId="2D8B6516" w14:textId="77777777" w:rsidTr="001F21E7">
        <w:trPr>
          <w:trHeight w:val="300"/>
          <w:jc w:val="center"/>
        </w:trPr>
        <w:tc>
          <w:tcPr>
            <w:tcW w:w="1625" w:type="dxa"/>
            <w:shd w:val="clear" w:color="auto" w:fill="auto"/>
            <w:noWrap/>
            <w:vAlign w:val="center"/>
            <w:hideMark/>
          </w:tcPr>
          <w:p w14:paraId="3EBAE33E"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Sichuan</w:t>
            </w:r>
          </w:p>
        </w:tc>
        <w:tc>
          <w:tcPr>
            <w:tcW w:w="2060" w:type="dxa"/>
            <w:shd w:val="clear" w:color="auto" w:fill="auto"/>
            <w:noWrap/>
            <w:vAlign w:val="center"/>
            <w:hideMark/>
          </w:tcPr>
          <w:p w14:paraId="22AC9EA9"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7.8</w:t>
            </w:r>
          </w:p>
        </w:tc>
        <w:tc>
          <w:tcPr>
            <w:tcW w:w="2637" w:type="dxa"/>
            <w:shd w:val="clear" w:color="auto" w:fill="auto"/>
            <w:noWrap/>
            <w:vAlign w:val="center"/>
            <w:hideMark/>
          </w:tcPr>
          <w:p w14:paraId="534F8AC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(7.4,8.3)</w:t>
            </w:r>
          </w:p>
        </w:tc>
      </w:tr>
      <w:tr w:rsidR="008F30F4" w:rsidRPr="00D65F72" w14:paraId="47CBCB20" w14:textId="77777777" w:rsidTr="001F21E7">
        <w:trPr>
          <w:trHeight w:val="300"/>
          <w:jc w:val="center"/>
        </w:trPr>
        <w:tc>
          <w:tcPr>
            <w:tcW w:w="1625" w:type="dxa"/>
            <w:shd w:val="clear" w:color="auto" w:fill="auto"/>
            <w:noWrap/>
            <w:vAlign w:val="center"/>
            <w:hideMark/>
          </w:tcPr>
          <w:p w14:paraId="57B1B556"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Guizhou</w:t>
            </w:r>
          </w:p>
        </w:tc>
        <w:tc>
          <w:tcPr>
            <w:tcW w:w="2060" w:type="dxa"/>
            <w:shd w:val="clear" w:color="auto" w:fill="auto"/>
            <w:noWrap/>
            <w:vAlign w:val="center"/>
            <w:hideMark/>
          </w:tcPr>
          <w:p w14:paraId="578694D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2.1</w:t>
            </w:r>
          </w:p>
        </w:tc>
        <w:tc>
          <w:tcPr>
            <w:tcW w:w="2637" w:type="dxa"/>
            <w:shd w:val="clear" w:color="auto" w:fill="auto"/>
            <w:noWrap/>
            <w:vAlign w:val="center"/>
            <w:hideMark/>
          </w:tcPr>
          <w:p w14:paraId="610995F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(2,2.2)</w:t>
            </w:r>
          </w:p>
        </w:tc>
      </w:tr>
      <w:tr w:rsidR="008F30F4" w:rsidRPr="00D65F72" w14:paraId="63F6771F" w14:textId="77777777" w:rsidTr="001F21E7">
        <w:trPr>
          <w:trHeight w:val="300"/>
          <w:jc w:val="center"/>
        </w:trPr>
        <w:tc>
          <w:tcPr>
            <w:tcW w:w="1625" w:type="dxa"/>
            <w:shd w:val="clear" w:color="auto" w:fill="auto"/>
            <w:noWrap/>
            <w:vAlign w:val="center"/>
            <w:hideMark/>
          </w:tcPr>
          <w:p w14:paraId="703C57A6"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Yunnan</w:t>
            </w:r>
          </w:p>
        </w:tc>
        <w:tc>
          <w:tcPr>
            <w:tcW w:w="2060" w:type="dxa"/>
            <w:shd w:val="clear" w:color="auto" w:fill="auto"/>
            <w:noWrap/>
            <w:vAlign w:val="center"/>
            <w:hideMark/>
          </w:tcPr>
          <w:p w14:paraId="55FB710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3.3</w:t>
            </w:r>
          </w:p>
        </w:tc>
        <w:tc>
          <w:tcPr>
            <w:tcW w:w="2637" w:type="dxa"/>
            <w:shd w:val="clear" w:color="auto" w:fill="auto"/>
            <w:noWrap/>
            <w:vAlign w:val="center"/>
            <w:hideMark/>
          </w:tcPr>
          <w:p w14:paraId="2A2B8E1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(3.1,3.6)</w:t>
            </w:r>
          </w:p>
        </w:tc>
      </w:tr>
      <w:tr w:rsidR="008F30F4" w:rsidRPr="00D65F72" w14:paraId="2152F0B1" w14:textId="77777777" w:rsidTr="001F21E7">
        <w:trPr>
          <w:trHeight w:val="300"/>
          <w:jc w:val="center"/>
        </w:trPr>
        <w:tc>
          <w:tcPr>
            <w:tcW w:w="1625" w:type="dxa"/>
            <w:shd w:val="clear" w:color="auto" w:fill="auto"/>
            <w:noWrap/>
            <w:vAlign w:val="center"/>
            <w:hideMark/>
          </w:tcPr>
          <w:p w14:paraId="0144C2A6" w14:textId="77777777" w:rsidR="008F30F4" w:rsidRPr="00D65F72" w:rsidRDefault="008F30F4" w:rsidP="001F21E7">
            <w:pPr>
              <w:spacing w:before="0" w:line="240" w:lineRule="auto"/>
              <w:ind w:firstLine="0"/>
              <w:jc w:val="center"/>
              <w:rPr>
                <w:rFonts w:eastAsia="DengXian" w:cs="Times New Roman"/>
                <w:color w:val="000000"/>
                <w:sz w:val="20"/>
                <w:szCs w:val="20"/>
              </w:rPr>
            </w:pPr>
            <w:r>
              <w:rPr>
                <w:rFonts w:eastAsia="DengXian" w:cs="Times New Roman"/>
                <w:color w:val="000000"/>
                <w:sz w:val="20"/>
                <w:szCs w:val="20"/>
              </w:rPr>
              <w:t>Tibet</w:t>
            </w:r>
          </w:p>
        </w:tc>
        <w:tc>
          <w:tcPr>
            <w:tcW w:w="2060" w:type="dxa"/>
            <w:shd w:val="clear" w:color="auto" w:fill="auto"/>
            <w:noWrap/>
            <w:vAlign w:val="center"/>
            <w:hideMark/>
          </w:tcPr>
          <w:p w14:paraId="45EBFA60"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0.1</w:t>
            </w:r>
          </w:p>
        </w:tc>
        <w:tc>
          <w:tcPr>
            <w:tcW w:w="2637" w:type="dxa"/>
            <w:shd w:val="clear" w:color="auto" w:fill="auto"/>
            <w:noWrap/>
            <w:vAlign w:val="center"/>
            <w:hideMark/>
          </w:tcPr>
          <w:p w14:paraId="08F104D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(0.1,0.1)</w:t>
            </w:r>
          </w:p>
        </w:tc>
      </w:tr>
      <w:tr w:rsidR="008F30F4" w:rsidRPr="00D65F72" w14:paraId="441D303B" w14:textId="77777777" w:rsidTr="001F21E7">
        <w:trPr>
          <w:trHeight w:val="300"/>
          <w:jc w:val="center"/>
        </w:trPr>
        <w:tc>
          <w:tcPr>
            <w:tcW w:w="1625" w:type="dxa"/>
            <w:shd w:val="clear" w:color="auto" w:fill="auto"/>
            <w:noWrap/>
            <w:vAlign w:val="center"/>
            <w:hideMark/>
          </w:tcPr>
          <w:p w14:paraId="05E86835"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Shaanxi</w:t>
            </w:r>
          </w:p>
        </w:tc>
        <w:tc>
          <w:tcPr>
            <w:tcW w:w="2060" w:type="dxa"/>
            <w:shd w:val="clear" w:color="auto" w:fill="auto"/>
            <w:noWrap/>
            <w:vAlign w:val="center"/>
            <w:hideMark/>
          </w:tcPr>
          <w:p w14:paraId="3FF26BAE"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4.2</w:t>
            </w:r>
          </w:p>
        </w:tc>
        <w:tc>
          <w:tcPr>
            <w:tcW w:w="2637" w:type="dxa"/>
            <w:shd w:val="clear" w:color="auto" w:fill="auto"/>
            <w:noWrap/>
            <w:vAlign w:val="center"/>
            <w:hideMark/>
          </w:tcPr>
          <w:p w14:paraId="5219D56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(4,4.5)</w:t>
            </w:r>
          </w:p>
        </w:tc>
      </w:tr>
      <w:tr w:rsidR="008F30F4" w:rsidRPr="00D65F72" w14:paraId="28DC1459" w14:textId="77777777" w:rsidTr="001F21E7">
        <w:trPr>
          <w:trHeight w:val="300"/>
          <w:jc w:val="center"/>
        </w:trPr>
        <w:tc>
          <w:tcPr>
            <w:tcW w:w="1625" w:type="dxa"/>
            <w:shd w:val="clear" w:color="auto" w:fill="auto"/>
            <w:noWrap/>
            <w:vAlign w:val="center"/>
            <w:hideMark/>
          </w:tcPr>
          <w:p w14:paraId="2ED0106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Gansu</w:t>
            </w:r>
          </w:p>
        </w:tc>
        <w:tc>
          <w:tcPr>
            <w:tcW w:w="2060" w:type="dxa"/>
            <w:shd w:val="clear" w:color="auto" w:fill="auto"/>
            <w:noWrap/>
            <w:vAlign w:val="center"/>
            <w:hideMark/>
          </w:tcPr>
          <w:p w14:paraId="7F128932"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2.0</w:t>
            </w:r>
          </w:p>
        </w:tc>
        <w:tc>
          <w:tcPr>
            <w:tcW w:w="2637" w:type="dxa"/>
            <w:shd w:val="clear" w:color="auto" w:fill="auto"/>
            <w:noWrap/>
            <w:vAlign w:val="center"/>
            <w:hideMark/>
          </w:tcPr>
          <w:p w14:paraId="05264971"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(1.9,2.1)</w:t>
            </w:r>
          </w:p>
        </w:tc>
      </w:tr>
      <w:tr w:rsidR="008F30F4" w:rsidRPr="00D65F72" w14:paraId="4B808673" w14:textId="77777777" w:rsidTr="001F21E7">
        <w:trPr>
          <w:trHeight w:val="300"/>
          <w:jc w:val="center"/>
        </w:trPr>
        <w:tc>
          <w:tcPr>
            <w:tcW w:w="1625" w:type="dxa"/>
            <w:shd w:val="clear" w:color="auto" w:fill="auto"/>
            <w:noWrap/>
            <w:vAlign w:val="center"/>
            <w:hideMark/>
          </w:tcPr>
          <w:p w14:paraId="1E0558D3"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Qinghai</w:t>
            </w:r>
          </w:p>
        </w:tc>
        <w:tc>
          <w:tcPr>
            <w:tcW w:w="2060" w:type="dxa"/>
            <w:shd w:val="clear" w:color="auto" w:fill="auto"/>
            <w:noWrap/>
            <w:vAlign w:val="center"/>
            <w:hideMark/>
          </w:tcPr>
          <w:p w14:paraId="4E2D5CDC"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0.5</w:t>
            </w:r>
          </w:p>
        </w:tc>
        <w:tc>
          <w:tcPr>
            <w:tcW w:w="2637" w:type="dxa"/>
            <w:shd w:val="clear" w:color="auto" w:fill="auto"/>
            <w:noWrap/>
            <w:vAlign w:val="center"/>
            <w:hideMark/>
          </w:tcPr>
          <w:p w14:paraId="3D50455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(0.5,0.6)</w:t>
            </w:r>
          </w:p>
        </w:tc>
      </w:tr>
      <w:tr w:rsidR="008F30F4" w:rsidRPr="00D65F72" w14:paraId="1BE2BC16" w14:textId="77777777" w:rsidTr="001F21E7">
        <w:trPr>
          <w:trHeight w:val="300"/>
          <w:jc w:val="center"/>
        </w:trPr>
        <w:tc>
          <w:tcPr>
            <w:tcW w:w="1625" w:type="dxa"/>
            <w:shd w:val="clear" w:color="auto" w:fill="auto"/>
            <w:noWrap/>
            <w:vAlign w:val="center"/>
            <w:hideMark/>
          </w:tcPr>
          <w:p w14:paraId="1CB2C8F0"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Ningxia</w:t>
            </w:r>
          </w:p>
        </w:tc>
        <w:tc>
          <w:tcPr>
            <w:tcW w:w="2060" w:type="dxa"/>
            <w:shd w:val="clear" w:color="auto" w:fill="auto"/>
            <w:noWrap/>
            <w:vAlign w:val="center"/>
            <w:hideMark/>
          </w:tcPr>
          <w:p w14:paraId="11D36CE4"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0.5</w:t>
            </w:r>
          </w:p>
        </w:tc>
        <w:tc>
          <w:tcPr>
            <w:tcW w:w="2637" w:type="dxa"/>
            <w:shd w:val="clear" w:color="auto" w:fill="auto"/>
            <w:noWrap/>
            <w:vAlign w:val="center"/>
            <w:hideMark/>
          </w:tcPr>
          <w:p w14:paraId="7705282A"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(0.5,0.5)</w:t>
            </w:r>
          </w:p>
        </w:tc>
      </w:tr>
      <w:tr w:rsidR="008F30F4" w:rsidRPr="00D65F72" w14:paraId="509D411C" w14:textId="77777777" w:rsidTr="001F21E7">
        <w:trPr>
          <w:trHeight w:val="300"/>
          <w:jc w:val="center"/>
        </w:trPr>
        <w:tc>
          <w:tcPr>
            <w:tcW w:w="1625" w:type="dxa"/>
            <w:shd w:val="clear" w:color="auto" w:fill="auto"/>
            <w:noWrap/>
            <w:vAlign w:val="center"/>
            <w:hideMark/>
          </w:tcPr>
          <w:p w14:paraId="64564FF6"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Xinjiang</w:t>
            </w:r>
          </w:p>
        </w:tc>
        <w:tc>
          <w:tcPr>
            <w:tcW w:w="2060" w:type="dxa"/>
            <w:shd w:val="clear" w:color="auto" w:fill="auto"/>
            <w:noWrap/>
            <w:vAlign w:val="center"/>
            <w:hideMark/>
          </w:tcPr>
          <w:p w14:paraId="5E468481"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2.3</w:t>
            </w:r>
          </w:p>
        </w:tc>
        <w:tc>
          <w:tcPr>
            <w:tcW w:w="2637" w:type="dxa"/>
            <w:shd w:val="clear" w:color="auto" w:fill="auto"/>
            <w:noWrap/>
            <w:vAlign w:val="center"/>
            <w:hideMark/>
          </w:tcPr>
          <w:p w14:paraId="52563788" w14:textId="77777777" w:rsidR="008F30F4" w:rsidRPr="00D65F72" w:rsidRDefault="008F30F4" w:rsidP="001F21E7">
            <w:pPr>
              <w:spacing w:before="0" w:line="240" w:lineRule="auto"/>
              <w:ind w:firstLine="0"/>
              <w:jc w:val="center"/>
              <w:rPr>
                <w:rFonts w:eastAsia="DengXian" w:cs="Times New Roman"/>
                <w:color w:val="000000"/>
                <w:sz w:val="20"/>
                <w:szCs w:val="20"/>
              </w:rPr>
            </w:pPr>
            <w:r w:rsidRPr="00D65F72">
              <w:rPr>
                <w:rFonts w:eastAsia="DengXian" w:cs="Times New Roman"/>
                <w:color w:val="000000"/>
                <w:sz w:val="20"/>
                <w:szCs w:val="20"/>
              </w:rPr>
              <w:t>(2.1,2.4)</w:t>
            </w:r>
          </w:p>
        </w:tc>
      </w:tr>
    </w:tbl>
    <w:p w14:paraId="3BD7ADCF" w14:textId="77777777" w:rsidR="008F30F4" w:rsidRPr="00D65F72" w:rsidRDefault="008F30F4" w:rsidP="008F30F4">
      <w:pPr>
        <w:spacing w:line="240" w:lineRule="auto"/>
        <w:ind w:leftChars="500" w:left="1200" w:rightChars="500" w:right="1200" w:firstLine="0"/>
        <w:rPr>
          <w:rFonts w:eastAsia="DengXian" w:cs="Times New Roman"/>
          <w:sz w:val="22"/>
          <w:szCs w:val="22"/>
        </w:rPr>
      </w:pPr>
      <w:r w:rsidRPr="00D65F72">
        <w:rPr>
          <w:rFonts w:eastAsia="DengXian" w:cs="Times New Roman"/>
          <w:sz w:val="22"/>
          <w:szCs w:val="22"/>
        </w:rPr>
        <w:t>Note: Hong Kong, Macao, and Taiwan are not included in this table due to data</w:t>
      </w:r>
      <w:r>
        <w:rPr>
          <w:rFonts w:eastAsia="DengXian" w:cs="Times New Roman" w:hint="eastAsia"/>
          <w:sz w:val="22"/>
          <w:szCs w:val="22"/>
        </w:rPr>
        <w:t xml:space="preserve"> </w:t>
      </w:r>
      <w:r w:rsidRPr="00D65F72">
        <w:rPr>
          <w:rFonts w:eastAsia="DengXian" w:cs="Times New Roman"/>
          <w:sz w:val="22"/>
          <w:szCs w:val="22"/>
        </w:rPr>
        <w:t xml:space="preserve">limitations in their emissions inventories. </w:t>
      </w:r>
    </w:p>
    <w:p w14:paraId="5C33A17C" w14:textId="77777777" w:rsidR="008F30F4" w:rsidRPr="00333C7B" w:rsidRDefault="008F30F4" w:rsidP="008F30F4">
      <w:pPr>
        <w:spacing w:before="0" w:line="240" w:lineRule="auto"/>
        <w:ind w:firstLine="0"/>
        <w:rPr>
          <w:rFonts w:eastAsia="SimSun" w:cs="Times New Roman"/>
          <w:b/>
          <w:bCs/>
          <w:color w:val="000000"/>
        </w:rPr>
      </w:pPr>
      <w:r w:rsidRPr="00333C7B">
        <w:rPr>
          <w:rFonts w:eastAsia="SimSun" w:cs="Times New Roman"/>
          <w:b/>
          <w:bCs/>
          <w:color w:val="000000"/>
        </w:rPr>
        <w:br w:type="page"/>
      </w:r>
    </w:p>
    <w:p w14:paraId="43C6F03B" w14:textId="77777777" w:rsidR="008F30F4" w:rsidRPr="00333C7B" w:rsidRDefault="008F30F4" w:rsidP="008F30F4">
      <w:pPr>
        <w:pStyle w:val="Heading1"/>
      </w:pPr>
      <w:r w:rsidRPr="00CF2194">
        <w:lastRenderedPageBreak/>
        <w:t>Appendix G. Estimation of the Geographical Cost Distribution</w:t>
      </w:r>
    </w:p>
    <w:p w14:paraId="41FAEDA3" w14:textId="77777777" w:rsidR="008F30F4" w:rsidRPr="002B761D" w:rsidRDefault="008F30F4" w:rsidP="008F30F4">
      <w:pPr>
        <w:shd w:val="clear" w:color="auto" w:fill="FFFFFF"/>
        <w:spacing w:before="100" w:beforeAutospacing="1" w:after="100" w:afterAutospacing="1"/>
        <w:ind w:firstLine="720"/>
        <w:rPr>
          <w:rFonts w:eastAsia="DengXian" w:cs="Times New Roman"/>
          <w:color w:val="000000"/>
          <w:sz w:val="22"/>
          <w:szCs w:val="22"/>
        </w:rPr>
      </w:pPr>
      <w:r>
        <w:rPr>
          <w:rFonts w:eastAsia="DengXian" w:cs="Times New Roman"/>
          <w:color w:val="000000"/>
          <w:sz w:val="22"/>
          <w:szCs w:val="22"/>
        </w:rPr>
        <w:t xml:space="preserve">To assess the </w:t>
      </w:r>
      <w:r w:rsidRPr="002B761D">
        <w:rPr>
          <w:rFonts w:eastAsia="DengXian" w:cs="Times New Roman"/>
          <w:color w:val="000000"/>
          <w:sz w:val="22"/>
          <w:szCs w:val="22"/>
        </w:rPr>
        <w:t>geographic</w:t>
      </w:r>
      <w:r>
        <w:rPr>
          <w:rFonts w:eastAsia="DengXian" w:cs="Times New Roman"/>
          <w:color w:val="000000"/>
          <w:sz w:val="22"/>
          <w:szCs w:val="22"/>
        </w:rPr>
        <w:t>al</w:t>
      </w:r>
      <w:r w:rsidRPr="002B761D">
        <w:rPr>
          <w:rFonts w:eastAsia="DengXian" w:cs="Times New Roman"/>
          <w:color w:val="000000"/>
          <w:sz w:val="22"/>
          <w:szCs w:val="22"/>
        </w:rPr>
        <w:t xml:space="preserve"> distributional impacts, we use the following method. Let </w:t>
      </w:r>
      <w:r w:rsidR="0038014B" w:rsidRPr="00D5099F">
        <w:rPr>
          <w:noProof/>
          <w:position w:val="-14"/>
        </w:rPr>
        <w:object w:dxaOrig="600" w:dyaOrig="360" w14:anchorId="28B5C35A">
          <v:shape id="_x0000_i1032" type="#_x0000_t75" alt="" style="width:30.35pt;height:19.75pt;mso-width-percent:0;mso-height-percent:0;mso-width-percent:0;mso-height-percent:0" o:ole="">
            <v:imagedata r:id="rId399" o:title=""/>
          </v:shape>
          <o:OLEObject Type="Embed" ProgID="Equation.DSMT4" ShapeID="_x0000_i1032" DrawAspect="Content" ObjectID="_1758969599" r:id="rId400"/>
        </w:object>
      </w:r>
      <w:r w:rsidRPr="002B761D">
        <w:rPr>
          <w:rFonts w:eastAsia="DengXian" w:cs="Times New Roman"/>
          <w:noProof/>
          <w:color w:val="000000"/>
          <w:sz w:val="22"/>
          <w:szCs w:val="22"/>
        </w:rPr>
        <w:t xml:space="preserve"> </w:t>
      </w:r>
      <w:r w:rsidRPr="002B761D">
        <w:rPr>
          <w:rFonts w:eastAsia="DengXian" w:cs="Times New Roman"/>
          <w:color w:val="000000"/>
          <w:sz w:val="22"/>
          <w:szCs w:val="22"/>
        </w:rPr>
        <w:t xml:space="preserve">be the income of sector </w:t>
      </w:r>
      <w:r w:rsidRPr="002B761D">
        <w:rPr>
          <w:rFonts w:eastAsia="DengXian" w:cs="Times New Roman"/>
          <w:i/>
          <w:iCs/>
          <w:color w:val="000000"/>
          <w:sz w:val="22"/>
          <w:szCs w:val="22"/>
        </w:rPr>
        <w:t>i</w:t>
      </w:r>
      <w:r w:rsidRPr="002B761D">
        <w:rPr>
          <w:rFonts w:eastAsia="DengXian" w:cs="Times New Roman"/>
          <w:color w:val="000000"/>
          <w:sz w:val="22"/>
          <w:szCs w:val="22"/>
        </w:rPr>
        <w:t xml:space="preserve"> subsector</w:t>
      </w:r>
      <w:r w:rsidRPr="002B761D">
        <w:rPr>
          <w:rFonts w:eastAsia="DengXian" w:cs="Times New Roman"/>
          <w:i/>
          <w:iCs/>
          <w:color w:val="000000"/>
          <w:sz w:val="22"/>
          <w:szCs w:val="22"/>
        </w:rPr>
        <w:t xml:space="preserve"> k</w:t>
      </w:r>
      <w:r w:rsidRPr="002B761D">
        <w:rPr>
          <w:rFonts w:eastAsia="DengXian" w:cs="Times New Roman"/>
          <w:color w:val="000000"/>
          <w:sz w:val="22"/>
          <w:szCs w:val="22"/>
        </w:rPr>
        <w:t xml:space="preserve"> in province </w:t>
      </w:r>
      <w:r w:rsidRPr="002B761D">
        <w:rPr>
          <w:rFonts w:eastAsia="DengXian" w:cs="Times New Roman"/>
          <w:i/>
          <w:iCs/>
          <w:color w:val="000000"/>
          <w:sz w:val="22"/>
          <w:szCs w:val="22"/>
        </w:rPr>
        <w:t>p</w:t>
      </w:r>
      <w:r w:rsidRPr="002B761D">
        <w:rPr>
          <w:rFonts w:eastAsia="DengXian" w:cs="Times New Roman"/>
          <w:color w:val="000000"/>
          <w:sz w:val="22"/>
          <w:szCs w:val="22"/>
        </w:rPr>
        <w:t xml:space="preserve">, and </w:t>
      </w:r>
      <w:r w:rsidR="0038014B" w:rsidRPr="00D5099F">
        <w:rPr>
          <w:noProof/>
          <w:position w:val="-14"/>
        </w:rPr>
        <w:object w:dxaOrig="540" w:dyaOrig="360" w14:anchorId="7C35CB36">
          <v:shape id="_x0000_i1031" type="#_x0000_t75" alt="" style="width:28.25pt;height:19.75pt;mso-width-percent:0;mso-height-percent:0;mso-width-percent:0;mso-height-percent:0" o:ole="">
            <v:imagedata r:id="rId401" o:title=""/>
          </v:shape>
          <o:OLEObject Type="Embed" ProgID="Equation.DSMT4" ShapeID="_x0000_i1031" DrawAspect="Content" ObjectID="_1758969600" r:id="rId402"/>
        </w:object>
      </w:r>
      <w:r w:rsidRPr="002B761D">
        <w:rPr>
          <w:rFonts w:eastAsia="DengXian" w:cs="Times New Roman"/>
          <w:noProof/>
          <w:color w:val="000000"/>
          <w:sz w:val="22"/>
          <w:szCs w:val="22"/>
        </w:rPr>
        <w:t xml:space="preserve"> </w:t>
      </w:r>
      <w:r w:rsidRPr="002B761D">
        <w:rPr>
          <w:rFonts w:eastAsia="DengXian" w:cs="Times New Roman"/>
          <w:color w:val="000000"/>
          <w:sz w:val="22"/>
          <w:szCs w:val="22"/>
        </w:rPr>
        <w:t xml:space="preserve">be the income </w:t>
      </w:r>
      <w:r w:rsidRPr="002B761D">
        <w:rPr>
          <w:rFonts w:eastAsia="DengXian" w:cs="Times New Roman" w:hint="eastAsia"/>
          <w:color w:val="000000"/>
          <w:sz w:val="22"/>
          <w:szCs w:val="22"/>
        </w:rPr>
        <w:t>of</w:t>
      </w:r>
      <w:r w:rsidRPr="002B761D">
        <w:rPr>
          <w:rFonts w:eastAsia="DengXian" w:cs="Times New Roman"/>
          <w:color w:val="000000"/>
          <w:sz w:val="22"/>
          <w:szCs w:val="22"/>
        </w:rPr>
        <w:t xml:space="preserve"> </w:t>
      </w:r>
      <w:r w:rsidRPr="002B761D">
        <w:rPr>
          <w:rFonts w:eastAsia="DengXian" w:cs="Times New Roman" w:hint="eastAsia"/>
          <w:color w:val="000000"/>
          <w:sz w:val="22"/>
          <w:szCs w:val="22"/>
        </w:rPr>
        <w:t>all</w:t>
      </w:r>
      <w:r w:rsidRPr="002B761D">
        <w:rPr>
          <w:rFonts w:eastAsia="DengXian" w:cs="Times New Roman"/>
          <w:color w:val="000000"/>
          <w:sz w:val="22"/>
          <w:szCs w:val="22"/>
        </w:rPr>
        <w:t xml:space="preserve"> sectors in province </w:t>
      </w:r>
      <w:r w:rsidRPr="002B761D">
        <w:rPr>
          <w:rFonts w:eastAsia="DengXian" w:cs="Times New Roman"/>
          <w:i/>
          <w:iCs/>
          <w:color w:val="000000"/>
          <w:sz w:val="22"/>
          <w:szCs w:val="22"/>
        </w:rPr>
        <w:t>p</w:t>
      </w:r>
      <w:r w:rsidRPr="002B761D">
        <w:rPr>
          <w:rFonts w:eastAsia="DengXian" w:cs="Times New Roman"/>
          <w:color w:val="000000"/>
          <w:sz w:val="22"/>
          <w:szCs w:val="22"/>
        </w:rPr>
        <w:t xml:space="preserve">. </w:t>
      </w:r>
    </w:p>
    <w:p w14:paraId="527B56C3" w14:textId="77777777" w:rsidR="008F30F4" w:rsidRPr="002B761D" w:rsidRDefault="008F30F4" w:rsidP="008F30F4">
      <w:pPr>
        <w:pStyle w:val="a2"/>
        <w:rPr>
          <w:rFonts w:eastAsia="DengXian"/>
        </w:rPr>
      </w:pPr>
      <w:r w:rsidRPr="002B761D">
        <w:tab/>
      </w:r>
      <w:r w:rsidR="0038014B" w:rsidRPr="00D5099F">
        <w:rPr>
          <w:noProof/>
          <w:position w:val="-28"/>
        </w:rPr>
        <w:object w:dxaOrig="2140" w:dyaOrig="660" w14:anchorId="46329E69">
          <v:shape id="_x0000_i1030" type="#_x0000_t75" alt="" style="width:106.6pt;height:34.6pt;mso-width-percent:0;mso-height-percent:0;mso-width-percent:0;mso-height-percent:0" o:ole="">
            <v:imagedata r:id="rId403" o:title=""/>
          </v:shape>
          <o:OLEObject Type="Embed" ProgID="Equation.DSMT4" ShapeID="_x0000_i1030" DrawAspect="Content" ObjectID="_1758969601" r:id="rId404"/>
        </w:object>
      </w:r>
      <w:r w:rsidRPr="002B761D">
        <w:tab/>
      </w:r>
      <w:r w:rsidRPr="002B761D">
        <w:fldChar w:fldCharType="begin"/>
      </w:r>
      <w:r w:rsidRPr="002B761D">
        <w:instrText xml:space="preserve"> MACROBUTTON MTPlaceRef \* MERGEFORMAT </w:instrText>
      </w:r>
      <w:r w:rsidRPr="002B761D">
        <w:fldChar w:fldCharType="begin"/>
      </w:r>
      <w:r w:rsidRPr="002B761D">
        <w:instrText xml:space="preserve"> SEQ MTEqn \h \* MERGEFORMAT </w:instrText>
      </w:r>
      <w:r w:rsidRPr="002B761D">
        <w:fldChar w:fldCharType="end"/>
      </w:r>
      <w:r w:rsidRPr="002B761D">
        <w:instrText>(</w:instrText>
      </w:r>
      <w:fldSimple w:instr=" SEQ MTSec \c \* Alphabetic \* MERGEFORMAT ">
        <w:r>
          <w:rPr>
            <w:noProof/>
          </w:rPr>
          <w:instrText>A</w:instrText>
        </w:r>
      </w:fldSimple>
      <w:fldSimple w:instr=" SEQ MTEqn \c \* Arabic \* MERGEFORMAT ">
        <w:r>
          <w:rPr>
            <w:noProof/>
          </w:rPr>
          <w:instrText>31</w:instrText>
        </w:r>
      </w:fldSimple>
      <w:r w:rsidRPr="002B761D">
        <w:instrText>)</w:instrText>
      </w:r>
      <w:r w:rsidRPr="002B761D">
        <w:fldChar w:fldCharType="end"/>
      </w:r>
    </w:p>
    <w:p w14:paraId="60BC5ACB" w14:textId="77777777" w:rsidR="008F30F4" w:rsidRPr="002B761D" w:rsidRDefault="008F30F4" w:rsidP="008F30F4">
      <w:pPr>
        <w:shd w:val="clear" w:color="auto" w:fill="FFFFFF"/>
        <w:spacing w:before="100" w:beforeAutospacing="1" w:after="100" w:afterAutospacing="1"/>
        <w:ind w:firstLine="719"/>
        <w:rPr>
          <w:rFonts w:eastAsia="DengXian" w:cs="Times New Roman"/>
          <w:color w:val="000000"/>
          <w:sz w:val="22"/>
          <w:szCs w:val="22"/>
        </w:rPr>
      </w:pPr>
      <w:r w:rsidRPr="002B761D">
        <w:rPr>
          <w:rFonts w:eastAsia="DengXian" w:cs="Times New Roman" w:hint="eastAsia"/>
          <w:color w:val="000000"/>
          <w:sz w:val="22"/>
          <w:szCs w:val="22"/>
        </w:rPr>
        <w:t>I</w:t>
      </w:r>
      <w:r w:rsidRPr="002B761D">
        <w:rPr>
          <w:rFonts w:eastAsia="DengXian" w:cs="Times New Roman"/>
          <w:color w:val="000000"/>
          <w:sz w:val="22"/>
          <w:szCs w:val="22"/>
        </w:rPr>
        <w:t>n Equation (A3</w:t>
      </w:r>
      <w:r>
        <w:rPr>
          <w:rFonts w:eastAsia="DengXian" w:cs="Times New Roman"/>
          <w:color w:val="000000"/>
          <w:sz w:val="22"/>
          <w:szCs w:val="22"/>
        </w:rPr>
        <w:t>1</w:t>
      </w:r>
      <w:r w:rsidRPr="002B761D">
        <w:rPr>
          <w:rFonts w:eastAsia="DengXian" w:cs="Times New Roman"/>
          <w:color w:val="000000"/>
          <w:sz w:val="22"/>
          <w:szCs w:val="22"/>
        </w:rPr>
        <w:t xml:space="preserve">), the term </w:t>
      </w:r>
      <w:r w:rsidR="0038014B" w:rsidRPr="00D5099F">
        <w:rPr>
          <w:noProof/>
          <w:position w:val="-28"/>
        </w:rPr>
        <w:object w:dxaOrig="660" w:dyaOrig="660" w14:anchorId="12C8D0B2">
          <v:shape id="_x0000_i1029" type="#_x0000_t75" alt="" style="width:34.6pt;height:34.6pt;mso-width-percent:0;mso-height-percent:0;mso-width-percent:0;mso-height-percent:0" o:ole="">
            <v:imagedata r:id="rId405" o:title=""/>
          </v:shape>
          <o:OLEObject Type="Embed" ProgID="Equation.DSMT4" ShapeID="_x0000_i1029" DrawAspect="Content" ObjectID="_1758969602" r:id="rId406"/>
        </w:object>
      </w:r>
      <w:r w:rsidRPr="002B761D">
        <w:rPr>
          <w:rFonts w:eastAsia="DengXian" w:cs="Times New Roman"/>
          <w:sz w:val="22"/>
          <w:szCs w:val="22"/>
        </w:rPr>
        <w:t xml:space="preserve"> </w:t>
      </w:r>
      <w:r w:rsidRPr="002B761D">
        <w:rPr>
          <w:rFonts w:eastAsia="DengXian" w:cs="Times New Roman"/>
          <w:color w:val="000000"/>
          <w:sz w:val="22"/>
          <w:szCs w:val="22"/>
        </w:rPr>
        <w:t xml:space="preserve">represents the share of the income from sector </w:t>
      </w:r>
      <w:r w:rsidRPr="002B761D">
        <w:rPr>
          <w:rFonts w:eastAsia="DengXian" w:cs="Times New Roman"/>
          <w:i/>
          <w:iCs/>
          <w:color w:val="000000"/>
          <w:sz w:val="22"/>
          <w:szCs w:val="22"/>
        </w:rPr>
        <w:t>i</w:t>
      </w:r>
      <w:r w:rsidRPr="002B761D">
        <w:rPr>
          <w:rFonts w:eastAsia="DengXian" w:cs="Times New Roman"/>
          <w:color w:val="000000"/>
          <w:sz w:val="22"/>
          <w:szCs w:val="22"/>
        </w:rPr>
        <w:t xml:space="preserve"> subsector</w:t>
      </w:r>
      <w:r w:rsidRPr="002B761D">
        <w:rPr>
          <w:rFonts w:eastAsia="DengXian" w:cs="Times New Roman"/>
          <w:i/>
          <w:iCs/>
          <w:color w:val="000000"/>
          <w:sz w:val="22"/>
          <w:szCs w:val="22"/>
        </w:rPr>
        <w:t xml:space="preserve"> k</w:t>
      </w:r>
      <w:r w:rsidRPr="002B761D">
        <w:rPr>
          <w:rFonts w:eastAsia="DengXian" w:cs="Times New Roman"/>
          <w:color w:val="000000"/>
          <w:sz w:val="22"/>
          <w:szCs w:val="22"/>
        </w:rPr>
        <w:t xml:space="preserve"> in province </w:t>
      </w:r>
      <w:r w:rsidRPr="002B761D">
        <w:rPr>
          <w:rFonts w:eastAsia="DengXian" w:cs="Times New Roman"/>
          <w:i/>
          <w:iCs/>
          <w:color w:val="000000"/>
          <w:sz w:val="22"/>
          <w:szCs w:val="22"/>
        </w:rPr>
        <w:t xml:space="preserve">p </w:t>
      </w:r>
      <w:r w:rsidRPr="002B761D">
        <w:rPr>
          <w:rFonts w:eastAsia="DengXian" w:cs="Times New Roman"/>
          <w:color w:val="000000"/>
          <w:sz w:val="22"/>
          <w:szCs w:val="22"/>
        </w:rPr>
        <w:t xml:space="preserve">in the national income from sector </w:t>
      </w:r>
      <w:r w:rsidRPr="002B761D">
        <w:rPr>
          <w:rFonts w:eastAsia="DengXian" w:cs="Times New Roman"/>
          <w:i/>
          <w:iCs/>
          <w:color w:val="000000"/>
          <w:sz w:val="22"/>
          <w:szCs w:val="22"/>
        </w:rPr>
        <w:t>i</w:t>
      </w:r>
      <w:r w:rsidRPr="002B761D">
        <w:rPr>
          <w:rFonts w:eastAsia="DengXian" w:cs="Times New Roman"/>
          <w:color w:val="000000"/>
          <w:sz w:val="22"/>
          <w:szCs w:val="22"/>
        </w:rPr>
        <w:t xml:space="preserve"> subsector</w:t>
      </w:r>
      <w:r w:rsidRPr="002B761D">
        <w:rPr>
          <w:rFonts w:eastAsia="DengXian" w:cs="Times New Roman"/>
          <w:i/>
          <w:iCs/>
          <w:color w:val="000000"/>
          <w:sz w:val="22"/>
          <w:szCs w:val="22"/>
        </w:rPr>
        <w:t xml:space="preserve"> k</w:t>
      </w:r>
      <w:r w:rsidRPr="002B761D">
        <w:rPr>
          <w:rFonts w:eastAsia="DengXian" w:cs="Times New Roman"/>
          <w:color w:val="000000"/>
          <w:sz w:val="22"/>
          <w:szCs w:val="22"/>
        </w:rPr>
        <w:t xml:space="preserve">. We assume these shares are the same and remain at the base year’s level for all years and in all scenarios. </w:t>
      </w:r>
      <w:r w:rsidR="0038014B" w:rsidRPr="00D5099F">
        <w:rPr>
          <w:noProof/>
          <w:position w:val="-28"/>
        </w:rPr>
        <w:object w:dxaOrig="660" w:dyaOrig="660" w14:anchorId="00855625">
          <v:shape id="_x0000_i1028" type="#_x0000_t75" alt="" style="width:34.6pt;height:34.6pt;mso-width-percent:0;mso-height-percent:0;mso-width-percent:0;mso-height-percent:0" o:ole="">
            <v:imagedata r:id="rId407" o:title=""/>
          </v:shape>
          <o:OLEObject Type="Embed" ProgID="Equation.DSMT4" ShapeID="_x0000_i1028" DrawAspect="Content" ObjectID="_1758969603" r:id="rId408"/>
        </w:object>
      </w:r>
      <w:r w:rsidRPr="002B761D">
        <w:rPr>
          <w:rFonts w:eastAsia="DengXian" w:cs="Times New Roman"/>
          <w:sz w:val="22"/>
          <w:szCs w:val="22"/>
        </w:rPr>
        <w:t xml:space="preserve"> </w:t>
      </w:r>
      <w:r w:rsidRPr="002B761D">
        <w:rPr>
          <w:rFonts w:eastAsia="DengXian" w:cs="Times New Roman"/>
          <w:color w:val="000000"/>
          <w:sz w:val="22"/>
          <w:szCs w:val="22"/>
        </w:rPr>
        <w:t>in the base year can be calculated from the provincial input-output tables and the firm-level MEE data as we described in section 4.1.</w:t>
      </w:r>
    </w:p>
    <w:p w14:paraId="34F4036D" w14:textId="77777777" w:rsidR="008F30F4" w:rsidRPr="002B761D" w:rsidRDefault="008F30F4" w:rsidP="008F30F4">
      <w:pPr>
        <w:shd w:val="clear" w:color="auto" w:fill="FFFFFF"/>
        <w:spacing w:before="100" w:beforeAutospacing="1" w:after="100" w:afterAutospacing="1"/>
        <w:ind w:firstLine="720"/>
        <w:rPr>
          <w:rFonts w:eastAsia="DengXian" w:cs="Times New Roman"/>
          <w:color w:val="000000"/>
          <w:sz w:val="22"/>
          <w:szCs w:val="22"/>
        </w:rPr>
      </w:pPr>
      <w:r w:rsidRPr="002B761D">
        <w:rPr>
          <w:rFonts w:eastAsia="DengXian" w:cs="Times New Roman"/>
          <w:color w:val="000000"/>
          <w:sz w:val="22"/>
          <w:szCs w:val="22"/>
        </w:rPr>
        <w:t xml:space="preserve">Let </w:t>
      </w:r>
      <w:r w:rsidR="0038014B" w:rsidRPr="00D5099F">
        <w:rPr>
          <w:noProof/>
          <w:position w:val="-14"/>
        </w:rPr>
        <w:object w:dxaOrig="660" w:dyaOrig="360" w14:anchorId="27E2C42D">
          <v:shape id="_x0000_i1027" type="#_x0000_t75" alt="" style="width:34.6pt;height:19.75pt;mso-width-percent:0;mso-height-percent:0;mso-width-percent:0;mso-height-percent:0" o:ole="">
            <v:imagedata r:id="rId409" o:title=""/>
          </v:shape>
          <o:OLEObject Type="Embed" ProgID="Equation.DSMT4" ShapeID="_x0000_i1027" DrawAspect="Content" ObjectID="_1758969604" r:id="rId410"/>
        </w:object>
      </w:r>
      <w:r w:rsidRPr="002B761D">
        <w:rPr>
          <w:rFonts w:eastAsia="DengXian" w:cs="Times New Roman"/>
          <w:color w:val="000000"/>
          <w:sz w:val="22"/>
          <w:szCs w:val="22"/>
        </w:rPr>
        <w:t xml:space="preserve"> be the change of income of province </w:t>
      </w:r>
      <w:r w:rsidRPr="00F13C4B">
        <w:rPr>
          <w:rFonts w:eastAsia="DengXian" w:cs="Times New Roman"/>
          <w:i/>
          <w:iCs/>
          <w:color w:val="000000"/>
          <w:sz w:val="22"/>
          <w:szCs w:val="22"/>
        </w:rPr>
        <w:t>p</w:t>
      </w:r>
      <w:r w:rsidRPr="002B761D">
        <w:rPr>
          <w:rFonts w:eastAsia="DengXian" w:cs="Times New Roman"/>
          <w:color w:val="000000"/>
          <w:sz w:val="22"/>
          <w:szCs w:val="22"/>
        </w:rPr>
        <w:t xml:space="preserve">, then </w:t>
      </w:r>
    </w:p>
    <w:p w14:paraId="103432BC" w14:textId="77777777" w:rsidR="008F30F4" w:rsidRPr="002B761D" w:rsidRDefault="008F30F4" w:rsidP="008F30F4">
      <w:pPr>
        <w:pStyle w:val="a2"/>
        <w:rPr>
          <w:rFonts w:eastAsia="DengXian"/>
        </w:rPr>
      </w:pPr>
      <w:r w:rsidRPr="002B761D">
        <w:tab/>
      </w:r>
      <w:r w:rsidR="0038014B" w:rsidRPr="00D5099F">
        <w:rPr>
          <w:noProof/>
          <w:position w:val="-28"/>
        </w:rPr>
        <w:object w:dxaOrig="2400" w:dyaOrig="660" w14:anchorId="50AED89D">
          <v:shape id="_x0000_i1026" type="#_x0000_t75" alt="" style="width:120pt;height:34.6pt;mso-width-percent:0;mso-height-percent:0;mso-width-percent:0;mso-height-percent:0" o:ole="">
            <v:imagedata r:id="rId411" o:title=""/>
          </v:shape>
          <o:OLEObject Type="Embed" ProgID="Equation.DSMT4" ShapeID="_x0000_i1026" DrawAspect="Content" ObjectID="_1758969605" r:id="rId412"/>
        </w:object>
      </w:r>
      <w:r w:rsidRPr="002B761D">
        <w:tab/>
      </w:r>
      <w:r w:rsidRPr="002B761D">
        <w:fldChar w:fldCharType="begin"/>
      </w:r>
      <w:r w:rsidRPr="002B761D">
        <w:instrText xml:space="preserve"> MACROBUTTON MTPlaceRef \* MERGEFORMAT </w:instrText>
      </w:r>
      <w:r w:rsidRPr="002B761D">
        <w:fldChar w:fldCharType="begin"/>
      </w:r>
      <w:r w:rsidRPr="002B761D">
        <w:instrText xml:space="preserve"> SEQ MTEqn \h \* MERGEFORMAT </w:instrText>
      </w:r>
      <w:r w:rsidRPr="002B761D">
        <w:fldChar w:fldCharType="end"/>
      </w:r>
      <w:r w:rsidRPr="002B761D">
        <w:instrText>(</w:instrText>
      </w:r>
      <w:fldSimple w:instr=" SEQ MTSec \c \* Alphabetic \* MERGEFORMAT ">
        <w:r>
          <w:rPr>
            <w:noProof/>
          </w:rPr>
          <w:instrText>A</w:instrText>
        </w:r>
      </w:fldSimple>
      <w:fldSimple w:instr=" SEQ MTEqn \c \* Arabic \* MERGEFORMAT ">
        <w:r>
          <w:rPr>
            <w:noProof/>
          </w:rPr>
          <w:instrText>32</w:instrText>
        </w:r>
      </w:fldSimple>
      <w:r w:rsidRPr="002B761D">
        <w:instrText>)</w:instrText>
      </w:r>
      <w:r w:rsidRPr="002B761D">
        <w:fldChar w:fldCharType="end"/>
      </w:r>
    </w:p>
    <w:p w14:paraId="3D8B0A5F" w14:textId="77777777" w:rsidR="008F30F4" w:rsidRPr="002B761D" w:rsidRDefault="008F30F4" w:rsidP="008F30F4">
      <w:pPr>
        <w:ind w:firstLine="0"/>
        <w:rPr>
          <w:noProof/>
          <w:sz w:val="22"/>
          <w:szCs w:val="22"/>
        </w:rPr>
      </w:pPr>
      <w:r w:rsidRPr="002B761D">
        <w:rPr>
          <w:rFonts w:eastAsia="DengXian" w:cs="Times New Roman"/>
          <w:color w:val="000000"/>
          <w:sz w:val="22"/>
          <w:szCs w:val="22"/>
        </w:rPr>
        <w:t>Equation (A</w:t>
      </w:r>
      <w:r>
        <w:rPr>
          <w:rFonts w:eastAsia="DengXian" w:cs="Times New Roman"/>
          <w:color w:val="000000"/>
          <w:sz w:val="22"/>
          <w:szCs w:val="22"/>
        </w:rPr>
        <w:t>32</w:t>
      </w:r>
      <w:r w:rsidRPr="002B761D">
        <w:rPr>
          <w:rFonts w:eastAsia="DengXian" w:cs="Times New Roman"/>
          <w:color w:val="000000"/>
          <w:sz w:val="22"/>
          <w:szCs w:val="22"/>
        </w:rPr>
        <w:t xml:space="preserve">) is used to calculate the absolute change of the provincial income presented in Table </w:t>
      </w:r>
      <w:r w:rsidRPr="004E3494">
        <w:rPr>
          <w:rFonts w:eastAsia="DengXian" w:cs="Times New Roman"/>
          <w:color w:val="000000"/>
          <w:sz w:val="22"/>
          <w:szCs w:val="22"/>
        </w:rPr>
        <w:t>6</w:t>
      </w:r>
      <w:r>
        <w:rPr>
          <w:rFonts w:eastAsia="DengXian" w:cs="Times New Roman"/>
          <w:color w:val="000000"/>
          <w:sz w:val="22"/>
          <w:szCs w:val="22"/>
        </w:rPr>
        <w:t xml:space="preserve"> in</w:t>
      </w:r>
      <w:r w:rsidRPr="004E3494">
        <w:rPr>
          <w:rFonts w:eastAsia="DengXian" w:cs="Times New Roman"/>
          <w:color w:val="000000"/>
          <w:sz w:val="22"/>
          <w:szCs w:val="22"/>
        </w:rPr>
        <w:t xml:space="preserve"> </w:t>
      </w:r>
      <w:r w:rsidRPr="003B7DEC">
        <w:rPr>
          <w:rFonts w:eastAsia="DengXian" w:cs="Times New Roman"/>
          <w:color w:val="000000"/>
          <w:sz w:val="22"/>
          <w:szCs w:val="22"/>
        </w:rPr>
        <w:t>S</w:t>
      </w:r>
      <w:r w:rsidRPr="004E3494">
        <w:rPr>
          <w:rFonts w:eastAsia="DengXian" w:cs="Times New Roman"/>
          <w:color w:val="000000"/>
          <w:sz w:val="22"/>
          <w:szCs w:val="22"/>
        </w:rPr>
        <w:t>ection 6.5</w:t>
      </w:r>
      <w:r w:rsidRPr="002B761D">
        <w:rPr>
          <w:rFonts w:eastAsia="DengXian" w:cs="Times New Roman"/>
          <w:color w:val="000000"/>
          <w:sz w:val="22"/>
          <w:szCs w:val="22"/>
        </w:rPr>
        <w:t xml:space="preserve">. The percentage change can then be calculated by </w:t>
      </w:r>
      <w:r w:rsidR="0038014B" w:rsidRPr="00D5099F">
        <w:rPr>
          <w:noProof/>
          <w:position w:val="-30"/>
        </w:rPr>
        <w:object w:dxaOrig="720" w:dyaOrig="680" w14:anchorId="769B2191">
          <v:shape id="_x0000_i1025" type="#_x0000_t75" alt="" style="width:37.4pt;height:34.6pt;mso-width-percent:0;mso-height-percent:0;mso-width-percent:0;mso-height-percent:0" o:ole="">
            <v:imagedata r:id="rId413" o:title=""/>
          </v:shape>
          <o:OLEObject Type="Embed" ProgID="Equation.DSMT4" ShapeID="_x0000_i1025" DrawAspect="Content" ObjectID="_1758969606" r:id="rId414"/>
        </w:object>
      </w:r>
      <w:r w:rsidRPr="002B761D">
        <w:rPr>
          <w:rFonts w:eastAsia="DengXian" w:cs="Times New Roman"/>
          <w:color w:val="000000"/>
          <w:sz w:val="22"/>
          <w:szCs w:val="22"/>
        </w:rPr>
        <w:t>.</w:t>
      </w:r>
    </w:p>
    <w:p w14:paraId="1A19C192" w14:textId="77777777" w:rsidR="008F30F4" w:rsidRPr="002B761D" w:rsidRDefault="008F30F4" w:rsidP="008F30F4">
      <w:pPr>
        <w:rPr>
          <w:rFonts w:eastAsia="DengXian" w:cs="Times New Roman"/>
          <w:sz w:val="22"/>
          <w:szCs w:val="22"/>
        </w:rPr>
      </w:pPr>
      <w:r w:rsidRPr="002B761D">
        <w:rPr>
          <w:rFonts w:eastAsia="DengXian" w:cs="Times New Roman"/>
          <w:sz w:val="22"/>
          <w:szCs w:val="22"/>
        </w:rPr>
        <w:br w:type="page"/>
      </w:r>
    </w:p>
    <w:p w14:paraId="6923B675" w14:textId="77777777" w:rsidR="008F30F4" w:rsidRDefault="008F30F4" w:rsidP="008F30F4">
      <w:pPr>
        <w:pStyle w:val="Heading1"/>
      </w:pPr>
      <w:r w:rsidRPr="00333C7B">
        <w:lastRenderedPageBreak/>
        <w:t>Appendix References</w:t>
      </w:r>
    </w:p>
    <w:p w14:paraId="1A1B9E18"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bookmarkStart w:id="9" w:name="_Hlk146287808"/>
      <w:r w:rsidRPr="000740C2">
        <w:rPr>
          <w:rFonts w:cs="Times New Roman"/>
          <w:sz w:val="22"/>
          <w:szCs w:val="22"/>
        </w:rPr>
        <w:t xml:space="preserve">Aguiar, Angel, Maksym Chepeliev, Erwin L. Corong, Robert McDougall, and Dominique Van Der Mensbrugghe. 2019. </w:t>
      </w:r>
      <w:r w:rsidRPr="000740C2">
        <w:rPr>
          <w:rFonts w:eastAsia="DengXian" w:cs="Times New Roman"/>
          <w:sz w:val="22"/>
          <w:szCs w:val="22"/>
        </w:rPr>
        <w:t>“</w:t>
      </w:r>
      <w:r w:rsidRPr="000740C2">
        <w:rPr>
          <w:rFonts w:cs="Times New Roman"/>
          <w:sz w:val="22"/>
          <w:szCs w:val="22"/>
        </w:rPr>
        <w:t>The GTAP Data Base: Version 10.” </w:t>
      </w:r>
      <w:r w:rsidRPr="000740C2">
        <w:rPr>
          <w:rFonts w:cs="Times New Roman"/>
          <w:i/>
          <w:iCs/>
          <w:sz w:val="22"/>
          <w:szCs w:val="22"/>
        </w:rPr>
        <w:t>Journal of Global Economic Analysis 4</w:t>
      </w:r>
      <w:r w:rsidRPr="000740C2">
        <w:rPr>
          <w:rFonts w:cs="Times New Roman"/>
          <w:sz w:val="22"/>
          <w:szCs w:val="22"/>
        </w:rPr>
        <w:t>, no. 1: 1-27.</w:t>
      </w:r>
    </w:p>
    <w:p w14:paraId="308CAE4D" w14:textId="77777777" w:rsidR="008F30F4" w:rsidRPr="000740C2" w:rsidRDefault="008F30F4" w:rsidP="008F30F4">
      <w:pPr>
        <w:adjustRightInd w:val="0"/>
        <w:snapToGrid w:val="0"/>
        <w:spacing w:beforeLines="50" w:line="240" w:lineRule="auto"/>
        <w:ind w:left="440" w:hangingChars="200" w:hanging="440"/>
        <w:rPr>
          <w:rFonts w:eastAsia="DengXian" w:cs="Times New Roman"/>
          <w:sz w:val="22"/>
          <w:szCs w:val="22"/>
        </w:rPr>
      </w:pPr>
      <w:r w:rsidRPr="000740C2">
        <w:rPr>
          <w:rFonts w:eastAsia="DengXian" w:cs="Times New Roman"/>
          <w:sz w:val="22"/>
          <w:szCs w:val="22"/>
          <w:lang w:val="de-DE"/>
        </w:rPr>
        <w:t xml:space="preserve">Berkowitz, Daniel, Hong Ma, and Shuichiro Nishioka. </w:t>
      </w:r>
      <w:r w:rsidRPr="000740C2">
        <w:rPr>
          <w:rFonts w:eastAsia="DengXian" w:cs="Times New Roman"/>
          <w:sz w:val="22"/>
          <w:szCs w:val="22"/>
        </w:rPr>
        <w:t xml:space="preserve">2017. “Recasting the Iron Rice Bowl: The Reform of China’s State-Owned Enterprises.” </w:t>
      </w:r>
      <w:r w:rsidRPr="000740C2">
        <w:rPr>
          <w:rFonts w:eastAsia="DengXian" w:cs="Times New Roman"/>
          <w:i/>
          <w:iCs/>
          <w:sz w:val="22"/>
          <w:szCs w:val="22"/>
        </w:rPr>
        <w:t xml:space="preserve">The Review of Economics and Statistics </w:t>
      </w:r>
      <w:r w:rsidRPr="000740C2">
        <w:rPr>
          <w:rFonts w:eastAsia="DengXian" w:cs="Times New Roman"/>
          <w:sz w:val="22"/>
          <w:szCs w:val="22"/>
        </w:rPr>
        <w:t>99 (4): 735–747.</w:t>
      </w:r>
    </w:p>
    <w:p w14:paraId="20078090"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Burnett, Richard, Hong Chen, Mieczysław Szyszkowicz, Neal Fann, Bryan Hubbell, C. Arden Pope, Joshua S. Apte, </w:t>
      </w:r>
      <w:r w:rsidRPr="000740C2">
        <w:rPr>
          <w:rFonts w:cs="Times New Roman"/>
          <w:i/>
          <w:iCs/>
          <w:sz w:val="22"/>
          <w:szCs w:val="22"/>
        </w:rPr>
        <w:t>et al.</w:t>
      </w:r>
      <w:r w:rsidRPr="000740C2">
        <w:rPr>
          <w:rFonts w:cs="Times New Roman"/>
          <w:sz w:val="22"/>
          <w:szCs w:val="22"/>
        </w:rPr>
        <w:t xml:space="preserve"> 2018. </w:t>
      </w:r>
      <w:r w:rsidRPr="000740C2">
        <w:rPr>
          <w:rFonts w:eastAsia="DengXian" w:cs="Times New Roman"/>
          <w:sz w:val="22"/>
          <w:szCs w:val="22"/>
        </w:rPr>
        <w:t>“</w:t>
      </w:r>
      <w:r w:rsidRPr="000740C2">
        <w:rPr>
          <w:rFonts w:cs="Times New Roman"/>
          <w:sz w:val="22"/>
          <w:szCs w:val="22"/>
        </w:rPr>
        <w:t xml:space="preserve">Global Estimates of Mortality Associated with Long-Term Exposure to Outdoor Fine Particulate Matter.” </w:t>
      </w:r>
      <w:r w:rsidRPr="000740C2">
        <w:rPr>
          <w:rFonts w:cs="Times New Roman"/>
          <w:i/>
          <w:iCs/>
          <w:sz w:val="22"/>
          <w:szCs w:val="22"/>
        </w:rPr>
        <w:t>Proceedings of the National Academy of Sciences</w:t>
      </w:r>
      <w:r w:rsidRPr="000740C2">
        <w:rPr>
          <w:rFonts w:cs="Times New Roman"/>
          <w:sz w:val="22"/>
          <w:szCs w:val="22"/>
        </w:rPr>
        <w:t xml:space="preserve"> 115 (38): 9592–97.</w:t>
      </w:r>
    </w:p>
    <w:p w14:paraId="5ADBDDD1"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Burnett, Richard T, C Arden Pope III, Majid Ezzati, Casey Olives, Stephen S Lim, Sumi Mehta, Hwashin H Shin, </w:t>
      </w:r>
      <w:r w:rsidRPr="000740C2">
        <w:rPr>
          <w:rFonts w:cs="Times New Roman"/>
          <w:i/>
          <w:iCs/>
          <w:sz w:val="22"/>
          <w:szCs w:val="22"/>
        </w:rPr>
        <w:t>et al.</w:t>
      </w:r>
      <w:r w:rsidRPr="000740C2">
        <w:rPr>
          <w:rFonts w:cs="Times New Roman"/>
          <w:sz w:val="22"/>
          <w:szCs w:val="22"/>
        </w:rPr>
        <w:t xml:space="preserve"> 2014. “An Integrated Risk Function for Estimating the Global Burden of Disease Attributable to Ambient Fine Particulate Matter Exposure.” </w:t>
      </w:r>
      <w:r w:rsidRPr="000740C2">
        <w:rPr>
          <w:rFonts w:cs="Times New Roman"/>
          <w:i/>
          <w:iCs/>
          <w:sz w:val="22"/>
          <w:szCs w:val="22"/>
        </w:rPr>
        <w:t>Environmental Health Perspectives</w:t>
      </w:r>
      <w:r w:rsidRPr="000740C2">
        <w:rPr>
          <w:rFonts w:cs="Times New Roman"/>
          <w:sz w:val="22"/>
          <w:szCs w:val="22"/>
        </w:rPr>
        <w:t xml:space="preserve"> 122 (4): 397–403.</w:t>
      </w:r>
    </w:p>
    <w:p w14:paraId="3FD97C08"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Burtraw, Dallas, Matt Woerman, and Anthony Paul. 2012. “Retail Electricity Price Savings from Compliance Flexibility in GHG Standards for Stationary Sources.” </w:t>
      </w:r>
      <w:r w:rsidRPr="000740C2">
        <w:rPr>
          <w:rFonts w:cs="Times New Roman"/>
          <w:i/>
          <w:iCs/>
          <w:sz w:val="22"/>
          <w:szCs w:val="22"/>
        </w:rPr>
        <w:t>Energy Policy</w:t>
      </w:r>
      <w:r w:rsidRPr="000740C2">
        <w:rPr>
          <w:rFonts w:cs="Times New Roman"/>
          <w:sz w:val="22"/>
          <w:szCs w:val="22"/>
        </w:rPr>
        <w:t xml:space="preserve"> 42 (March): 67–77. </w:t>
      </w:r>
    </w:p>
    <w:p w14:paraId="15782855" w14:textId="77777777" w:rsidR="008F30F4" w:rsidRPr="000740C2" w:rsidRDefault="008F30F4" w:rsidP="008F30F4">
      <w:pPr>
        <w:adjustRightInd w:val="0"/>
        <w:snapToGrid w:val="0"/>
        <w:spacing w:beforeLines="50" w:line="240" w:lineRule="auto"/>
        <w:ind w:left="440" w:hangingChars="200" w:hanging="440"/>
        <w:rPr>
          <w:rFonts w:cs="Times New Roman"/>
          <w:sz w:val="22"/>
          <w:szCs w:val="22"/>
        </w:rPr>
      </w:pPr>
      <w:r w:rsidRPr="000740C2">
        <w:rPr>
          <w:rFonts w:cs="Times New Roman"/>
          <w:sz w:val="22"/>
          <w:szCs w:val="22"/>
        </w:rPr>
        <w:t>Cull, Robert, and Lixin Colin Xu. 2003. “Who Gets Credit? The Behavior of Bureaucrats and State Banks in Allocating Credit to Chinese State-Owned Enterprises.” </w:t>
      </w:r>
      <w:r w:rsidRPr="000740C2">
        <w:rPr>
          <w:rFonts w:cs="Times New Roman"/>
          <w:i/>
          <w:iCs/>
          <w:sz w:val="22"/>
          <w:szCs w:val="22"/>
        </w:rPr>
        <w:t>Journal of Development Economics</w:t>
      </w:r>
      <w:r w:rsidRPr="000740C2">
        <w:rPr>
          <w:rFonts w:cs="Times New Roman"/>
          <w:sz w:val="22"/>
          <w:szCs w:val="22"/>
        </w:rPr>
        <w:t> 71 (2): 533–559.</w:t>
      </w:r>
    </w:p>
    <w:p w14:paraId="3DB00E29"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Chen, Y. H. H., S. Paltsev, J. Reilly, J. Morris, V. Karplus, A. Gurgel, N. Winchester, P. Kishimoto, E. Blanc, and M. Babiker. 2017. “The MIT Economic Projection and Policy Analysis (EPPA) Model: Version 5.” </w:t>
      </w:r>
      <w:r w:rsidRPr="000740C2">
        <w:rPr>
          <w:rFonts w:cs="Times New Roman"/>
          <w:i/>
          <w:iCs/>
          <w:sz w:val="22"/>
          <w:szCs w:val="22"/>
        </w:rPr>
        <w:t>MIT Joint Program on the Science and Policy of Global Change, Technical Note</w:t>
      </w:r>
      <w:r w:rsidRPr="000740C2">
        <w:rPr>
          <w:rFonts w:cs="Times New Roman"/>
          <w:sz w:val="22"/>
          <w:szCs w:val="22"/>
        </w:rPr>
        <w:t> 16: 1-34.</w:t>
      </w:r>
    </w:p>
    <w:p w14:paraId="261C0719"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lang w:val="de-DE"/>
        </w:rPr>
        <w:t xml:space="preserve">Chen, Yidan, Fang Guo, Jiachen Wang, Wenjia Cai, Can Wang, and Kaicun Wang. 2020. </w:t>
      </w:r>
      <w:r w:rsidRPr="000740C2">
        <w:rPr>
          <w:rFonts w:cs="Times New Roman"/>
          <w:sz w:val="22"/>
          <w:szCs w:val="22"/>
        </w:rPr>
        <w:t xml:space="preserve">“Provincial and Gridded Population Projection for China under Shared Socioeconomic Pathways from 2010 to 2100.” </w:t>
      </w:r>
      <w:r w:rsidRPr="000740C2">
        <w:rPr>
          <w:rFonts w:cs="Times New Roman"/>
          <w:i/>
          <w:iCs/>
          <w:sz w:val="22"/>
          <w:szCs w:val="22"/>
        </w:rPr>
        <w:t>Scientific Data</w:t>
      </w:r>
      <w:r w:rsidRPr="000740C2">
        <w:rPr>
          <w:rFonts w:cs="Times New Roman"/>
          <w:sz w:val="22"/>
          <w:szCs w:val="22"/>
        </w:rPr>
        <w:t xml:space="preserve"> 7 (1): 83. </w:t>
      </w:r>
    </w:p>
    <w:p w14:paraId="1C491982"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CEC. </w:t>
      </w:r>
      <w:r w:rsidRPr="000740C2">
        <w:rPr>
          <w:rFonts w:cs="Times New Roman"/>
          <w:i/>
          <w:iCs/>
          <w:sz w:val="22"/>
          <w:szCs w:val="22"/>
        </w:rPr>
        <w:t>Analysis of Trading Information in the National Electricity Market</w:t>
      </w:r>
      <w:r w:rsidRPr="000740C2">
        <w:rPr>
          <w:rFonts w:cs="Times New Roman"/>
          <w:sz w:val="22"/>
          <w:szCs w:val="22"/>
        </w:rPr>
        <w:t xml:space="preserve">. Beijing: China Electricity Council, 2019. </w:t>
      </w:r>
    </w:p>
    <w:p w14:paraId="3B645862"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Cossa, Paul Francois. 2004. “Uncertainty Analysis of the Cost of Climate Policies.” PhD Thesis, Massachusetts Institute of Technology.</w:t>
      </w:r>
    </w:p>
    <w:p w14:paraId="139F7E5F" w14:textId="77777777" w:rsidR="008F30F4" w:rsidRPr="000740C2" w:rsidRDefault="008F30F4" w:rsidP="008F30F4">
      <w:pPr>
        <w:adjustRightInd w:val="0"/>
        <w:snapToGrid w:val="0"/>
        <w:spacing w:beforeLines="50" w:line="240" w:lineRule="auto"/>
        <w:ind w:left="440" w:hangingChars="200" w:hanging="440"/>
        <w:rPr>
          <w:rFonts w:eastAsia="DengXian" w:cs="Times New Roman"/>
          <w:sz w:val="22"/>
          <w:szCs w:val="22"/>
        </w:rPr>
      </w:pPr>
      <w:r w:rsidRPr="000740C2">
        <w:rPr>
          <w:rFonts w:eastAsia="DengXian" w:cs="Times New Roman"/>
          <w:sz w:val="22"/>
          <w:szCs w:val="22"/>
        </w:rPr>
        <w:t>Démurger, Sylvie, Shi Li, and Juan Yang. 2012. “Earnings Differentials between the Public and Private Sectors in China: Exploring Changes for Urban Local Residents in the 2000s.” </w:t>
      </w:r>
      <w:r w:rsidRPr="000740C2">
        <w:rPr>
          <w:rFonts w:eastAsia="DengXian" w:cs="Times New Roman"/>
          <w:i/>
          <w:iCs/>
          <w:sz w:val="22"/>
          <w:szCs w:val="22"/>
        </w:rPr>
        <w:t>China Economic Review</w:t>
      </w:r>
      <w:r w:rsidRPr="000740C2">
        <w:rPr>
          <w:rFonts w:eastAsia="DengXian" w:cs="Times New Roman"/>
          <w:sz w:val="22"/>
          <w:szCs w:val="22"/>
        </w:rPr>
        <w:t> 23 (1): 138–53.</w:t>
      </w:r>
    </w:p>
    <w:p w14:paraId="68BFC306"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Ding, M. R. 2021. “Analysis of the Current Situation of Carbon Emissions in the Cement Industry and Exploration of Key Paths for Emission Reduction.” </w:t>
      </w:r>
      <w:r w:rsidRPr="000740C2">
        <w:rPr>
          <w:rFonts w:cs="Times New Roman"/>
          <w:i/>
          <w:iCs/>
          <w:sz w:val="22"/>
          <w:szCs w:val="22"/>
        </w:rPr>
        <w:t>China Cem</w:t>
      </w:r>
      <w:r w:rsidRPr="000740C2">
        <w:rPr>
          <w:rFonts w:cs="Times New Roman"/>
          <w:sz w:val="22"/>
          <w:szCs w:val="22"/>
        </w:rPr>
        <w:t> 7: 46-49.</w:t>
      </w:r>
    </w:p>
    <w:p w14:paraId="1FA9A615" w14:textId="77777777" w:rsidR="008F30F4" w:rsidRPr="000740C2" w:rsidRDefault="008F30F4" w:rsidP="008F30F4">
      <w:pPr>
        <w:adjustRightInd w:val="0"/>
        <w:snapToGrid w:val="0"/>
        <w:spacing w:beforeLines="50" w:line="240" w:lineRule="auto"/>
        <w:ind w:left="440" w:hangingChars="200" w:hanging="440"/>
        <w:rPr>
          <w:rFonts w:eastAsia="DengXian" w:cs="Times New Roman"/>
          <w:sz w:val="22"/>
          <w:szCs w:val="22"/>
        </w:rPr>
      </w:pPr>
      <w:r w:rsidRPr="000740C2">
        <w:rPr>
          <w:rFonts w:eastAsia="DengXian" w:cs="Times New Roman"/>
          <w:sz w:val="22"/>
          <w:szCs w:val="22"/>
        </w:rPr>
        <w:t>Guariglia, Alessandra, Xiaoxuan Liu, and Lina Song. 2011. “Internal Finance and Growth: Microeconometric Evidence on Chinese Firms.” </w:t>
      </w:r>
      <w:r w:rsidRPr="000740C2">
        <w:rPr>
          <w:rFonts w:eastAsia="DengXian" w:cs="Times New Roman"/>
          <w:i/>
          <w:iCs/>
          <w:sz w:val="22"/>
          <w:szCs w:val="22"/>
        </w:rPr>
        <w:t>Journal of Development Economics</w:t>
      </w:r>
      <w:r w:rsidRPr="000740C2">
        <w:rPr>
          <w:rFonts w:eastAsia="DengXian" w:cs="Times New Roman"/>
          <w:sz w:val="22"/>
          <w:szCs w:val="22"/>
        </w:rPr>
        <w:t> 96 (1): 79–94.</w:t>
      </w:r>
    </w:p>
    <w:p w14:paraId="4A55327E" w14:textId="77777777" w:rsidR="008F30F4" w:rsidRPr="000740C2" w:rsidRDefault="008F30F4" w:rsidP="008F30F4">
      <w:pPr>
        <w:adjustRightInd w:val="0"/>
        <w:snapToGrid w:val="0"/>
        <w:spacing w:beforeLines="50" w:line="240" w:lineRule="auto"/>
        <w:ind w:left="440" w:hangingChars="200" w:hanging="440"/>
        <w:rPr>
          <w:rFonts w:eastAsia="DengXian" w:cs="Times New Roman"/>
          <w:sz w:val="22"/>
          <w:szCs w:val="22"/>
        </w:rPr>
      </w:pPr>
      <w:r w:rsidRPr="000740C2">
        <w:rPr>
          <w:rFonts w:eastAsia="DengXian" w:cs="Times New Roman" w:hint="eastAsia"/>
          <w:sz w:val="22"/>
          <w:szCs w:val="22"/>
        </w:rPr>
        <w:t>Harrison, Ann., Marshall Meyer, Peichun Wang, Linda Zhao, and Minyuan Zhao</w:t>
      </w:r>
      <w:r w:rsidRPr="000740C2">
        <w:rPr>
          <w:rFonts w:eastAsia="DengXian" w:cs="Times New Roman"/>
          <w:sz w:val="22"/>
          <w:szCs w:val="22"/>
        </w:rPr>
        <w:t>. 2019. “Can a Tiger Change Its Stripes? Reform of Chinese State-Owned Enterprises in the Penumbra of the State</w:t>
      </w:r>
      <w:r w:rsidRPr="000740C2">
        <w:rPr>
          <w:rFonts w:eastAsia="DengXian" w:cs="Times New Roman" w:hint="eastAsia"/>
          <w:sz w:val="22"/>
          <w:szCs w:val="22"/>
        </w:rPr>
        <w:t>.</w:t>
      </w:r>
      <w:r w:rsidRPr="000740C2">
        <w:rPr>
          <w:rFonts w:eastAsia="DengXian" w:cs="Times New Roman"/>
          <w:sz w:val="22"/>
          <w:szCs w:val="22"/>
        </w:rPr>
        <w:t xml:space="preserve">” </w:t>
      </w:r>
      <w:r w:rsidRPr="000740C2">
        <w:rPr>
          <w:rFonts w:eastAsia="DengXian" w:cs="Times New Roman" w:hint="eastAsia"/>
          <w:i/>
          <w:iCs/>
          <w:sz w:val="22"/>
          <w:szCs w:val="22"/>
        </w:rPr>
        <w:t>National Bureau of Economic Research</w:t>
      </w:r>
      <w:r w:rsidRPr="000740C2">
        <w:rPr>
          <w:rFonts w:eastAsia="DengXian" w:cs="Times New Roman"/>
          <w:sz w:val="22"/>
          <w:szCs w:val="22"/>
        </w:rPr>
        <w:t>. Accessed August 21, 2023.</w:t>
      </w:r>
    </w:p>
    <w:p w14:paraId="417EF4D3"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He, Xiaoping, and David Reiner. 2016. “Electricity Demand and Basic Needs: Empirical Evidence from China’s Households.” </w:t>
      </w:r>
      <w:r w:rsidRPr="000740C2">
        <w:rPr>
          <w:rFonts w:cs="Times New Roman"/>
          <w:i/>
          <w:iCs/>
          <w:sz w:val="22"/>
          <w:szCs w:val="22"/>
        </w:rPr>
        <w:t>Energy Policy</w:t>
      </w:r>
      <w:r w:rsidRPr="000740C2">
        <w:rPr>
          <w:rFonts w:cs="Times New Roman"/>
          <w:sz w:val="22"/>
          <w:szCs w:val="22"/>
        </w:rPr>
        <w:t xml:space="preserve"> 90 (March): 212–21. </w:t>
      </w:r>
    </w:p>
    <w:p w14:paraId="3E830F74" w14:textId="77777777" w:rsidR="008F30F4" w:rsidRPr="000740C2" w:rsidRDefault="008F30F4" w:rsidP="008F30F4">
      <w:pPr>
        <w:adjustRightInd w:val="0"/>
        <w:snapToGrid w:val="0"/>
        <w:spacing w:beforeLines="50" w:line="240" w:lineRule="auto"/>
        <w:ind w:left="440" w:hangingChars="200" w:hanging="440"/>
        <w:rPr>
          <w:rFonts w:eastAsia="DengXian" w:cs="Times New Roman"/>
          <w:sz w:val="22"/>
          <w:szCs w:val="22"/>
        </w:rPr>
      </w:pPr>
      <w:r w:rsidRPr="000740C2">
        <w:rPr>
          <w:rFonts w:eastAsia="DengXian" w:cs="Times New Roman"/>
          <w:sz w:val="22"/>
          <w:szCs w:val="22"/>
        </w:rPr>
        <w:lastRenderedPageBreak/>
        <w:t>Hering, Laura, and Sandra Poncet. 2010. “Market Access and Individual Wages: Evidence from China.” </w:t>
      </w:r>
      <w:r w:rsidRPr="000740C2">
        <w:rPr>
          <w:rFonts w:eastAsia="DengXian" w:cs="Times New Roman"/>
          <w:i/>
          <w:iCs/>
          <w:sz w:val="22"/>
          <w:szCs w:val="22"/>
        </w:rPr>
        <w:t>Review of Economics and Statistics</w:t>
      </w:r>
      <w:r w:rsidRPr="000740C2">
        <w:rPr>
          <w:rFonts w:eastAsia="DengXian" w:cs="Times New Roman"/>
          <w:sz w:val="22"/>
          <w:szCs w:val="22"/>
        </w:rPr>
        <w:t> 92 (1): 145–159.</w:t>
      </w:r>
    </w:p>
    <w:p w14:paraId="44F4B5F3"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Herd, Richard. 2020. </w:t>
      </w:r>
      <w:r w:rsidRPr="000740C2">
        <w:rPr>
          <w:rFonts w:cs="Times New Roman"/>
          <w:i/>
          <w:iCs/>
          <w:sz w:val="22"/>
          <w:szCs w:val="22"/>
        </w:rPr>
        <w:t>Estimating Capital Formation and Capital Stock by Economic Sector in China: The Implications for Productivity Growth</w:t>
      </w:r>
      <w:r w:rsidRPr="000740C2">
        <w:rPr>
          <w:rFonts w:cs="Times New Roman"/>
          <w:sz w:val="22"/>
          <w:szCs w:val="22"/>
        </w:rPr>
        <w:t xml:space="preserve">. World Bank, Washington, DC. </w:t>
      </w:r>
    </w:p>
    <w:p w14:paraId="7AF4F8D3"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Hertel, Thomas, David Hummels, Maros Ivanic, and Roman Keeney. 2007. “How Confident Can We Be of CGE-Based Assessments of Free Trade Agreements?” </w:t>
      </w:r>
      <w:r w:rsidRPr="000740C2">
        <w:rPr>
          <w:rFonts w:cs="Times New Roman"/>
          <w:i/>
          <w:iCs/>
          <w:sz w:val="22"/>
          <w:szCs w:val="22"/>
        </w:rPr>
        <w:t>Economic Modelling</w:t>
      </w:r>
      <w:r w:rsidRPr="000740C2">
        <w:rPr>
          <w:rFonts w:cs="Times New Roman"/>
          <w:sz w:val="22"/>
          <w:szCs w:val="22"/>
        </w:rPr>
        <w:t xml:space="preserve"> 24 (4): 611–35.</w:t>
      </w:r>
    </w:p>
    <w:p w14:paraId="22FAB6C8"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Hertel, Thomas, and Dominique van der Mensbrugghe. 2019. “Chapter 14: Behavioral Parameters (Center for Global Trade Analysis).” Purdue University, West Lafayette, IN: Global Trade Analysis Project (GTAP).</w:t>
      </w:r>
    </w:p>
    <w:p w14:paraId="0742E183"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Hirth, Lion, Falko Ueckerdt, and Ottmar Edenhofer. 2015. “Integration Costs Revisited–An Economic Framework for Wind and Solar Variability.” </w:t>
      </w:r>
      <w:r w:rsidRPr="000740C2">
        <w:rPr>
          <w:rFonts w:cs="Times New Roman"/>
          <w:i/>
          <w:iCs/>
          <w:sz w:val="22"/>
          <w:szCs w:val="22"/>
        </w:rPr>
        <w:t>Renewable Energy</w:t>
      </w:r>
      <w:r w:rsidRPr="000740C2">
        <w:rPr>
          <w:rFonts w:cs="Times New Roman"/>
          <w:sz w:val="22"/>
          <w:szCs w:val="22"/>
        </w:rPr>
        <w:t> 74: 925-939.</w:t>
      </w:r>
    </w:p>
    <w:p w14:paraId="2BD223AD"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Holz, Carsten A., and Yue Sun. 2018. “Physical Capital Estimates for China’s Provinces, 1952–2015 and Beyond.” </w:t>
      </w:r>
      <w:r w:rsidRPr="000740C2">
        <w:rPr>
          <w:rFonts w:cs="Times New Roman"/>
          <w:i/>
          <w:iCs/>
          <w:sz w:val="22"/>
          <w:szCs w:val="22"/>
        </w:rPr>
        <w:t>China Economic Review</w:t>
      </w:r>
      <w:r w:rsidRPr="000740C2">
        <w:rPr>
          <w:rFonts w:cs="Times New Roman"/>
          <w:sz w:val="22"/>
          <w:szCs w:val="22"/>
        </w:rPr>
        <w:t xml:space="preserve"> 51 (October): 342–57. </w:t>
      </w:r>
    </w:p>
    <w:p w14:paraId="37AF6975"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Hu, Wenhao, Mun S. Ho, and Jing Cao. 2019. “Energy Consumption of Urban Households in China.” </w:t>
      </w:r>
      <w:r w:rsidRPr="000740C2">
        <w:rPr>
          <w:rFonts w:cs="Times New Roman"/>
          <w:i/>
          <w:iCs/>
          <w:sz w:val="22"/>
          <w:szCs w:val="22"/>
        </w:rPr>
        <w:t>China Economic Review</w:t>
      </w:r>
      <w:r w:rsidRPr="000740C2">
        <w:rPr>
          <w:rFonts w:cs="Times New Roman"/>
          <w:sz w:val="22"/>
          <w:szCs w:val="22"/>
        </w:rPr>
        <w:t xml:space="preserve"> 58 (December): 101343. </w:t>
      </w:r>
    </w:p>
    <w:p w14:paraId="5F6D7D87"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IAEA. </w:t>
      </w:r>
      <w:r w:rsidRPr="000740C2">
        <w:rPr>
          <w:rFonts w:cs="Times New Roman"/>
          <w:i/>
          <w:iCs/>
          <w:sz w:val="22"/>
          <w:szCs w:val="22"/>
        </w:rPr>
        <w:t>Economic Assessment of the Long-Term Operation of Nuclear Power Plants: Approaches and Experience</w:t>
      </w:r>
      <w:r w:rsidRPr="000740C2">
        <w:rPr>
          <w:rFonts w:cs="Times New Roman"/>
          <w:sz w:val="22"/>
          <w:szCs w:val="22"/>
        </w:rPr>
        <w:t xml:space="preserve">. IAEA Nuclear Energy Series, No.NP-T-3.25. Vienna: Austria, 2018. </w:t>
      </w:r>
    </w:p>
    <w:p w14:paraId="06757D96"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IEA/Tsinghua University. </w:t>
      </w:r>
      <w:r w:rsidRPr="000740C2">
        <w:rPr>
          <w:rFonts w:cs="Times New Roman"/>
          <w:i/>
          <w:iCs/>
          <w:sz w:val="22"/>
          <w:szCs w:val="22"/>
        </w:rPr>
        <w:t>The Role of China’s ETS in Power Sector Decarbonization</w:t>
      </w:r>
      <w:r w:rsidRPr="000740C2">
        <w:rPr>
          <w:rFonts w:cs="Times New Roman"/>
          <w:sz w:val="22"/>
          <w:szCs w:val="22"/>
        </w:rPr>
        <w:t>. Paris: OECD Publishing, 2021. </w:t>
      </w:r>
    </w:p>
    <w:p w14:paraId="645F994A"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IRENA. </w:t>
      </w:r>
      <w:r w:rsidRPr="000740C2">
        <w:rPr>
          <w:rFonts w:cs="Times New Roman"/>
          <w:i/>
          <w:iCs/>
          <w:sz w:val="22"/>
          <w:szCs w:val="22"/>
        </w:rPr>
        <w:t>Future of Solar Photovoltaic: Deployment, Investment, Technology, Grid Integration and Socio-Economic Aspects</w:t>
      </w:r>
      <w:r w:rsidRPr="000740C2">
        <w:rPr>
          <w:rFonts w:cs="Times New Roman"/>
          <w:sz w:val="22"/>
          <w:szCs w:val="22"/>
        </w:rPr>
        <w:t xml:space="preserve">. A Global Energy Transformation: Paper. Abu Dhabi: International Renewable Energy Agency, 2019a. </w:t>
      </w:r>
    </w:p>
    <w:p w14:paraId="428895C2"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 </w:t>
      </w:r>
      <w:r w:rsidRPr="000740C2">
        <w:rPr>
          <w:rFonts w:cs="Times New Roman"/>
          <w:i/>
          <w:iCs/>
          <w:sz w:val="22"/>
          <w:szCs w:val="22"/>
        </w:rPr>
        <w:t>Future of Wind: Deployment, Investment, Technology, Grid Integration and Socio-Economic Aspects</w:t>
      </w:r>
      <w:r w:rsidRPr="000740C2">
        <w:rPr>
          <w:rFonts w:cs="Times New Roman"/>
          <w:sz w:val="22"/>
          <w:szCs w:val="22"/>
        </w:rPr>
        <w:t xml:space="preserve">. A Global Energy Transformation: Paper. Abu Dhabi: International Renewable Energy Agency, 2019b. </w:t>
      </w:r>
    </w:p>
    <w:p w14:paraId="0CE60035"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Jomini, Patrick, J. F. Zeitsch, R. McDougall, A. Welsh, S. Brown, J. Hambley, and J. Kelly. “SALTER: A General Equilibrium Model of the World Economy.” </w:t>
      </w:r>
      <w:r w:rsidRPr="000740C2">
        <w:rPr>
          <w:rFonts w:cs="Times New Roman"/>
          <w:i/>
          <w:iCs/>
          <w:sz w:val="22"/>
          <w:szCs w:val="22"/>
        </w:rPr>
        <w:t>Database and Parameters, Industry Commission</w:t>
      </w:r>
      <w:r w:rsidRPr="000740C2">
        <w:rPr>
          <w:rFonts w:cs="Times New Roman"/>
          <w:sz w:val="22"/>
          <w:szCs w:val="22"/>
        </w:rPr>
        <w:t>,</w:t>
      </w:r>
      <w:r w:rsidRPr="000740C2">
        <w:rPr>
          <w:rFonts w:cs="Times New Roman"/>
          <w:i/>
          <w:iCs/>
          <w:sz w:val="22"/>
          <w:szCs w:val="22"/>
        </w:rPr>
        <w:t xml:space="preserve"> Canberra</w:t>
      </w:r>
      <w:r w:rsidRPr="000740C2">
        <w:rPr>
          <w:rFonts w:cs="Times New Roman"/>
          <w:sz w:val="22"/>
          <w:szCs w:val="22"/>
        </w:rPr>
        <w:t>, 1991.</w:t>
      </w:r>
    </w:p>
    <w:p w14:paraId="6EA2A4BA"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Lian, Weicheng, Natalija Novta, Evgenia Pugacheva, Yannick Timmer, and Petia Topalova. 2020. “The Price of Capital Goods: A Driver of Investment under Threat.” </w:t>
      </w:r>
      <w:r w:rsidRPr="000740C2">
        <w:rPr>
          <w:rFonts w:cs="Times New Roman"/>
          <w:i/>
          <w:iCs/>
          <w:sz w:val="22"/>
          <w:szCs w:val="22"/>
        </w:rPr>
        <w:t>IMF Economic Review</w:t>
      </w:r>
      <w:r w:rsidRPr="000740C2">
        <w:rPr>
          <w:rFonts w:cs="Times New Roman"/>
          <w:sz w:val="22"/>
          <w:szCs w:val="22"/>
        </w:rPr>
        <w:t> 68: 509-549.</w:t>
      </w:r>
    </w:p>
    <w:p w14:paraId="70966B9A"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Lu, Ming, Rong Zhu, and Wengang Lu. 2015. “Optimization of Material Structure in Converter Steelmaking.” </w:t>
      </w:r>
      <w:r w:rsidRPr="000740C2">
        <w:rPr>
          <w:rFonts w:cs="Times New Roman"/>
          <w:i/>
          <w:iCs/>
          <w:sz w:val="22"/>
          <w:szCs w:val="22"/>
        </w:rPr>
        <w:t>Chinese Journal of Engineering</w:t>
      </w:r>
      <w:r w:rsidRPr="000740C2">
        <w:rPr>
          <w:rFonts w:cs="Times New Roman"/>
          <w:sz w:val="22"/>
          <w:szCs w:val="22"/>
        </w:rPr>
        <w:t xml:space="preserve">, no. S1: 70–73. </w:t>
      </w:r>
    </w:p>
    <w:p w14:paraId="55AAF2D9"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The State Information Center. </w:t>
      </w:r>
      <w:r w:rsidRPr="000740C2">
        <w:rPr>
          <w:rFonts w:cs="Times New Roman"/>
          <w:i/>
          <w:iCs/>
          <w:sz w:val="22"/>
          <w:szCs w:val="22"/>
        </w:rPr>
        <w:t xml:space="preserve">Medium and Long-Term Goals, Strategies, and Paths of China’s Economic and Social Development. </w:t>
      </w:r>
      <w:r w:rsidRPr="000740C2">
        <w:rPr>
          <w:rFonts w:cs="Times New Roman"/>
          <w:sz w:val="22"/>
          <w:szCs w:val="22"/>
        </w:rPr>
        <w:t>Beijing: State Information Center, 2020.</w:t>
      </w:r>
    </w:p>
    <w:p w14:paraId="1A334B12"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NBS. </w:t>
      </w:r>
      <w:r w:rsidRPr="000740C2">
        <w:rPr>
          <w:rFonts w:cs="Times New Roman"/>
          <w:i/>
          <w:iCs/>
          <w:sz w:val="22"/>
          <w:szCs w:val="22"/>
        </w:rPr>
        <w:t>Energy Statistic Yearbook 2017</w:t>
      </w:r>
      <w:r w:rsidRPr="000740C2">
        <w:rPr>
          <w:rFonts w:cs="Times New Roman"/>
          <w:sz w:val="22"/>
          <w:szCs w:val="22"/>
        </w:rPr>
        <w:t>. Beijing: National Bureau of Statistics, 2018</w:t>
      </w:r>
    </w:p>
    <w:p w14:paraId="3CD3BC05"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NBS. </w:t>
      </w:r>
      <w:r w:rsidRPr="000740C2">
        <w:rPr>
          <w:rFonts w:cs="Times New Roman"/>
          <w:i/>
          <w:iCs/>
          <w:sz w:val="22"/>
          <w:szCs w:val="22"/>
        </w:rPr>
        <w:t>Input-output Table 2017</w:t>
      </w:r>
      <w:r w:rsidRPr="000740C2">
        <w:rPr>
          <w:rFonts w:cs="Times New Roman"/>
          <w:sz w:val="22"/>
          <w:szCs w:val="22"/>
        </w:rPr>
        <w:t>. Beijing: National Bureau of Statistics, 2021</w:t>
      </w:r>
    </w:p>
    <w:p w14:paraId="21E0D46D"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NEA. </w:t>
      </w:r>
      <w:r w:rsidRPr="000740C2">
        <w:rPr>
          <w:rFonts w:cs="Times New Roman"/>
          <w:i/>
          <w:iCs/>
          <w:sz w:val="22"/>
          <w:szCs w:val="22"/>
        </w:rPr>
        <w:t>2017 Regulatory Report on National Electricity Pricing</w:t>
      </w:r>
      <w:r w:rsidRPr="000740C2">
        <w:rPr>
          <w:rFonts w:cs="Times New Roman"/>
          <w:sz w:val="22"/>
          <w:szCs w:val="22"/>
        </w:rPr>
        <w:t xml:space="preserve">. Beijing: National Energy Administration, 2018. </w:t>
      </w:r>
    </w:p>
    <w:p w14:paraId="49420D73"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NDRC. </w:t>
      </w:r>
      <w:r w:rsidRPr="000740C2">
        <w:rPr>
          <w:rFonts w:cs="Times New Roman"/>
          <w:i/>
          <w:iCs/>
          <w:sz w:val="22"/>
          <w:szCs w:val="22"/>
        </w:rPr>
        <w:t>National Key Energy Conservation and Low Carbon Technology Promotion Catalogue</w:t>
      </w:r>
      <w:r w:rsidRPr="000740C2">
        <w:rPr>
          <w:rFonts w:cs="Times New Roman"/>
          <w:sz w:val="22"/>
          <w:szCs w:val="22"/>
        </w:rPr>
        <w:t>. Beijing: National Development and Reform Commission of China, 2016.</w:t>
      </w:r>
    </w:p>
    <w:p w14:paraId="060AC2EE"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NDRC. </w:t>
      </w:r>
      <w:r w:rsidRPr="000740C2">
        <w:rPr>
          <w:rFonts w:cs="Times New Roman"/>
          <w:i/>
          <w:iCs/>
          <w:sz w:val="22"/>
          <w:szCs w:val="22"/>
        </w:rPr>
        <w:t>National Key Energy Conservation and Low Carbon Technology Promotion Catalogue</w:t>
      </w:r>
      <w:r w:rsidRPr="000740C2">
        <w:rPr>
          <w:rFonts w:cs="Times New Roman"/>
          <w:sz w:val="22"/>
          <w:szCs w:val="22"/>
        </w:rPr>
        <w:t>. Beijing: National Development and Reform Commission of China, 2017.</w:t>
      </w:r>
    </w:p>
    <w:p w14:paraId="65E4E93E"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lastRenderedPageBreak/>
        <w:t xml:space="preserve">NDRC. </w:t>
      </w:r>
      <w:r w:rsidRPr="000740C2">
        <w:rPr>
          <w:rFonts w:cs="Times New Roman"/>
          <w:i/>
          <w:iCs/>
          <w:sz w:val="22"/>
          <w:szCs w:val="22"/>
        </w:rPr>
        <w:t>Practical Experience in Energy Efficiency in the Aluminum Industry</w:t>
      </w:r>
      <w:r w:rsidRPr="000740C2">
        <w:rPr>
          <w:rFonts w:cs="Times New Roman"/>
          <w:sz w:val="22"/>
          <w:szCs w:val="22"/>
        </w:rPr>
        <w:t xml:space="preserve">. Beijing: National Development and Reform Commission of China, 2021. </w:t>
      </w:r>
    </w:p>
    <w:p w14:paraId="19D4E5FD"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Paltsev,</w:t>
      </w:r>
      <w:r>
        <w:rPr>
          <w:rFonts w:cs="Times New Roman"/>
          <w:sz w:val="22"/>
          <w:szCs w:val="22"/>
        </w:rPr>
        <w:t xml:space="preserve"> </w:t>
      </w:r>
      <w:r w:rsidRPr="000740C2">
        <w:rPr>
          <w:rFonts w:cs="Times New Roman"/>
          <w:sz w:val="22"/>
          <w:szCs w:val="22"/>
        </w:rPr>
        <w:t>Sergey</w:t>
      </w:r>
      <w:r>
        <w:rPr>
          <w:rFonts w:cs="Times New Roman"/>
          <w:sz w:val="22"/>
          <w:szCs w:val="22"/>
        </w:rPr>
        <w:t>,</w:t>
      </w:r>
      <w:r w:rsidRPr="000740C2">
        <w:rPr>
          <w:rFonts w:cs="Times New Roman"/>
          <w:sz w:val="22"/>
          <w:szCs w:val="22"/>
        </w:rPr>
        <w:t xml:space="preserve"> John M. Reilly, Henry D. Jacoby, Richard S. Eckaus,</w:t>
      </w:r>
      <w:r w:rsidRPr="000740C2">
        <w:rPr>
          <w:rFonts w:cs="Times New Roman" w:hint="eastAsia"/>
          <w:sz w:val="22"/>
          <w:szCs w:val="22"/>
        </w:rPr>
        <w:t xml:space="preserve"> </w:t>
      </w:r>
      <w:r w:rsidRPr="000740C2">
        <w:rPr>
          <w:rFonts w:cs="Times New Roman"/>
          <w:sz w:val="22"/>
          <w:szCs w:val="22"/>
        </w:rPr>
        <w:t xml:space="preserve">James McFarland, Marcus Sarofim, Malcolm Asadoorian and Mustafa Babiker. </w:t>
      </w:r>
      <w:r w:rsidRPr="000740C2">
        <w:rPr>
          <w:rFonts w:cs="Times New Roman"/>
          <w:i/>
          <w:iCs/>
          <w:sz w:val="22"/>
          <w:szCs w:val="22"/>
        </w:rPr>
        <w:t xml:space="preserve">The MIT </w:t>
      </w:r>
      <w:r>
        <w:rPr>
          <w:rFonts w:cs="Times New Roman"/>
          <w:i/>
          <w:iCs/>
          <w:sz w:val="22"/>
          <w:szCs w:val="22"/>
        </w:rPr>
        <w:t>E</w:t>
      </w:r>
      <w:r w:rsidRPr="000740C2">
        <w:rPr>
          <w:rFonts w:cs="Times New Roman"/>
          <w:i/>
          <w:iCs/>
          <w:sz w:val="22"/>
          <w:szCs w:val="22"/>
        </w:rPr>
        <w:t xml:space="preserve">missions </w:t>
      </w:r>
      <w:r>
        <w:rPr>
          <w:rFonts w:cs="Times New Roman"/>
          <w:i/>
          <w:iCs/>
          <w:sz w:val="22"/>
          <w:szCs w:val="22"/>
        </w:rPr>
        <w:t>P</w:t>
      </w:r>
      <w:r w:rsidRPr="000740C2">
        <w:rPr>
          <w:rFonts w:cs="Times New Roman"/>
          <w:i/>
          <w:iCs/>
          <w:sz w:val="22"/>
          <w:szCs w:val="22"/>
        </w:rPr>
        <w:t xml:space="preserve">rediction and </w:t>
      </w:r>
      <w:r>
        <w:rPr>
          <w:rFonts w:cs="Times New Roman"/>
          <w:i/>
          <w:iCs/>
          <w:sz w:val="22"/>
          <w:szCs w:val="22"/>
        </w:rPr>
        <w:t>P</w:t>
      </w:r>
      <w:r w:rsidRPr="000740C2">
        <w:rPr>
          <w:rFonts w:cs="Times New Roman"/>
          <w:i/>
          <w:iCs/>
          <w:sz w:val="22"/>
          <w:szCs w:val="22"/>
        </w:rPr>
        <w:t xml:space="preserve">olicy </w:t>
      </w:r>
      <w:r>
        <w:rPr>
          <w:rFonts w:cs="Times New Roman"/>
          <w:i/>
          <w:iCs/>
          <w:sz w:val="22"/>
          <w:szCs w:val="22"/>
        </w:rPr>
        <w:t>A</w:t>
      </w:r>
      <w:r w:rsidRPr="000740C2">
        <w:rPr>
          <w:rFonts w:cs="Times New Roman"/>
          <w:i/>
          <w:iCs/>
          <w:sz w:val="22"/>
          <w:szCs w:val="22"/>
        </w:rPr>
        <w:t xml:space="preserve">nalysis (EPPA) </w:t>
      </w:r>
      <w:r>
        <w:rPr>
          <w:rFonts w:cs="Times New Roman"/>
          <w:i/>
          <w:iCs/>
          <w:sz w:val="22"/>
          <w:szCs w:val="22"/>
        </w:rPr>
        <w:t>M</w:t>
      </w:r>
      <w:r w:rsidRPr="000740C2">
        <w:rPr>
          <w:rFonts w:cs="Times New Roman"/>
          <w:i/>
          <w:iCs/>
          <w:sz w:val="22"/>
          <w:szCs w:val="22"/>
        </w:rPr>
        <w:t xml:space="preserve">odel: </w:t>
      </w:r>
      <w:r>
        <w:rPr>
          <w:rFonts w:cs="Times New Roman"/>
          <w:i/>
          <w:iCs/>
          <w:sz w:val="22"/>
          <w:szCs w:val="22"/>
        </w:rPr>
        <w:t>V</w:t>
      </w:r>
      <w:r w:rsidRPr="000740C2">
        <w:rPr>
          <w:rFonts w:cs="Times New Roman"/>
          <w:i/>
          <w:iCs/>
          <w:sz w:val="22"/>
          <w:szCs w:val="22"/>
        </w:rPr>
        <w:t>ersion 4.</w:t>
      </w:r>
      <w:r w:rsidRPr="000740C2">
        <w:rPr>
          <w:rFonts w:cs="Times New Roman"/>
          <w:sz w:val="22"/>
          <w:szCs w:val="22"/>
        </w:rPr>
        <w:t xml:space="preserve"> Cambridge MA: MIT </w:t>
      </w:r>
      <w:r>
        <w:rPr>
          <w:rFonts w:cs="Times New Roman"/>
          <w:sz w:val="22"/>
          <w:szCs w:val="22"/>
        </w:rPr>
        <w:t>J</w:t>
      </w:r>
      <w:r w:rsidRPr="000740C2">
        <w:rPr>
          <w:rFonts w:cs="Times New Roman"/>
          <w:sz w:val="22"/>
          <w:szCs w:val="22"/>
        </w:rPr>
        <w:t xml:space="preserve">oint </w:t>
      </w:r>
      <w:r>
        <w:rPr>
          <w:rFonts w:cs="Times New Roman"/>
          <w:sz w:val="22"/>
          <w:szCs w:val="22"/>
        </w:rPr>
        <w:t>P</w:t>
      </w:r>
      <w:r w:rsidRPr="000740C2">
        <w:rPr>
          <w:rFonts w:cs="Times New Roman"/>
          <w:sz w:val="22"/>
          <w:szCs w:val="22"/>
        </w:rPr>
        <w:t xml:space="preserve">rogram on the </w:t>
      </w:r>
      <w:r>
        <w:rPr>
          <w:rFonts w:cs="Times New Roman"/>
          <w:sz w:val="22"/>
          <w:szCs w:val="22"/>
        </w:rPr>
        <w:t>S</w:t>
      </w:r>
      <w:r w:rsidRPr="000740C2">
        <w:rPr>
          <w:rFonts w:cs="Times New Roman"/>
          <w:sz w:val="22"/>
          <w:szCs w:val="22"/>
        </w:rPr>
        <w:t xml:space="preserve">cience and </w:t>
      </w:r>
      <w:r>
        <w:rPr>
          <w:rFonts w:cs="Times New Roman"/>
          <w:sz w:val="22"/>
          <w:szCs w:val="22"/>
        </w:rPr>
        <w:t>P</w:t>
      </w:r>
      <w:r w:rsidRPr="000740C2">
        <w:rPr>
          <w:rFonts w:cs="Times New Roman"/>
          <w:sz w:val="22"/>
          <w:szCs w:val="22"/>
        </w:rPr>
        <w:t xml:space="preserve">olicy of </w:t>
      </w:r>
      <w:r>
        <w:rPr>
          <w:rFonts w:cs="Times New Roman"/>
          <w:sz w:val="22"/>
          <w:szCs w:val="22"/>
        </w:rPr>
        <w:t>G</w:t>
      </w:r>
      <w:r w:rsidRPr="000740C2">
        <w:rPr>
          <w:rFonts w:cs="Times New Roman"/>
          <w:sz w:val="22"/>
          <w:szCs w:val="22"/>
        </w:rPr>
        <w:t xml:space="preserve">lobal </w:t>
      </w:r>
      <w:r>
        <w:rPr>
          <w:rFonts w:cs="Times New Roman"/>
          <w:sz w:val="22"/>
          <w:szCs w:val="22"/>
        </w:rPr>
        <w:t>C</w:t>
      </w:r>
      <w:r w:rsidRPr="000740C2">
        <w:rPr>
          <w:rFonts w:cs="Times New Roman"/>
          <w:sz w:val="22"/>
          <w:szCs w:val="22"/>
        </w:rPr>
        <w:t>hange, 2005.</w:t>
      </w:r>
    </w:p>
    <w:p w14:paraId="1787D50F"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Ross, Martin T. 2014. “Structure of the Dynamic Integrated Economy/Energy/Emissions Model: Computable General Equilibrium Component, DIEM-CGE.” NI WP 14-12. Durham, NC: Duke University.</w:t>
      </w:r>
    </w:p>
    <w:p w14:paraId="51055220"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RTI International. </w:t>
      </w:r>
      <w:r w:rsidRPr="000740C2">
        <w:rPr>
          <w:rFonts w:cs="Times New Roman"/>
          <w:i/>
          <w:iCs/>
          <w:sz w:val="22"/>
          <w:szCs w:val="22"/>
        </w:rPr>
        <w:t xml:space="preserve">The Applied Dynamic Analysis of the Global Economy (RTI-ADAGE) Model. </w:t>
      </w:r>
      <w:r w:rsidRPr="000740C2">
        <w:rPr>
          <w:rFonts w:cs="Times New Roman"/>
          <w:sz w:val="22"/>
          <w:szCs w:val="22"/>
        </w:rPr>
        <w:t xml:space="preserve">U.S. Regional Module Final Release, 2015. </w:t>
      </w:r>
    </w:p>
    <w:p w14:paraId="542C7FDF" w14:textId="77777777" w:rsidR="008F30F4" w:rsidRPr="000740C2" w:rsidRDefault="008F30F4" w:rsidP="008F30F4">
      <w:pPr>
        <w:adjustRightInd w:val="0"/>
        <w:snapToGrid w:val="0"/>
        <w:spacing w:beforeLines="50" w:line="240" w:lineRule="auto"/>
        <w:ind w:left="440" w:hangingChars="200" w:hanging="440"/>
        <w:rPr>
          <w:rFonts w:eastAsia="DengXian" w:cs="Times New Roman"/>
          <w:sz w:val="22"/>
          <w:szCs w:val="22"/>
        </w:rPr>
      </w:pPr>
      <w:r w:rsidRPr="000740C2">
        <w:rPr>
          <w:rFonts w:eastAsia="DengXian" w:cs="Times New Roman"/>
          <w:sz w:val="22"/>
          <w:szCs w:val="22"/>
        </w:rPr>
        <w:t>Song, Zheng, Kjetil Storesletten, and Fabrizio Zilibotti. 2011. “Growing like China.” </w:t>
      </w:r>
      <w:r w:rsidRPr="000740C2">
        <w:rPr>
          <w:rFonts w:eastAsia="DengXian" w:cs="Times New Roman"/>
          <w:i/>
          <w:iCs/>
          <w:sz w:val="22"/>
          <w:szCs w:val="22"/>
        </w:rPr>
        <w:t>American Economic Review</w:t>
      </w:r>
      <w:r w:rsidRPr="000740C2">
        <w:rPr>
          <w:rFonts w:eastAsia="DengXian" w:cs="Times New Roman"/>
          <w:sz w:val="22"/>
          <w:szCs w:val="22"/>
        </w:rPr>
        <w:t> 101 (1): 196–233.</w:t>
      </w:r>
    </w:p>
    <w:p w14:paraId="4A327D94"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Shi, Guoqing, Xiaojian Zheng, and Fangfang Song. 2012. “Estimating Elasticity for Residential Electricity Demand in China.” </w:t>
      </w:r>
      <w:r w:rsidRPr="000740C2">
        <w:rPr>
          <w:rFonts w:cs="Times New Roman"/>
          <w:i/>
          <w:iCs/>
          <w:sz w:val="22"/>
          <w:szCs w:val="22"/>
        </w:rPr>
        <w:t>The Scientific World Journal</w:t>
      </w:r>
      <w:r w:rsidRPr="000740C2">
        <w:rPr>
          <w:rFonts w:cs="Times New Roman"/>
          <w:sz w:val="22"/>
          <w:szCs w:val="22"/>
        </w:rPr>
        <w:t>.</w:t>
      </w:r>
    </w:p>
    <w:p w14:paraId="0E08825E"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Święcki, Tomasz. 2017. </w:t>
      </w:r>
      <w:r w:rsidRPr="000740C2">
        <w:rPr>
          <w:rFonts w:eastAsia="DengXian" w:cs="Times New Roman"/>
          <w:sz w:val="22"/>
          <w:szCs w:val="22"/>
        </w:rPr>
        <w:t>“</w:t>
      </w:r>
      <w:r w:rsidRPr="000740C2">
        <w:rPr>
          <w:rFonts w:cs="Times New Roman"/>
          <w:sz w:val="22"/>
          <w:szCs w:val="22"/>
        </w:rPr>
        <w:t>Determinants of Structural Change.</w:t>
      </w:r>
      <w:r w:rsidRPr="000740C2">
        <w:rPr>
          <w:rFonts w:eastAsia="DengXian" w:cs="Times New Roman"/>
          <w:sz w:val="22"/>
          <w:szCs w:val="22"/>
        </w:rPr>
        <w:t>”</w:t>
      </w:r>
      <w:r w:rsidRPr="000740C2">
        <w:rPr>
          <w:rFonts w:cs="Times New Roman"/>
          <w:sz w:val="22"/>
          <w:szCs w:val="22"/>
        </w:rPr>
        <w:t xml:space="preserve"> </w:t>
      </w:r>
      <w:r w:rsidRPr="000740C2">
        <w:rPr>
          <w:rFonts w:cs="Times New Roman"/>
          <w:i/>
          <w:iCs/>
          <w:sz w:val="22"/>
          <w:szCs w:val="22"/>
        </w:rPr>
        <w:t>Review of Economic Dynamics</w:t>
      </w:r>
      <w:r w:rsidRPr="000740C2">
        <w:rPr>
          <w:rFonts w:cs="Times New Roman"/>
          <w:sz w:val="22"/>
          <w:szCs w:val="22"/>
        </w:rPr>
        <w:t xml:space="preserve"> 24 (March): 95</w:t>
      </w:r>
      <w:r w:rsidRPr="000740C2">
        <w:rPr>
          <w:rFonts w:eastAsia="DengXian" w:cs="Times New Roman"/>
          <w:sz w:val="22"/>
          <w:szCs w:val="22"/>
        </w:rPr>
        <w:t>–</w:t>
      </w:r>
      <w:r w:rsidRPr="000740C2">
        <w:rPr>
          <w:rFonts w:cs="Times New Roman"/>
          <w:sz w:val="22"/>
          <w:szCs w:val="22"/>
        </w:rPr>
        <w:t xml:space="preserve">131. </w:t>
      </w:r>
    </w:p>
    <w:p w14:paraId="777DFD54"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Tu, Qiang, Betz Regina,, Mo Jianlei, Fan Ying and Liu Yu. 2019. “Achieving </w:t>
      </w:r>
      <w:r>
        <w:rPr>
          <w:rFonts w:cs="Times New Roman" w:hint="eastAsia"/>
          <w:sz w:val="22"/>
          <w:szCs w:val="22"/>
        </w:rPr>
        <w:t>G</w:t>
      </w:r>
      <w:r w:rsidRPr="000740C2">
        <w:rPr>
          <w:rFonts w:cs="Times New Roman"/>
          <w:sz w:val="22"/>
          <w:szCs w:val="22"/>
        </w:rPr>
        <w:t xml:space="preserve">rid </w:t>
      </w:r>
      <w:r>
        <w:rPr>
          <w:rFonts w:cs="Times New Roman"/>
          <w:sz w:val="22"/>
          <w:szCs w:val="22"/>
        </w:rPr>
        <w:t>P</w:t>
      </w:r>
      <w:r w:rsidRPr="000740C2">
        <w:rPr>
          <w:rFonts w:cs="Times New Roman"/>
          <w:sz w:val="22"/>
          <w:szCs w:val="22"/>
        </w:rPr>
        <w:t xml:space="preserve">arity of </w:t>
      </w:r>
      <w:r>
        <w:rPr>
          <w:rFonts w:cs="Times New Roman"/>
          <w:sz w:val="22"/>
          <w:szCs w:val="22"/>
        </w:rPr>
        <w:t>W</w:t>
      </w:r>
      <w:r w:rsidRPr="000740C2">
        <w:rPr>
          <w:rFonts w:cs="Times New Roman"/>
          <w:sz w:val="22"/>
          <w:szCs w:val="22"/>
        </w:rPr>
        <w:t xml:space="preserve">ind </w:t>
      </w:r>
      <w:r>
        <w:rPr>
          <w:rFonts w:cs="Times New Roman"/>
          <w:sz w:val="22"/>
          <w:szCs w:val="22"/>
        </w:rPr>
        <w:t>P</w:t>
      </w:r>
      <w:r w:rsidRPr="000740C2">
        <w:rPr>
          <w:rFonts w:cs="Times New Roman"/>
          <w:sz w:val="22"/>
          <w:szCs w:val="22"/>
        </w:rPr>
        <w:t xml:space="preserve">ower in China--Present </w:t>
      </w:r>
      <w:r>
        <w:rPr>
          <w:rFonts w:cs="Times New Roman"/>
          <w:sz w:val="22"/>
          <w:szCs w:val="22"/>
        </w:rPr>
        <w:t>L</w:t>
      </w:r>
      <w:r w:rsidRPr="000740C2">
        <w:rPr>
          <w:rFonts w:cs="Times New Roman"/>
          <w:sz w:val="22"/>
          <w:szCs w:val="22"/>
        </w:rPr>
        <w:t xml:space="preserve">evelized </w:t>
      </w:r>
      <w:r>
        <w:rPr>
          <w:rFonts w:cs="Times New Roman"/>
          <w:sz w:val="22"/>
          <w:szCs w:val="22"/>
        </w:rPr>
        <w:t>C</w:t>
      </w:r>
      <w:r w:rsidRPr="000740C2">
        <w:rPr>
          <w:rFonts w:cs="Times New Roman"/>
          <w:sz w:val="22"/>
          <w:szCs w:val="22"/>
        </w:rPr>
        <w:t xml:space="preserve">ost of </w:t>
      </w:r>
      <w:r>
        <w:rPr>
          <w:rFonts w:cs="Times New Roman"/>
          <w:sz w:val="22"/>
          <w:szCs w:val="22"/>
        </w:rPr>
        <w:t>E</w:t>
      </w:r>
      <w:r w:rsidRPr="000740C2">
        <w:rPr>
          <w:rFonts w:cs="Times New Roman"/>
          <w:sz w:val="22"/>
          <w:szCs w:val="22"/>
        </w:rPr>
        <w:t xml:space="preserve">lectricity and </w:t>
      </w:r>
      <w:r>
        <w:rPr>
          <w:rFonts w:cs="Times New Roman"/>
          <w:sz w:val="22"/>
          <w:szCs w:val="22"/>
        </w:rPr>
        <w:t>F</w:t>
      </w:r>
      <w:r w:rsidRPr="000740C2">
        <w:rPr>
          <w:rFonts w:cs="Times New Roman"/>
          <w:sz w:val="22"/>
          <w:szCs w:val="22"/>
        </w:rPr>
        <w:t xml:space="preserve">uture </w:t>
      </w:r>
      <w:r>
        <w:rPr>
          <w:rFonts w:cs="Times New Roman"/>
          <w:sz w:val="22"/>
          <w:szCs w:val="22"/>
        </w:rPr>
        <w:t>E</w:t>
      </w:r>
      <w:r w:rsidRPr="000740C2">
        <w:rPr>
          <w:rFonts w:cs="Times New Roman"/>
          <w:sz w:val="22"/>
          <w:szCs w:val="22"/>
        </w:rPr>
        <w:t xml:space="preserve">volution.” </w:t>
      </w:r>
      <w:r w:rsidRPr="000740C2">
        <w:rPr>
          <w:rFonts w:cs="Times New Roman"/>
          <w:i/>
          <w:iCs/>
          <w:sz w:val="22"/>
          <w:szCs w:val="22"/>
        </w:rPr>
        <w:t xml:space="preserve">Applied Energy </w:t>
      </w:r>
      <w:r w:rsidRPr="000740C2">
        <w:rPr>
          <w:rFonts w:cs="Times New Roman"/>
          <w:sz w:val="22"/>
          <w:szCs w:val="22"/>
        </w:rPr>
        <w:t>250: 1053-1064.</w:t>
      </w:r>
    </w:p>
    <w:p w14:paraId="376C6DA9"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Wang, Yiyi, Jianlin Hu, Jia Zhu, Jingyi Li, Momei Qin, Hong Liao, Kai Chen, and Meng Wang. 2021. “Health Burden and Economic Impacts Attributed to PM2.5 and O3 in China from 2010 to 2050 under Different Representative Concentration Pathway Scenarios.” </w:t>
      </w:r>
      <w:r w:rsidRPr="000740C2">
        <w:rPr>
          <w:rFonts w:cs="Times New Roman"/>
          <w:i/>
          <w:iCs/>
          <w:sz w:val="22"/>
          <w:szCs w:val="22"/>
        </w:rPr>
        <w:t>Resources, Conservation and Recycling</w:t>
      </w:r>
      <w:r w:rsidRPr="000740C2">
        <w:rPr>
          <w:rFonts w:cs="Times New Roman"/>
          <w:sz w:val="22"/>
          <w:szCs w:val="22"/>
        </w:rPr>
        <w:t xml:space="preserve"> 173 (October): 105731. </w:t>
      </w:r>
    </w:p>
    <w:p w14:paraId="55B7C6D5"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Xing, Jia, Dian Ding, Shuxiao Wang, Bin Zhao, Carey Jang, Wenjing Wu, Fenfen Zhang, Yun Zhu, and Jiming Hao. 2018. “Quantification of the Enhanced Effectiveness of Control from Simultaneous Reductions of VOC and NH3 for Reducing Air Pollution in the Beijing–Tianjin–Hebei Region, China.” </w:t>
      </w:r>
      <w:r w:rsidRPr="000740C2">
        <w:rPr>
          <w:rFonts w:cs="Times New Roman"/>
          <w:i/>
          <w:iCs/>
          <w:sz w:val="22"/>
          <w:szCs w:val="22"/>
        </w:rPr>
        <w:t>Atmospheric Chemistry and Physics</w:t>
      </w:r>
      <w:r w:rsidRPr="000740C2">
        <w:rPr>
          <w:rFonts w:cs="Times New Roman"/>
          <w:sz w:val="22"/>
          <w:szCs w:val="22"/>
        </w:rPr>
        <w:t xml:space="preserve"> 18 (11): 7799–7814. </w:t>
      </w:r>
    </w:p>
    <w:p w14:paraId="0653BC70"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6B4940">
        <w:rPr>
          <w:rFonts w:cs="Times New Roman"/>
          <w:sz w:val="22"/>
          <w:szCs w:val="22"/>
        </w:rPr>
        <w:t xml:space="preserve">Zhang, Da, Sebastian Rausch, Valerie J. Karplus, and Xiliang Zhang. </w:t>
      </w:r>
      <w:r w:rsidRPr="000740C2">
        <w:rPr>
          <w:rFonts w:cs="Times New Roman"/>
          <w:sz w:val="22"/>
          <w:szCs w:val="22"/>
        </w:rPr>
        <w:t xml:space="preserve">2013. “Quantifying Regional Economic Impacts of CO2 Intensity Targets in China.” </w:t>
      </w:r>
      <w:r w:rsidRPr="000740C2">
        <w:rPr>
          <w:rFonts w:cs="Times New Roman"/>
          <w:i/>
          <w:iCs/>
          <w:sz w:val="22"/>
          <w:szCs w:val="22"/>
        </w:rPr>
        <w:t>Energy Economics</w:t>
      </w:r>
      <w:r w:rsidRPr="000740C2">
        <w:rPr>
          <w:rFonts w:cs="Times New Roman"/>
          <w:sz w:val="22"/>
          <w:szCs w:val="22"/>
        </w:rPr>
        <w:t xml:space="preserve"> 40 (November): 687–701. </w:t>
      </w:r>
    </w:p>
    <w:p w14:paraId="5570CD1C"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6B4940">
        <w:rPr>
          <w:rFonts w:cs="Times New Roman"/>
          <w:sz w:val="22"/>
          <w:szCs w:val="22"/>
        </w:rPr>
        <w:t xml:space="preserve">Zhang, Hongyu, Da Zhang, and Xiliang Zhang. </w:t>
      </w:r>
      <w:r w:rsidRPr="000740C2">
        <w:rPr>
          <w:rFonts w:cs="Times New Roman"/>
          <w:sz w:val="22"/>
          <w:szCs w:val="22"/>
        </w:rPr>
        <w:t>2023. “The Role of Output-Based Emission Trading System in the Decarbonization of China’s Power Sector.” </w:t>
      </w:r>
      <w:r w:rsidRPr="000740C2">
        <w:rPr>
          <w:rFonts w:cs="Times New Roman"/>
          <w:i/>
          <w:iCs/>
          <w:sz w:val="22"/>
          <w:szCs w:val="22"/>
        </w:rPr>
        <w:t>Renewable and Sustainable Energy Reviews</w:t>
      </w:r>
      <w:r w:rsidRPr="000740C2">
        <w:rPr>
          <w:rFonts w:cs="Times New Roman"/>
          <w:sz w:val="22"/>
          <w:szCs w:val="22"/>
        </w:rPr>
        <w:t> 173: 113080.</w:t>
      </w:r>
    </w:p>
    <w:p w14:paraId="63797C64"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6B4940">
        <w:rPr>
          <w:rFonts w:cs="Times New Roman"/>
          <w:sz w:val="22"/>
          <w:szCs w:val="22"/>
        </w:rPr>
        <w:t xml:space="preserve">Zhang, Libo, Chen Changqi, Wang Qunwei, Zhou Dequn. </w:t>
      </w:r>
      <w:r w:rsidRPr="000740C2">
        <w:rPr>
          <w:rFonts w:cs="Times New Roman"/>
          <w:sz w:val="22"/>
          <w:szCs w:val="22"/>
        </w:rPr>
        <w:t xml:space="preserve">2021. “The </w:t>
      </w:r>
      <w:r>
        <w:rPr>
          <w:rFonts w:cs="Times New Roman"/>
          <w:sz w:val="22"/>
          <w:szCs w:val="22"/>
        </w:rPr>
        <w:t>I</w:t>
      </w:r>
      <w:r w:rsidRPr="000740C2">
        <w:rPr>
          <w:rFonts w:cs="Times New Roman"/>
          <w:sz w:val="22"/>
          <w:szCs w:val="22"/>
        </w:rPr>
        <w:t xml:space="preserve">mpact of </w:t>
      </w:r>
      <w:r>
        <w:rPr>
          <w:rFonts w:cs="Times New Roman"/>
          <w:sz w:val="22"/>
          <w:szCs w:val="22"/>
        </w:rPr>
        <w:t>F</w:t>
      </w:r>
      <w:r w:rsidRPr="000740C2">
        <w:rPr>
          <w:rFonts w:cs="Times New Roman"/>
          <w:sz w:val="22"/>
          <w:szCs w:val="22"/>
        </w:rPr>
        <w:t xml:space="preserve">eed-in </w:t>
      </w:r>
      <w:r>
        <w:rPr>
          <w:rFonts w:cs="Times New Roman"/>
          <w:sz w:val="22"/>
          <w:szCs w:val="22"/>
        </w:rPr>
        <w:t>T</w:t>
      </w:r>
      <w:r w:rsidRPr="000740C2">
        <w:rPr>
          <w:rFonts w:cs="Times New Roman"/>
          <w:sz w:val="22"/>
          <w:szCs w:val="22"/>
        </w:rPr>
        <w:t xml:space="preserve">ariff </w:t>
      </w:r>
      <w:r>
        <w:rPr>
          <w:rFonts w:cs="Times New Roman"/>
          <w:sz w:val="22"/>
          <w:szCs w:val="22"/>
        </w:rPr>
        <w:t>R</w:t>
      </w:r>
      <w:r w:rsidRPr="000740C2">
        <w:rPr>
          <w:rFonts w:cs="Times New Roman"/>
          <w:sz w:val="22"/>
          <w:szCs w:val="22"/>
        </w:rPr>
        <w:t xml:space="preserve">eduction and </w:t>
      </w:r>
      <w:r>
        <w:rPr>
          <w:rFonts w:cs="Times New Roman"/>
          <w:sz w:val="22"/>
          <w:szCs w:val="22"/>
        </w:rPr>
        <w:t>R</w:t>
      </w:r>
      <w:r w:rsidRPr="000740C2">
        <w:rPr>
          <w:rFonts w:cs="Times New Roman"/>
          <w:sz w:val="22"/>
          <w:szCs w:val="22"/>
        </w:rPr>
        <w:t xml:space="preserve">enewable </w:t>
      </w:r>
      <w:r>
        <w:rPr>
          <w:rFonts w:cs="Times New Roman"/>
          <w:sz w:val="22"/>
          <w:szCs w:val="22"/>
        </w:rPr>
        <w:t>P</w:t>
      </w:r>
      <w:r w:rsidRPr="000740C2">
        <w:rPr>
          <w:rFonts w:cs="Times New Roman"/>
          <w:sz w:val="22"/>
          <w:szCs w:val="22"/>
        </w:rPr>
        <w:t xml:space="preserve">ortfolio </w:t>
      </w:r>
      <w:r>
        <w:rPr>
          <w:rFonts w:cs="Times New Roman"/>
          <w:sz w:val="22"/>
          <w:szCs w:val="22"/>
        </w:rPr>
        <w:t>S</w:t>
      </w:r>
      <w:r w:rsidRPr="000740C2">
        <w:rPr>
          <w:rFonts w:cs="Times New Roman"/>
          <w:sz w:val="22"/>
          <w:szCs w:val="22"/>
        </w:rPr>
        <w:t xml:space="preserve">tandard on the </w:t>
      </w:r>
      <w:r>
        <w:rPr>
          <w:rFonts w:cs="Times New Roman"/>
          <w:sz w:val="22"/>
          <w:szCs w:val="22"/>
        </w:rPr>
        <w:t>D</w:t>
      </w:r>
      <w:r w:rsidRPr="000740C2">
        <w:rPr>
          <w:rFonts w:cs="Times New Roman"/>
          <w:sz w:val="22"/>
          <w:szCs w:val="22"/>
        </w:rPr>
        <w:t xml:space="preserve">evelopment of </w:t>
      </w:r>
      <w:r>
        <w:rPr>
          <w:rFonts w:cs="Times New Roman"/>
          <w:sz w:val="22"/>
          <w:szCs w:val="22"/>
        </w:rPr>
        <w:t>D</w:t>
      </w:r>
      <w:r w:rsidRPr="000740C2">
        <w:rPr>
          <w:rFonts w:cs="Times New Roman"/>
          <w:sz w:val="22"/>
          <w:szCs w:val="22"/>
        </w:rPr>
        <w:t xml:space="preserve">istributed </w:t>
      </w:r>
      <w:r>
        <w:rPr>
          <w:rFonts w:cs="Times New Roman"/>
          <w:sz w:val="22"/>
          <w:szCs w:val="22"/>
        </w:rPr>
        <w:t>P</w:t>
      </w:r>
      <w:r w:rsidRPr="000740C2">
        <w:rPr>
          <w:rFonts w:cs="Times New Roman"/>
          <w:sz w:val="22"/>
          <w:szCs w:val="22"/>
        </w:rPr>
        <w:t xml:space="preserve">hotovoltaic </w:t>
      </w:r>
      <w:r>
        <w:rPr>
          <w:rFonts w:cs="Times New Roman"/>
          <w:sz w:val="22"/>
          <w:szCs w:val="22"/>
        </w:rPr>
        <w:t>G</w:t>
      </w:r>
      <w:r w:rsidRPr="000740C2">
        <w:rPr>
          <w:rFonts w:cs="Times New Roman"/>
          <w:sz w:val="22"/>
          <w:szCs w:val="22"/>
        </w:rPr>
        <w:t xml:space="preserve">eneration in China.” </w:t>
      </w:r>
      <w:r w:rsidRPr="000740C2">
        <w:rPr>
          <w:rFonts w:cs="Times New Roman"/>
          <w:i/>
          <w:iCs/>
          <w:sz w:val="22"/>
          <w:szCs w:val="22"/>
        </w:rPr>
        <w:t>Energy</w:t>
      </w:r>
      <w:r w:rsidRPr="000740C2">
        <w:rPr>
          <w:rFonts w:cs="Times New Roman"/>
          <w:sz w:val="22"/>
          <w:szCs w:val="22"/>
        </w:rPr>
        <w:t xml:space="preserve"> 232:120933</w:t>
      </w:r>
    </w:p>
    <w:p w14:paraId="46A604A2"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Zhang, Longmei, Ray Brooks, Ding Ding, Haiyan Ding, Hui He, Jing Lu, and Rui Mano. 2018. “China’s High Savings: Drivers, Prospects, and Policies”. </w:t>
      </w:r>
      <w:r w:rsidRPr="000740C2">
        <w:rPr>
          <w:rFonts w:cs="Times New Roman"/>
          <w:i/>
          <w:iCs/>
          <w:sz w:val="22"/>
          <w:szCs w:val="22"/>
        </w:rPr>
        <w:t>International Monetary Fund</w:t>
      </w:r>
      <w:r w:rsidRPr="000740C2">
        <w:rPr>
          <w:rFonts w:cs="Times New Roman"/>
          <w:sz w:val="22"/>
          <w:szCs w:val="22"/>
        </w:rPr>
        <w:t>.</w:t>
      </w:r>
    </w:p>
    <w:p w14:paraId="6A0CA1CD" w14:textId="77777777" w:rsidR="008F30F4" w:rsidRPr="000740C2"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Zheng, Haotian, Bin Zhao, Shuxiao Wang, Tong Wang, Dian Ding, Xing Chang, Kaiyun Liu,</w:t>
      </w:r>
      <w:r w:rsidRPr="000740C2">
        <w:rPr>
          <w:rFonts w:cs="Times New Roman"/>
          <w:i/>
          <w:iCs/>
          <w:sz w:val="22"/>
          <w:szCs w:val="22"/>
        </w:rPr>
        <w:t xml:space="preserve"> et al.</w:t>
      </w:r>
      <w:r w:rsidRPr="000740C2">
        <w:rPr>
          <w:rFonts w:cs="Times New Roman"/>
          <w:sz w:val="22"/>
          <w:szCs w:val="22"/>
        </w:rPr>
        <w:t xml:space="preserve"> 2019. “Transition in Source Contributions of PM2.5 Exposure and Associated Premature Mortality in China during 2005–2015.” </w:t>
      </w:r>
      <w:r w:rsidRPr="000740C2">
        <w:rPr>
          <w:rFonts w:cs="Times New Roman"/>
          <w:i/>
          <w:iCs/>
          <w:sz w:val="22"/>
          <w:szCs w:val="22"/>
        </w:rPr>
        <w:t>Environment International</w:t>
      </w:r>
      <w:r w:rsidRPr="000740C2">
        <w:rPr>
          <w:rFonts w:cs="Times New Roman"/>
          <w:sz w:val="22"/>
          <w:szCs w:val="22"/>
        </w:rPr>
        <w:t xml:space="preserve"> 132 (November): 105111. </w:t>
      </w:r>
    </w:p>
    <w:p w14:paraId="61E372FE" w14:textId="7D0A52F2" w:rsidR="006766B8" w:rsidRPr="008F30F4" w:rsidRDefault="008F30F4" w:rsidP="008F30F4">
      <w:pPr>
        <w:adjustRightInd w:val="0"/>
        <w:snapToGrid w:val="0"/>
        <w:spacing w:beforeLines="50" w:line="240" w:lineRule="auto"/>
        <w:ind w:left="550" w:hangingChars="250" w:hanging="550"/>
        <w:rPr>
          <w:rFonts w:cs="Times New Roman"/>
          <w:sz w:val="22"/>
          <w:szCs w:val="22"/>
        </w:rPr>
      </w:pPr>
      <w:r w:rsidRPr="000740C2">
        <w:rPr>
          <w:rFonts w:cs="Times New Roman"/>
          <w:sz w:val="22"/>
          <w:szCs w:val="22"/>
        </w:rPr>
        <w:t xml:space="preserve">Zhou, Maigeng, Haidong Wang, Xinying Zeng, Peng Yin, Jun Zhu, Wanqing Chen, Xiaohong Li </w:t>
      </w:r>
      <w:r w:rsidRPr="000740C2">
        <w:rPr>
          <w:rFonts w:cs="Times New Roman"/>
          <w:i/>
          <w:iCs/>
          <w:sz w:val="22"/>
          <w:szCs w:val="22"/>
        </w:rPr>
        <w:t>et al.</w:t>
      </w:r>
      <w:r w:rsidRPr="000740C2">
        <w:rPr>
          <w:rFonts w:cs="Times New Roman"/>
          <w:sz w:val="22"/>
          <w:szCs w:val="22"/>
        </w:rPr>
        <w:t xml:space="preserve"> 2019. “Mortality, Morbidity, and Risk Factors in China and its Provinces, 1990–2017: A Systematic Analysis for the Global Burden of Disease Study 2017.” </w:t>
      </w:r>
      <w:r w:rsidRPr="000740C2">
        <w:rPr>
          <w:rFonts w:cs="Times New Roman"/>
          <w:i/>
          <w:iCs/>
          <w:sz w:val="22"/>
          <w:szCs w:val="22"/>
        </w:rPr>
        <w:t>The Lancet</w:t>
      </w:r>
      <w:r w:rsidRPr="000740C2">
        <w:rPr>
          <w:rFonts w:cs="Times New Roman"/>
          <w:sz w:val="22"/>
          <w:szCs w:val="22"/>
        </w:rPr>
        <w:t> 394, no. 10204: 1145-1158.</w:t>
      </w:r>
      <w:bookmarkEnd w:id="0"/>
      <w:bookmarkEnd w:id="9"/>
    </w:p>
    <w:sectPr w:rsidR="006766B8" w:rsidRPr="008F30F4" w:rsidSect="00361894">
      <w:footerReference w:type="default" r:id="rId415"/>
      <w:pgSz w:w="11906" w:h="16838"/>
      <w:pgMar w:top="1440" w:right="1800" w:bottom="1440" w:left="1440" w:header="850" w:footer="510" w:gutter="0"/>
      <w:pgNumType w:start="1"/>
      <w:cols w:space="425"/>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AD30B1" w14:textId="77777777" w:rsidR="0038014B" w:rsidRDefault="0038014B" w:rsidP="002D0DFE">
      <w:r>
        <w:separator/>
      </w:r>
    </w:p>
  </w:endnote>
  <w:endnote w:type="continuationSeparator" w:id="0">
    <w:p w14:paraId="30D65B0A" w14:textId="77777777" w:rsidR="0038014B" w:rsidRDefault="0038014B" w:rsidP="002D0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0952485"/>
      <w:docPartObj>
        <w:docPartGallery w:val="Page Numbers (Bottom of Page)"/>
        <w:docPartUnique/>
      </w:docPartObj>
    </w:sdtPr>
    <w:sdtEndPr>
      <w:rPr>
        <w:color w:val="000000" w:themeColor="text1"/>
        <w:sz w:val="24"/>
        <w:szCs w:val="24"/>
      </w:rPr>
    </w:sdtEndPr>
    <w:sdtContent>
      <w:p w14:paraId="0C4D2523" w14:textId="4D8008E2" w:rsidR="00CE3433" w:rsidRPr="00A07607" w:rsidRDefault="00CE3433" w:rsidP="00422E09">
        <w:pPr>
          <w:pStyle w:val="Footer"/>
          <w:jc w:val="center"/>
          <w:rPr>
            <w:color w:val="000000" w:themeColor="text1"/>
            <w:sz w:val="24"/>
            <w:szCs w:val="24"/>
          </w:rPr>
        </w:pPr>
        <w:r w:rsidRPr="00A07607">
          <w:rPr>
            <w:color w:val="000000" w:themeColor="text1"/>
            <w:sz w:val="24"/>
            <w:szCs w:val="24"/>
          </w:rPr>
          <w:fldChar w:fldCharType="begin"/>
        </w:r>
        <w:r w:rsidRPr="00A07607">
          <w:rPr>
            <w:color w:val="000000" w:themeColor="text1"/>
            <w:sz w:val="24"/>
            <w:szCs w:val="24"/>
          </w:rPr>
          <w:instrText>PAGE   \* MERGEFORMAT</w:instrText>
        </w:r>
        <w:r w:rsidRPr="00A07607">
          <w:rPr>
            <w:color w:val="000000" w:themeColor="text1"/>
            <w:sz w:val="24"/>
            <w:szCs w:val="24"/>
          </w:rPr>
          <w:fldChar w:fldCharType="separate"/>
        </w:r>
        <w:r w:rsidRPr="00A07607">
          <w:rPr>
            <w:color w:val="000000" w:themeColor="text1"/>
            <w:sz w:val="24"/>
            <w:szCs w:val="24"/>
            <w:lang w:val="zh-CN"/>
          </w:rPr>
          <w:t>2</w:t>
        </w:r>
        <w:r w:rsidRPr="00A07607">
          <w:rPr>
            <w:color w:val="000000" w:themeColor="text1"/>
            <w:sz w:val="24"/>
            <w:szCs w:val="24"/>
          </w:rPr>
          <w:fldChar w:fldCharType="end"/>
        </w:r>
      </w:p>
    </w:sdtContent>
  </w:sdt>
  <w:p w14:paraId="06967687" w14:textId="77777777" w:rsidR="00CE3433" w:rsidRDefault="00CE34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F6843A" w14:textId="77777777" w:rsidR="0038014B" w:rsidRDefault="0038014B" w:rsidP="002D0DFE">
      <w:r>
        <w:separator/>
      </w:r>
    </w:p>
  </w:footnote>
  <w:footnote w:type="continuationSeparator" w:id="0">
    <w:p w14:paraId="315B867C" w14:textId="77777777" w:rsidR="0038014B" w:rsidRDefault="0038014B" w:rsidP="002D0DFE">
      <w:r>
        <w:continuationSeparator/>
      </w:r>
    </w:p>
  </w:footnote>
  <w:footnote w:id="1">
    <w:p w14:paraId="63923011" w14:textId="77777777" w:rsidR="008F30F4" w:rsidRPr="00603764" w:rsidRDefault="008F30F4" w:rsidP="008F30F4">
      <w:pPr>
        <w:pStyle w:val="FootnoteText"/>
        <w:spacing w:line="240" w:lineRule="atLeast"/>
        <w:ind w:firstLine="0"/>
      </w:pPr>
      <w:r w:rsidRPr="0018629E">
        <w:rPr>
          <w:rStyle w:val="FootnoteReference"/>
        </w:rPr>
        <w:footnoteRef/>
      </w:r>
      <w:r w:rsidRPr="0018629E">
        <w:t xml:space="preserve"> The data </w:t>
      </w:r>
      <w:r>
        <w:t>were</w:t>
      </w:r>
      <w:r w:rsidRPr="0018629E">
        <w:t xml:space="preserve"> collected </w:t>
      </w:r>
      <w:r w:rsidRPr="00293AC7">
        <w:t>on a voluntary basis by the Ministry of Ecology and Environment (MEE), leading to some missing data. However, we believe the available data to be representative. The average emissions intensity of fossil-based electricity production in our dataset is 0.78 tCO</w:t>
      </w:r>
      <w:r w:rsidRPr="00293AC7">
        <w:rPr>
          <w:vertAlign w:val="subscript"/>
        </w:rPr>
        <w:t>2</w:t>
      </w:r>
      <w:r w:rsidRPr="00293AC7">
        <w:t>/MWh. This closely aligns with the national average emission intensity of fossil-based electricity for the corresponding year, which was reported as 0.77 tCO</w:t>
      </w:r>
      <w:r w:rsidRPr="00293AC7">
        <w:rPr>
          <w:vertAlign w:val="subscript"/>
        </w:rPr>
        <w:t>2</w:t>
      </w:r>
      <w:r w:rsidRPr="00293AC7">
        <w:t>/MWh in the Energy Balance Table of 2017.</w:t>
      </w:r>
    </w:p>
  </w:footnote>
  <w:footnote w:id="2">
    <w:p w14:paraId="7A4AF901" w14:textId="77777777" w:rsidR="008F30F4" w:rsidRPr="0018629E" w:rsidRDefault="008F30F4" w:rsidP="008F30F4">
      <w:pPr>
        <w:pStyle w:val="FootnoteText"/>
        <w:spacing w:line="240" w:lineRule="auto"/>
        <w:ind w:firstLine="0"/>
        <w:rPr>
          <w:rFonts w:cs="Times New Roman"/>
        </w:rPr>
      </w:pPr>
      <w:r w:rsidRPr="0018629E">
        <w:rPr>
          <w:rStyle w:val="FootnoteReference"/>
          <w:rFonts w:cs="Times New Roman"/>
        </w:rPr>
        <w:footnoteRef/>
      </w:r>
      <w:r w:rsidRPr="0018629E">
        <w:rPr>
          <w:rFonts w:cs="Times New Roman"/>
        </w:rPr>
        <w:t xml:space="preserve"> </w:t>
      </w:r>
      <w:r w:rsidRPr="00293AC7">
        <w:rPr>
          <w:rFonts w:eastAsia="Times New Roman" w:cs="Times New Roman"/>
          <w:color w:val="000000"/>
        </w:rPr>
        <w:t>The average emissions intensity of cement in our data is 0.87 tCO</w:t>
      </w:r>
      <w:r w:rsidRPr="00293AC7">
        <w:rPr>
          <w:rFonts w:eastAsia="Times New Roman" w:cs="Times New Roman"/>
          <w:color w:val="000000"/>
          <w:vertAlign w:val="subscript"/>
        </w:rPr>
        <w:t>2</w:t>
      </w:r>
      <w:r w:rsidRPr="00293AC7">
        <w:rPr>
          <w:rFonts w:eastAsia="DengXian" w:cs="Times New Roman"/>
          <w:color w:val="000000"/>
        </w:rPr>
        <w:t>/ton cement</w:t>
      </w:r>
      <w:r w:rsidRPr="00293AC7">
        <w:rPr>
          <w:rFonts w:eastAsia="Times New Roman" w:cs="Times New Roman"/>
          <w:color w:val="000000"/>
        </w:rPr>
        <w:t>. This value closely aligns with the published national-average emissions intensity of 0.87 tCO</w:t>
      </w:r>
      <w:r w:rsidRPr="00293AC7">
        <w:rPr>
          <w:rFonts w:eastAsia="Times New Roman" w:cs="Times New Roman"/>
          <w:color w:val="000000"/>
          <w:vertAlign w:val="subscript"/>
        </w:rPr>
        <w:t>2</w:t>
      </w:r>
      <w:r w:rsidRPr="00293AC7">
        <w:rPr>
          <w:rFonts w:eastAsia="DengXian" w:cs="Times New Roman"/>
          <w:color w:val="000000"/>
        </w:rPr>
        <w:t xml:space="preserve">/ton cement </w:t>
      </w:r>
      <w:r w:rsidRPr="00293AC7">
        <w:rPr>
          <w:rFonts w:eastAsia="Times New Roman" w:cs="Times New Roman"/>
          <w:color w:val="000000"/>
        </w:rPr>
        <w:t>(Ding, 2021), making the dataset representative.</w:t>
      </w:r>
    </w:p>
  </w:footnote>
  <w:footnote w:id="3">
    <w:p w14:paraId="293F8CBB" w14:textId="77777777" w:rsidR="008F30F4" w:rsidRPr="00AB54EC" w:rsidRDefault="008F30F4" w:rsidP="008F30F4">
      <w:pPr>
        <w:pStyle w:val="FootnoteText"/>
        <w:spacing w:before="0" w:line="240" w:lineRule="auto"/>
        <w:ind w:firstLine="0"/>
        <w:rPr>
          <w:rFonts w:ascii="Times" w:hAnsi="Times" w:cs="Times New Roman"/>
        </w:rPr>
      </w:pPr>
      <w:r w:rsidRPr="0018629E">
        <w:rPr>
          <w:rStyle w:val="FootnoteReference"/>
        </w:rPr>
        <w:footnoteRef/>
      </w:r>
      <w:r w:rsidRPr="0018629E">
        <w:rPr>
          <w:rFonts w:ascii="Times" w:hAnsi="Times" w:cs="Times New Roman"/>
        </w:rPr>
        <w:t xml:space="preserve"> </w:t>
      </w:r>
      <w:bookmarkStart w:id="7" w:name="_Hlk146283473"/>
      <w:r w:rsidRPr="001D10E8">
        <w:rPr>
          <w:rFonts w:ascii="Times" w:hAnsi="Times" w:cs="Times New Roman"/>
        </w:rPr>
        <w:t xml:space="preserve">The </w:t>
      </w:r>
      <w:r>
        <w:rPr>
          <w:rFonts w:ascii="Times" w:hAnsi="Times" w:cs="Times New Roman"/>
        </w:rPr>
        <w:t>cement production process</w:t>
      </w:r>
      <w:r w:rsidRPr="001D10E8">
        <w:rPr>
          <w:rFonts w:ascii="Times" w:hAnsi="Times" w:cs="Times New Roman"/>
        </w:rPr>
        <w:t xml:space="preserve"> </w:t>
      </w:r>
      <w:r>
        <w:rPr>
          <w:rFonts w:ascii="Times" w:hAnsi="Times" w:cs="Times New Roman"/>
        </w:rPr>
        <w:t>is primarily divided into</w:t>
      </w:r>
      <w:r w:rsidRPr="001D10E8">
        <w:rPr>
          <w:rFonts w:ascii="Times" w:hAnsi="Times" w:cs="Times New Roman"/>
        </w:rPr>
        <w:t xml:space="preserve"> two </w:t>
      </w:r>
      <w:r>
        <w:rPr>
          <w:rFonts w:ascii="Times" w:hAnsi="Times" w:cs="Times New Roman"/>
        </w:rPr>
        <w:t>steps</w:t>
      </w:r>
      <w:r w:rsidRPr="001D10E8">
        <w:rPr>
          <w:rFonts w:ascii="Times" w:hAnsi="Times" w:cs="Times New Roman"/>
        </w:rPr>
        <w:t xml:space="preserve">: cement clinking and clinker grinding. </w:t>
      </w:r>
      <w:r>
        <w:rPr>
          <w:rFonts w:ascii="Times" w:hAnsi="Times" w:cs="Times New Roman"/>
        </w:rPr>
        <w:t>The</w:t>
      </w:r>
      <w:r w:rsidRPr="00AB54EC">
        <w:rPr>
          <w:rFonts w:ascii="Times" w:hAnsi="Times" w:cs="Times New Roman"/>
        </w:rPr>
        <w:t xml:space="preserve"> emissions data </w:t>
      </w:r>
      <w:r>
        <w:rPr>
          <w:rFonts w:ascii="Times" w:hAnsi="Times" w:cs="Times New Roman"/>
        </w:rPr>
        <w:t>here are emissions in the cement clinking process. Given that the</w:t>
      </w:r>
      <w:r w:rsidRPr="00AB54EC">
        <w:rPr>
          <w:rFonts w:ascii="Times" w:hAnsi="Times" w:cs="Times New Roman"/>
        </w:rPr>
        <w:t xml:space="preserve"> emissions from the clinker grinding</w:t>
      </w:r>
      <w:r>
        <w:rPr>
          <w:rFonts w:ascii="Times" w:hAnsi="Times" w:cs="Times New Roman"/>
        </w:rPr>
        <w:t xml:space="preserve"> step</w:t>
      </w:r>
      <w:r w:rsidRPr="00AB54EC">
        <w:rPr>
          <w:rFonts w:ascii="Times" w:hAnsi="Times" w:cs="Times New Roman"/>
        </w:rPr>
        <w:t xml:space="preserve"> account for a </w:t>
      </w:r>
      <w:r>
        <w:rPr>
          <w:rFonts w:ascii="Times" w:hAnsi="Times" w:cs="Times New Roman"/>
        </w:rPr>
        <w:t>minor</w:t>
      </w:r>
      <w:r w:rsidRPr="00AB54EC">
        <w:rPr>
          <w:rFonts w:ascii="Times" w:hAnsi="Times" w:cs="Times New Roman"/>
        </w:rPr>
        <w:t xml:space="preserve"> </w:t>
      </w:r>
      <w:r>
        <w:rPr>
          <w:rFonts w:ascii="Times" w:hAnsi="Times" w:cs="Times New Roman"/>
        </w:rPr>
        <w:t>fraction</w:t>
      </w:r>
      <w:r w:rsidRPr="00AB54EC">
        <w:rPr>
          <w:rFonts w:ascii="Times" w:hAnsi="Times" w:cs="Times New Roman"/>
        </w:rPr>
        <w:t xml:space="preserve"> of the total emissions </w:t>
      </w:r>
      <w:r>
        <w:rPr>
          <w:rFonts w:ascii="Times" w:hAnsi="Times" w:cs="Times New Roman"/>
        </w:rPr>
        <w:t>in</w:t>
      </w:r>
      <w:r w:rsidRPr="00AB54EC">
        <w:rPr>
          <w:rFonts w:ascii="Times" w:hAnsi="Times" w:cs="Times New Roman"/>
        </w:rPr>
        <w:t xml:space="preserve"> cement</w:t>
      </w:r>
      <w:r>
        <w:rPr>
          <w:rFonts w:ascii="Times" w:hAnsi="Times" w:cs="Times New Roman"/>
        </w:rPr>
        <w:t xml:space="preserve"> production</w:t>
      </w:r>
      <w:r w:rsidRPr="00AB54EC">
        <w:rPr>
          <w:rFonts w:ascii="Times" w:hAnsi="Times" w:cs="Times New Roman"/>
        </w:rPr>
        <w:t>, using the emission</w:t>
      </w:r>
      <w:r>
        <w:rPr>
          <w:rFonts w:ascii="Times" w:hAnsi="Times" w:cs="Times New Roman"/>
        </w:rPr>
        <w:t>s</w:t>
      </w:r>
      <w:r w:rsidRPr="00AB54EC">
        <w:rPr>
          <w:rFonts w:ascii="Times" w:hAnsi="Times" w:cs="Times New Roman"/>
        </w:rPr>
        <w:t xml:space="preserve"> intensity of cement clinker to define subsectors approximates fairly closely the emissions intensity of cement production. </w:t>
      </w:r>
      <w:bookmarkEnd w:id="7"/>
    </w:p>
  </w:footnote>
  <w:footnote w:id="4">
    <w:p w14:paraId="0606B508" w14:textId="77777777" w:rsidR="008F30F4" w:rsidRPr="00762758" w:rsidRDefault="008F30F4" w:rsidP="008F30F4">
      <w:pPr>
        <w:pStyle w:val="FootnoteText"/>
        <w:spacing w:line="240" w:lineRule="auto"/>
        <w:ind w:firstLine="0"/>
      </w:pPr>
      <w:r w:rsidRPr="0018629E">
        <w:rPr>
          <w:rStyle w:val="FootnoteReference"/>
        </w:rPr>
        <w:footnoteRef/>
      </w:r>
      <w:r w:rsidRPr="0018629E">
        <w:t xml:space="preserve"> </w:t>
      </w:r>
      <w:r w:rsidRPr="00293AC7">
        <w:rPr>
          <w:rFonts w:eastAsia="SimSun" w:cs="Times New Roman"/>
          <w:color w:val="000000"/>
        </w:rPr>
        <w:t>The average electricity intensity of aluminum in the data is recorded at 13</w:t>
      </w:r>
      <w:r>
        <w:rPr>
          <w:rFonts w:eastAsia="SimSun" w:cs="Times New Roman"/>
          <w:color w:val="000000"/>
        </w:rPr>
        <w:t>,</w:t>
      </w:r>
      <w:r w:rsidRPr="00293AC7">
        <w:rPr>
          <w:rFonts w:eastAsia="SimSun" w:cs="Times New Roman"/>
          <w:color w:val="000000"/>
        </w:rPr>
        <w:t>218 kWh/ton aluminum, which closely aligns with the published national average level of 13186 kWh/ton aluminum (NDRC, 2021).</w:t>
      </w:r>
    </w:p>
  </w:footnote>
  <w:footnote w:id="5">
    <w:p w14:paraId="4A5BB83E" w14:textId="77777777" w:rsidR="008F30F4" w:rsidRPr="00550440" w:rsidRDefault="008F30F4" w:rsidP="008F30F4">
      <w:pPr>
        <w:pStyle w:val="FootnoteText"/>
        <w:spacing w:line="240" w:lineRule="auto"/>
        <w:ind w:firstLine="0"/>
      </w:pPr>
      <w:r w:rsidRPr="002422C2">
        <w:rPr>
          <w:rStyle w:val="FootnoteReference"/>
        </w:rPr>
        <w:footnoteRef/>
      </w:r>
      <w:r w:rsidRPr="002422C2">
        <w:t xml:space="preserve"> The average emissions intensity of BO and EA iron and steel production in our data is 1.40 tCO</w:t>
      </w:r>
      <w:r w:rsidRPr="002422C2">
        <w:rPr>
          <w:vertAlign w:val="subscript"/>
        </w:rPr>
        <w:t>2</w:t>
      </w:r>
      <w:r w:rsidRPr="002422C2">
        <w:t xml:space="preserve">/ton, which closely aligns with </w:t>
      </w:r>
      <w:r w:rsidRPr="002422C2">
        <w:rPr>
          <w:rFonts w:eastAsia="SimSun" w:cs="Times New Roman"/>
          <w:color w:val="000000"/>
        </w:rPr>
        <w:t>the published national average level</w:t>
      </w:r>
      <w:r w:rsidRPr="002422C2">
        <w:t xml:space="preserve"> of 1.37 tCO</w:t>
      </w:r>
      <w:r w:rsidRPr="002422C2">
        <w:rPr>
          <w:vertAlign w:val="subscript"/>
        </w:rPr>
        <w:t>2</w:t>
      </w:r>
      <w:r w:rsidRPr="002422C2">
        <w:t>/ton (NBS, 2018).</w:t>
      </w:r>
    </w:p>
  </w:footnote>
  <w:footnote w:id="6">
    <w:p w14:paraId="3BB7EF2D" w14:textId="77777777" w:rsidR="008F30F4" w:rsidRDefault="008F30F4" w:rsidP="008F30F4">
      <w:pPr>
        <w:pStyle w:val="FootnoteText"/>
        <w:spacing w:before="0" w:line="240" w:lineRule="auto"/>
        <w:ind w:firstLine="0"/>
      </w:pPr>
      <w:r>
        <w:rPr>
          <w:rStyle w:val="FootnoteReference"/>
        </w:rPr>
        <w:footnoteRef/>
      </w:r>
      <w:r w:rsidRPr="002948B0">
        <w:t xml:space="preserve"> </w:t>
      </w:r>
      <w:r>
        <w:t>W</w:t>
      </w:r>
      <w:r w:rsidRPr="002948B0">
        <w:t xml:space="preserve">ind and solar electricity have higher unit cost than fossil-based electricity. China’s government gives subsidies to </w:t>
      </w:r>
      <w:r>
        <w:t>solar and wind electricity generators</w:t>
      </w:r>
      <w:r w:rsidRPr="002948B0">
        <w:t>. We obtain the subsidy rates from Direct Trading Pilots of Green Power.</w:t>
      </w:r>
      <w:r>
        <w:t xml:space="preserve"> T</w:t>
      </w:r>
      <w:r w:rsidRPr="00982996">
        <w:t>he subsidies are projected to decrease. Studies have projected that these existing subsidies will decrease to zero before 2025 (Tu et al., 2019; Zhang et al., 2021). Therefore, we assume the subsidy rates for wind and solar electricity will decrease linearly to zero in 2025.</w:t>
      </w:r>
    </w:p>
  </w:footnote>
  <w:footnote w:id="7">
    <w:p w14:paraId="1A5F6439" w14:textId="77777777" w:rsidR="008F30F4" w:rsidRDefault="008F30F4" w:rsidP="008F30F4">
      <w:pPr>
        <w:pStyle w:val="FootnoteText"/>
        <w:spacing w:line="240" w:lineRule="auto"/>
        <w:ind w:firstLine="0"/>
      </w:pPr>
      <w:r>
        <w:rPr>
          <w:rStyle w:val="FootnoteReference"/>
        </w:rPr>
        <w:footnoteRef/>
      </w:r>
      <w:r w:rsidRPr="004627FF">
        <w:rPr>
          <w:sz w:val="15"/>
          <w:szCs w:val="15"/>
        </w:rPr>
        <w:t xml:space="preserve"> </w:t>
      </w:r>
      <w:r>
        <w:rPr>
          <w:rFonts w:cs="Times New Roman"/>
          <w:szCs w:val="15"/>
        </w:rPr>
        <w:t>The NDRC reports estimate the costs of these measures based on the pilot energy conservation programs in China.</w:t>
      </w:r>
    </w:p>
  </w:footnote>
  <w:footnote w:id="8">
    <w:p w14:paraId="58948E23" w14:textId="77777777" w:rsidR="008F30F4" w:rsidRPr="003F23B2" w:rsidRDefault="008F30F4" w:rsidP="008F30F4">
      <w:pPr>
        <w:pStyle w:val="FootnoteText"/>
        <w:spacing w:line="240" w:lineRule="auto"/>
        <w:ind w:firstLine="0"/>
      </w:pPr>
      <w:r>
        <w:rPr>
          <w:rStyle w:val="FootnoteReference"/>
        </w:rPr>
        <w:footnoteRef/>
      </w:r>
      <w:r>
        <w:t xml:space="preserve"> </w:t>
      </w:r>
      <w:r w:rsidRPr="00DC1CEB">
        <w:rPr>
          <w:rFonts w:cs="Times New Roman"/>
          <w:szCs w:val="15"/>
        </w:rPr>
        <w:t xml:space="preserve">We </w:t>
      </w:r>
      <w:r w:rsidRPr="00A90B08">
        <w:rPr>
          <w:rFonts w:cs="Times New Roman"/>
          <w:szCs w:val="15"/>
        </w:rPr>
        <w:t>employ the k-means clustering algorithm to cluster all coal-fired power plants into seven groups with different heat rates, and gas-fired power plants into four groups</w:t>
      </w:r>
      <w:r w:rsidRPr="00F6545D">
        <w:rPr>
          <w:rFonts w:cs="Times New Roman"/>
          <w:szCs w:val="15"/>
        </w:rPr>
        <w:t>.</w:t>
      </w:r>
    </w:p>
  </w:footnote>
  <w:footnote w:id="9">
    <w:p w14:paraId="561DADBB" w14:textId="77777777" w:rsidR="008F30F4" w:rsidRDefault="008F30F4" w:rsidP="008F30F4">
      <w:pPr>
        <w:pStyle w:val="FootnoteText"/>
        <w:spacing w:before="0" w:line="240" w:lineRule="auto"/>
        <w:ind w:firstLine="0"/>
      </w:pPr>
      <w:r>
        <w:rPr>
          <w:rStyle w:val="FootnoteReference"/>
        </w:rPr>
        <w:footnoteRef/>
      </w:r>
      <w:r w:rsidRPr="00BA22D1">
        <w:t xml:space="preserve"> The REPO model</w:t>
      </w:r>
      <w:r w:rsidRPr="00CB0055">
        <w:t xml:space="preserve"> (</w:t>
      </w:r>
      <w:r w:rsidRPr="00B807A4">
        <w:t>IEA</w:t>
      </w:r>
      <w:r>
        <w:t xml:space="preserve"> and </w:t>
      </w:r>
      <w:r w:rsidRPr="00B807A4">
        <w:t>Tsinghua University, 2021</w:t>
      </w:r>
      <w:r w:rsidRPr="00BA22D1">
        <w:t>; Zhang et al., 2023)</w:t>
      </w:r>
      <w:r>
        <w:t xml:space="preserve"> captures </w:t>
      </w:r>
      <w:r w:rsidRPr="00931F61">
        <w:t>China’s power sector</w:t>
      </w:r>
      <w:r>
        <w:t xml:space="preserve"> in great detail.</w:t>
      </w:r>
      <w:r w:rsidRPr="00931F61">
        <w:t xml:space="preserve"> </w:t>
      </w:r>
      <w:r w:rsidRPr="0063111B">
        <w:t>The marginal cost is a combination of the marginal generation cost and the cost of integration. Generation costs depend on technology-specific investment and operation costs, as well as site-specific wind and solar conditions. Integration costs include grid integration, balancing services, more flexible operation of thermal plants, reserve costs, etc., and increases as the wind and solar penetration level rises (Hirth et al., 2015). The integration cost of wind or solar is complex and highly context-specific. Therefore, the existing empirical studies, which focused on the US and the EU, may not be applicable to China. We thus rely on the REPO model for deriving the curves.</w:t>
      </w:r>
    </w:p>
  </w:footnote>
  <w:footnote w:id="10">
    <w:p w14:paraId="4B9EB0AE" w14:textId="77777777" w:rsidR="008F30F4" w:rsidRDefault="008F30F4" w:rsidP="008F30F4">
      <w:pPr>
        <w:pStyle w:val="FootnoteText"/>
        <w:spacing w:before="0" w:line="240" w:lineRule="auto"/>
        <w:ind w:firstLine="0"/>
      </w:pPr>
      <w:r w:rsidRPr="0088662B">
        <w:rPr>
          <w:rStyle w:val="FootnoteReference"/>
        </w:rPr>
        <w:footnoteRef/>
      </w:r>
      <w:r>
        <w:t xml:space="preserve"> In an alternative scenario, we assume the transition is gradual, starting in 2028 and completed by 2030. T</w:t>
      </w:r>
      <w:r w:rsidRPr="00B46934">
        <w:t xml:space="preserve">he TPS and C&amp;T are both in place in 2028 and 2029, and C&amp;T is the only ETS starting in 2030. During the transition period, the free allowances allocated by TPS’s benchmarks account for 2/3 and 1/3 of total free allowances in 2028 and 2029. </w:t>
      </w:r>
      <w:r>
        <w:t xml:space="preserve">This scenario yields results similar to those in the immediate transition case. </w:t>
      </w:r>
    </w:p>
  </w:footnote>
  <w:footnote w:id="11">
    <w:p w14:paraId="21ECE392" w14:textId="77777777" w:rsidR="008F30F4" w:rsidRPr="00DA7A8F" w:rsidRDefault="008F30F4" w:rsidP="008F30F4">
      <w:pPr>
        <w:pStyle w:val="FootnoteText"/>
        <w:spacing w:before="0" w:line="240" w:lineRule="auto"/>
        <w:ind w:firstLine="0"/>
      </w:pPr>
      <w:r w:rsidRPr="0088662B">
        <w:rPr>
          <w:rStyle w:val="FootnoteReference"/>
        </w:rPr>
        <w:footnoteRef/>
      </w:r>
      <w:r>
        <w:t xml:space="preserve"> We assume that over the interval 2020</w:t>
      </w:r>
      <w:r w:rsidRPr="00E16450">
        <w:rPr>
          <w:rFonts w:eastAsia="Cambria" w:cs="Times New Roman"/>
        </w:rPr>
        <w:t>-</w:t>
      </w:r>
      <w:r>
        <w:t>2035, the s</w:t>
      </w:r>
      <w:r w:rsidRPr="00DA7A8F">
        <w:t xml:space="preserve">patial distribution </w:t>
      </w:r>
      <w:r>
        <w:t xml:space="preserve">of firms </w:t>
      </w:r>
      <w:r w:rsidRPr="00DA7A8F">
        <w:t>within an industry</w:t>
      </w:r>
      <w:r>
        <w:t xml:space="preserve"> and the energy emission factors do not change.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40C7A"/>
    <w:multiLevelType w:val="hybridMultilevel"/>
    <w:tmpl w:val="D2DAAB92"/>
    <w:lvl w:ilvl="0" w:tplc="04090001">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212598"/>
    <w:multiLevelType w:val="hybridMultilevel"/>
    <w:tmpl w:val="876CE4A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5B40B62"/>
    <w:multiLevelType w:val="hybridMultilevel"/>
    <w:tmpl w:val="EE387FDC"/>
    <w:lvl w:ilvl="0" w:tplc="117AE98A">
      <w:start w:val="1"/>
      <w:numFmt w:val="decimal"/>
      <w:lvlText w:val="%1)"/>
      <w:lvlJc w:val="left"/>
      <w:pPr>
        <w:ind w:left="1080" w:hanging="36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3" w15:restartNumberingAfterBreak="0">
    <w:nsid w:val="0A3240F2"/>
    <w:multiLevelType w:val="hybridMultilevel"/>
    <w:tmpl w:val="956828EA"/>
    <w:lvl w:ilvl="0" w:tplc="69F6782C">
      <w:numFmt w:val="bullet"/>
      <w:lvlText w:val=""/>
      <w:lvlJc w:val="left"/>
      <w:pPr>
        <w:ind w:left="360" w:hanging="360"/>
      </w:pPr>
      <w:rPr>
        <w:rFonts w:ascii="Wingdings" w:eastAsia="SimSun" w:hAnsi="Wingdings" w:cstheme="minorBid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0BE4559C"/>
    <w:multiLevelType w:val="multilevel"/>
    <w:tmpl w:val="3484F7A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FB12A87"/>
    <w:multiLevelType w:val="hybridMultilevel"/>
    <w:tmpl w:val="AE98AA0C"/>
    <w:lvl w:ilvl="0" w:tplc="AA4CB92E">
      <w:start w:val="1"/>
      <w:numFmt w:val="decimal"/>
      <w:lvlText w:val="%1."/>
      <w:lvlJc w:val="left"/>
      <w:pPr>
        <w:ind w:left="1040" w:hanging="360"/>
      </w:pPr>
      <w:rPr>
        <w:rFonts w:hint="default"/>
      </w:rPr>
    </w:lvl>
    <w:lvl w:ilvl="1" w:tplc="04090019" w:tentative="1">
      <w:start w:val="1"/>
      <w:numFmt w:val="lowerLetter"/>
      <w:lvlText w:val="%2)"/>
      <w:lvlJc w:val="left"/>
      <w:pPr>
        <w:ind w:left="1520" w:hanging="420"/>
      </w:pPr>
    </w:lvl>
    <w:lvl w:ilvl="2" w:tplc="0409001B" w:tentative="1">
      <w:start w:val="1"/>
      <w:numFmt w:val="lowerRoman"/>
      <w:lvlText w:val="%3."/>
      <w:lvlJc w:val="right"/>
      <w:pPr>
        <w:ind w:left="1940" w:hanging="420"/>
      </w:pPr>
    </w:lvl>
    <w:lvl w:ilvl="3" w:tplc="0409000F" w:tentative="1">
      <w:start w:val="1"/>
      <w:numFmt w:val="decimal"/>
      <w:lvlText w:val="%4."/>
      <w:lvlJc w:val="left"/>
      <w:pPr>
        <w:ind w:left="2360" w:hanging="420"/>
      </w:pPr>
    </w:lvl>
    <w:lvl w:ilvl="4" w:tplc="04090019" w:tentative="1">
      <w:start w:val="1"/>
      <w:numFmt w:val="lowerLetter"/>
      <w:lvlText w:val="%5)"/>
      <w:lvlJc w:val="left"/>
      <w:pPr>
        <w:ind w:left="2780" w:hanging="420"/>
      </w:pPr>
    </w:lvl>
    <w:lvl w:ilvl="5" w:tplc="0409001B" w:tentative="1">
      <w:start w:val="1"/>
      <w:numFmt w:val="lowerRoman"/>
      <w:lvlText w:val="%6."/>
      <w:lvlJc w:val="right"/>
      <w:pPr>
        <w:ind w:left="3200" w:hanging="420"/>
      </w:pPr>
    </w:lvl>
    <w:lvl w:ilvl="6" w:tplc="0409000F" w:tentative="1">
      <w:start w:val="1"/>
      <w:numFmt w:val="decimal"/>
      <w:lvlText w:val="%7."/>
      <w:lvlJc w:val="left"/>
      <w:pPr>
        <w:ind w:left="3620" w:hanging="420"/>
      </w:pPr>
    </w:lvl>
    <w:lvl w:ilvl="7" w:tplc="04090019" w:tentative="1">
      <w:start w:val="1"/>
      <w:numFmt w:val="lowerLetter"/>
      <w:lvlText w:val="%8)"/>
      <w:lvlJc w:val="left"/>
      <w:pPr>
        <w:ind w:left="4040" w:hanging="420"/>
      </w:pPr>
    </w:lvl>
    <w:lvl w:ilvl="8" w:tplc="0409001B" w:tentative="1">
      <w:start w:val="1"/>
      <w:numFmt w:val="lowerRoman"/>
      <w:lvlText w:val="%9."/>
      <w:lvlJc w:val="right"/>
      <w:pPr>
        <w:ind w:left="4460" w:hanging="420"/>
      </w:pPr>
    </w:lvl>
  </w:abstractNum>
  <w:abstractNum w:abstractNumId="6" w15:restartNumberingAfterBreak="0">
    <w:nsid w:val="106B0057"/>
    <w:multiLevelType w:val="hybridMultilevel"/>
    <w:tmpl w:val="04A0C0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226E53"/>
    <w:multiLevelType w:val="hybridMultilevel"/>
    <w:tmpl w:val="5FFA8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7169D7"/>
    <w:multiLevelType w:val="multilevel"/>
    <w:tmpl w:val="75A48910"/>
    <w:lvl w:ilvl="0">
      <w:start w:val="6"/>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E304BCF"/>
    <w:multiLevelType w:val="multilevel"/>
    <w:tmpl w:val="F0709F00"/>
    <w:lvl w:ilvl="0">
      <w:start w:val="5"/>
      <w:numFmt w:val="decimal"/>
      <w:lvlText w:val="%1"/>
      <w:lvlJc w:val="left"/>
      <w:pPr>
        <w:ind w:left="400" w:hanging="4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EF60CB0"/>
    <w:multiLevelType w:val="multilevel"/>
    <w:tmpl w:val="AA70362A"/>
    <w:lvl w:ilvl="0">
      <w:start w:val="1"/>
      <w:numFmt w:val="decimal"/>
      <w:lvlText w:val="%1."/>
      <w:lvlJc w:val="left"/>
      <w:pPr>
        <w:ind w:left="1040" w:hanging="360"/>
      </w:pPr>
      <w:rPr>
        <w:rFonts w:hint="default"/>
      </w:rPr>
    </w:lvl>
    <w:lvl w:ilvl="1">
      <w:start w:val="1"/>
      <w:numFmt w:val="decimal"/>
      <w:isLgl/>
      <w:lvlText w:val="%1.%2"/>
      <w:lvlJc w:val="left"/>
      <w:pPr>
        <w:ind w:left="1040" w:hanging="360"/>
      </w:pPr>
      <w:rPr>
        <w:rFonts w:hint="default"/>
      </w:rPr>
    </w:lvl>
    <w:lvl w:ilvl="2">
      <w:start w:val="1"/>
      <w:numFmt w:val="decimal"/>
      <w:isLgl/>
      <w:lvlText w:val="%1.%2.%3"/>
      <w:lvlJc w:val="left"/>
      <w:pPr>
        <w:ind w:left="1400" w:hanging="720"/>
      </w:pPr>
      <w:rPr>
        <w:rFonts w:hint="default"/>
      </w:rPr>
    </w:lvl>
    <w:lvl w:ilvl="3">
      <w:start w:val="1"/>
      <w:numFmt w:val="decimal"/>
      <w:isLgl/>
      <w:lvlText w:val="%1.%2.%3.%4"/>
      <w:lvlJc w:val="left"/>
      <w:pPr>
        <w:ind w:left="1400" w:hanging="720"/>
      </w:pPr>
      <w:rPr>
        <w:rFonts w:hint="default"/>
      </w:rPr>
    </w:lvl>
    <w:lvl w:ilvl="4">
      <w:start w:val="1"/>
      <w:numFmt w:val="decimal"/>
      <w:isLgl/>
      <w:lvlText w:val="%1.%2.%3.%4.%5"/>
      <w:lvlJc w:val="left"/>
      <w:pPr>
        <w:ind w:left="1760" w:hanging="1080"/>
      </w:pPr>
      <w:rPr>
        <w:rFonts w:hint="default"/>
      </w:rPr>
    </w:lvl>
    <w:lvl w:ilvl="5">
      <w:start w:val="1"/>
      <w:numFmt w:val="decimal"/>
      <w:isLgl/>
      <w:lvlText w:val="%1.%2.%3.%4.%5.%6"/>
      <w:lvlJc w:val="left"/>
      <w:pPr>
        <w:ind w:left="1760" w:hanging="1080"/>
      </w:pPr>
      <w:rPr>
        <w:rFonts w:hint="default"/>
      </w:rPr>
    </w:lvl>
    <w:lvl w:ilvl="6">
      <w:start w:val="1"/>
      <w:numFmt w:val="decimal"/>
      <w:isLgl/>
      <w:lvlText w:val="%1.%2.%3.%4.%5.%6.%7"/>
      <w:lvlJc w:val="left"/>
      <w:pPr>
        <w:ind w:left="2120" w:hanging="1440"/>
      </w:pPr>
      <w:rPr>
        <w:rFonts w:hint="default"/>
      </w:rPr>
    </w:lvl>
    <w:lvl w:ilvl="7">
      <w:start w:val="1"/>
      <w:numFmt w:val="decimal"/>
      <w:isLgl/>
      <w:lvlText w:val="%1.%2.%3.%4.%5.%6.%7.%8"/>
      <w:lvlJc w:val="left"/>
      <w:pPr>
        <w:ind w:left="2120" w:hanging="1440"/>
      </w:pPr>
      <w:rPr>
        <w:rFonts w:hint="default"/>
      </w:rPr>
    </w:lvl>
    <w:lvl w:ilvl="8">
      <w:start w:val="1"/>
      <w:numFmt w:val="decimal"/>
      <w:isLgl/>
      <w:lvlText w:val="%1.%2.%3.%4.%5.%6.%7.%8.%9"/>
      <w:lvlJc w:val="left"/>
      <w:pPr>
        <w:ind w:left="2480" w:hanging="1800"/>
      </w:pPr>
      <w:rPr>
        <w:rFonts w:hint="default"/>
      </w:rPr>
    </w:lvl>
  </w:abstractNum>
  <w:abstractNum w:abstractNumId="11" w15:restartNumberingAfterBreak="0">
    <w:nsid w:val="21CE2438"/>
    <w:multiLevelType w:val="hybridMultilevel"/>
    <w:tmpl w:val="6CE2A562"/>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2" w15:restartNumberingAfterBreak="0">
    <w:nsid w:val="21D22885"/>
    <w:multiLevelType w:val="hybridMultilevel"/>
    <w:tmpl w:val="2ABCF034"/>
    <w:lvl w:ilvl="0" w:tplc="6D1E80C2">
      <w:start w:val="1"/>
      <w:numFmt w:val="bullet"/>
      <w:lvlText w:val="-"/>
      <w:lvlJc w:val="left"/>
      <w:pPr>
        <w:ind w:left="1040" w:hanging="360"/>
      </w:pPr>
      <w:rPr>
        <w:rFonts w:ascii="Times New Roman" w:eastAsiaTheme="minorEastAsia" w:hAnsi="Times New Roman" w:cs="Times New Roman" w:hint="default"/>
      </w:rPr>
    </w:lvl>
    <w:lvl w:ilvl="1" w:tplc="04090003" w:tentative="1">
      <w:start w:val="1"/>
      <w:numFmt w:val="bullet"/>
      <w:lvlText w:val=""/>
      <w:lvlJc w:val="left"/>
      <w:pPr>
        <w:ind w:left="1520" w:hanging="420"/>
      </w:pPr>
      <w:rPr>
        <w:rFonts w:ascii="Wingdings" w:hAnsi="Wingdings" w:hint="default"/>
      </w:rPr>
    </w:lvl>
    <w:lvl w:ilvl="2" w:tplc="04090005" w:tentative="1">
      <w:start w:val="1"/>
      <w:numFmt w:val="bullet"/>
      <w:lvlText w:val=""/>
      <w:lvlJc w:val="left"/>
      <w:pPr>
        <w:ind w:left="1940" w:hanging="420"/>
      </w:pPr>
      <w:rPr>
        <w:rFonts w:ascii="Wingdings" w:hAnsi="Wingdings" w:hint="default"/>
      </w:rPr>
    </w:lvl>
    <w:lvl w:ilvl="3" w:tplc="04090001" w:tentative="1">
      <w:start w:val="1"/>
      <w:numFmt w:val="bullet"/>
      <w:lvlText w:val=""/>
      <w:lvlJc w:val="left"/>
      <w:pPr>
        <w:ind w:left="2360" w:hanging="420"/>
      </w:pPr>
      <w:rPr>
        <w:rFonts w:ascii="Wingdings" w:hAnsi="Wingdings" w:hint="default"/>
      </w:rPr>
    </w:lvl>
    <w:lvl w:ilvl="4" w:tplc="04090003" w:tentative="1">
      <w:start w:val="1"/>
      <w:numFmt w:val="bullet"/>
      <w:lvlText w:val=""/>
      <w:lvlJc w:val="left"/>
      <w:pPr>
        <w:ind w:left="2780" w:hanging="420"/>
      </w:pPr>
      <w:rPr>
        <w:rFonts w:ascii="Wingdings" w:hAnsi="Wingdings" w:hint="default"/>
      </w:rPr>
    </w:lvl>
    <w:lvl w:ilvl="5" w:tplc="04090005" w:tentative="1">
      <w:start w:val="1"/>
      <w:numFmt w:val="bullet"/>
      <w:lvlText w:val=""/>
      <w:lvlJc w:val="left"/>
      <w:pPr>
        <w:ind w:left="3200" w:hanging="420"/>
      </w:pPr>
      <w:rPr>
        <w:rFonts w:ascii="Wingdings" w:hAnsi="Wingdings" w:hint="default"/>
      </w:rPr>
    </w:lvl>
    <w:lvl w:ilvl="6" w:tplc="04090001" w:tentative="1">
      <w:start w:val="1"/>
      <w:numFmt w:val="bullet"/>
      <w:lvlText w:val=""/>
      <w:lvlJc w:val="left"/>
      <w:pPr>
        <w:ind w:left="3620" w:hanging="420"/>
      </w:pPr>
      <w:rPr>
        <w:rFonts w:ascii="Wingdings" w:hAnsi="Wingdings" w:hint="default"/>
      </w:rPr>
    </w:lvl>
    <w:lvl w:ilvl="7" w:tplc="04090003" w:tentative="1">
      <w:start w:val="1"/>
      <w:numFmt w:val="bullet"/>
      <w:lvlText w:val=""/>
      <w:lvlJc w:val="left"/>
      <w:pPr>
        <w:ind w:left="4040" w:hanging="420"/>
      </w:pPr>
      <w:rPr>
        <w:rFonts w:ascii="Wingdings" w:hAnsi="Wingdings" w:hint="default"/>
      </w:rPr>
    </w:lvl>
    <w:lvl w:ilvl="8" w:tplc="04090005" w:tentative="1">
      <w:start w:val="1"/>
      <w:numFmt w:val="bullet"/>
      <w:lvlText w:val=""/>
      <w:lvlJc w:val="left"/>
      <w:pPr>
        <w:ind w:left="4460" w:hanging="420"/>
      </w:pPr>
      <w:rPr>
        <w:rFonts w:ascii="Wingdings" w:hAnsi="Wingdings" w:hint="default"/>
      </w:rPr>
    </w:lvl>
  </w:abstractNum>
  <w:abstractNum w:abstractNumId="13" w15:restartNumberingAfterBreak="0">
    <w:nsid w:val="23257CA2"/>
    <w:multiLevelType w:val="hybridMultilevel"/>
    <w:tmpl w:val="434646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9684614"/>
    <w:multiLevelType w:val="hybridMultilevel"/>
    <w:tmpl w:val="5D8644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F30998"/>
    <w:multiLevelType w:val="multilevel"/>
    <w:tmpl w:val="65169BBC"/>
    <w:lvl w:ilvl="0">
      <w:start w:val="6"/>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B8251AA"/>
    <w:multiLevelType w:val="hybridMultilevel"/>
    <w:tmpl w:val="9E908F46"/>
    <w:lvl w:ilvl="0" w:tplc="04090001">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7" w15:restartNumberingAfterBreak="0">
    <w:nsid w:val="2CE4543A"/>
    <w:multiLevelType w:val="hybridMultilevel"/>
    <w:tmpl w:val="41C6BC12"/>
    <w:lvl w:ilvl="0" w:tplc="358A4CDE">
      <w:start w:val="1"/>
      <w:numFmt w:val="lowerLetter"/>
      <w:lvlText w:val="%1."/>
      <w:lvlJc w:val="left"/>
      <w:pPr>
        <w:ind w:left="720" w:hanging="360"/>
      </w:pPr>
      <w:rPr>
        <w:rFonts w:hint="default"/>
        <w:b/>
      </w:rPr>
    </w:lvl>
    <w:lvl w:ilvl="1" w:tplc="04090019">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8" w15:restartNumberingAfterBreak="0">
    <w:nsid w:val="2E6353C1"/>
    <w:multiLevelType w:val="hybridMultilevel"/>
    <w:tmpl w:val="F260F1E6"/>
    <w:lvl w:ilvl="0" w:tplc="C5F85046">
      <w:start w:val="16"/>
      <w:numFmt w:val="bullet"/>
      <w:lvlText w:val="-"/>
      <w:lvlJc w:val="left"/>
      <w:pPr>
        <w:ind w:left="1040" w:hanging="360"/>
      </w:pPr>
      <w:rPr>
        <w:rFonts w:ascii="Times New Roman" w:eastAsiaTheme="minorEastAsia" w:hAnsi="Times New Roman" w:cs="Times New Roman" w:hint="default"/>
      </w:rPr>
    </w:lvl>
    <w:lvl w:ilvl="1" w:tplc="04090003" w:tentative="1">
      <w:start w:val="1"/>
      <w:numFmt w:val="bullet"/>
      <w:lvlText w:val=""/>
      <w:lvlJc w:val="left"/>
      <w:pPr>
        <w:ind w:left="1520" w:hanging="420"/>
      </w:pPr>
      <w:rPr>
        <w:rFonts w:ascii="Wingdings" w:hAnsi="Wingdings" w:hint="default"/>
      </w:rPr>
    </w:lvl>
    <w:lvl w:ilvl="2" w:tplc="04090005" w:tentative="1">
      <w:start w:val="1"/>
      <w:numFmt w:val="bullet"/>
      <w:lvlText w:val=""/>
      <w:lvlJc w:val="left"/>
      <w:pPr>
        <w:ind w:left="1940" w:hanging="420"/>
      </w:pPr>
      <w:rPr>
        <w:rFonts w:ascii="Wingdings" w:hAnsi="Wingdings" w:hint="default"/>
      </w:rPr>
    </w:lvl>
    <w:lvl w:ilvl="3" w:tplc="04090001" w:tentative="1">
      <w:start w:val="1"/>
      <w:numFmt w:val="bullet"/>
      <w:lvlText w:val=""/>
      <w:lvlJc w:val="left"/>
      <w:pPr>
        <w:ind w:left="2360" w:hanging="420"/>
      </w:pPr>
      <w:rPr>
        <w:rFonts w:ascii="Wingdings" w:hAnsi="Wingdings" w:hint="default"/>
      </w:rPr>
    </w:lvl>
    <w:lvl w:ilvl="4" w:tplc="04090003" w:tentative="1">
      <w:start w:val="1"/>
      <w:numFmt w:val="bullet"/>
      <w:lvlText w:val=""/>
      <w:lvlJc w:val="left"/>
      <w:pPr>
        <w:ind w:left="2780" w:hanging="420"/>
      </w:pPr>
      <w:rPr>
        <w:rFonts w:ascii="Wingdings" w:hAnsi="Wingdings" w:hint="default"/>
      </w:rPr>
    </w:lvl>
    <w:lvl w:ilvl="5" w:tplc="04090005" w:tentative="1">
      <w:start w:val="1"/>
      <w:numFmt w:val="bullet"/>
      <w:lvlText w:val=""/>
      <w:lvlJc w:val="left"/>
      <w:pPr>
        <w:ind w:left="3200" w:hanging="420"/>
      </w:pPr>
      <w:rPr>
        <w:rFonts w:ascii="Wingdings" w:hAnsi="Wingdings" w:hint="default"/>
      </w:rPr>
    </w:lvl>
    <w:lvl w:ilvl="6" w:tplc="04090001" w:tentative="1">
      <w:start w:val="1"/>
      <w:numFmt w:val="bullet"/>
      <w:lvlText w:val=""/>
      <w:lvlJc w:val="left"/>
      <w:pPr>
        <w:ind w:left="3620" w:hanging="420"/>
      </w:pPr>
      <w:rPr>
        <w:rFonts w:ascii="Wingdings" w:hAnsi="Wingdings" w:hint="default"/>
      </w:rPr>
    </w:lvl>
    <w:lvl w:ilvl="7" w:tplc="04090003" w:tentative="1">
      <w:start w:val="1"/>
      <w:numFmt w:val="bullet"/>
      <w:lvlText w:val=""/>
      <w:lvlJc w:val="left"/>
      <w:pPr>
        <w:ind w:left="4040" w:hanging="420"/>
      </w:pPr>
      <w:rPr>
        <w:rFonts w:ascii="Wingdings" w:hAnsi="Wingdings" w:hint="default"/>
      </w:rPr>
    </w:lvl>
    <w:lvl w:ilvl="8" w:tplc="04090005" w:tentative="1">
      <w:start w:val="1"/>
      <w:numFmt w:val="bullet"/>
      <w:lvlText w:val=""/>
      <w:lvlJc w:val="left"/>
      <w:pPr>
        <w:ind w:left="4460" w:hanging="420"/>
      </w:pPr>
      <w:rPr>
        <w:rFonts w:ascii="Wingdings" w:hAnsi="Wingdings" w:hint="default"/>
      </w:rPr>
    </w:lvl>
  </w:abstractNum>
  <w:abstractNum w:abstractNumId="19" w15:restartNumberingAfterBreak="0">
    <w:nsid w:val="32592C5F"/>
    <w:multiLevelType w:val="hybridMultilevel"/>
    <w:tmpl w:val="209A004A"/>
    <w:lvl w:ilvl="0" w:tplc="04090011">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20" w15:restartNumberingAfterBreak="0">
    <w:nsid w:val="358144C8"/>
    <w:multiLevelType w:val="hybridMultilevel"/>
    <w:tmpl w:val="13D891FE"/>
    <w:lvl w:ilvl="0" w:tplc="FFFFFFFF">
      <w:start w:val="1"/>
      <w:numFmt w:val="decimal"/>
      <w:lvlText w:val="%1)"/>
      <w:lvlJc w:val="left"/>
      <w:pPr>
        <w:ind w:left="1040" w:hanging="360"/>
      </w:pPr>
      <w:rPr>
        <w:rFonts w:hint="default"/>
      </w:rPr>
    </w:lvl>
    <w:lvl w:ilvl="1" w:tplc="FFFFFFFF" w:tentative="1">
      <w:start w:val="1"/>
      <w:numFmt w:val="lowerLetter"/>
      <w:lvlText w:val="%2."/>
      <w:lvlJc w:val="left"/>
      <w:pPr>
        <w:ind w:left="1760" w:hanging="360"/>
      </w:p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21" w15:restartNumberingAfterBreak="0">
    <w:nsid w:val="39CD39C9"/>
    <w:multiLevelType w:val="hybridMultilevel"/>
    <w:tmpl w:val="288AB66C"/>
    <w:lvl w:ilvl="0" w:tplc="79C639D6">
      <w:start w:val="1"/>
      <w:numFmt w:val="decimal"/>
      <w:lvlText w:val="%1."/>
      <w:lvlJc w:val="left"/>
      <w:pPr>
        <w:ind w:left="1080" w:hanging="36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22" w15:restartNumberingAfterBreak="0">
    <w:nsid w:val="3A225B16"/>
    <w:multiLevelType w:val="hybridMultilevel"/>
    <w:tmpl w:val="6F464004"/>
    <w:lvl w:ilvl="0" w:tplc="77929D7E">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23" w15:restartNumberingAfterBreak="0">
    <w:nsid w:val="3AB572E8"/>
    <w:multiLevelType w:val="hybridMultilevel"/>
    <w:tmpl w:val="F074333C"/>
    <w:lvl w:ilvl="0" w:tplc="DFEE622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662246"/>
    <w:multiLevelType w:val="hybridMultilevel"/>
    <w:tmpl w:val="7FB0F6A0"/>
    <w:lvl w:ilvl="0" w:tplc="2676C7C6">
      <w:start w:val="1"/>
      <w:numFmt w:val="decimal"/>
      <w:lvlText w:val="%1."/>
      <w:lvlJc w:val="left"/>
      <w:pPr>
        <w:ind w:left="1040" w:hanging="360"/>
      </w:pPr>
      <w:rPr>
        <w:rFonts w:hint="default"/>
      </w:rPr>
    </w:lvl>
    <w:lvl w:ilvl="1" w:tplc="04090019" w:tentative="1">
      <w:start w:val="1"/>
      <w:numFmt w:val="lowerLetter"/>
      <w:lvlText w:val="%2)"/>
      <w:lvlJc w:val="left"/>
      <w:pPr>
        <w:ind w:left="1520" w:hanging="420"/>
      </w:pPr>
    </w:lvl>
    <w:lvl w:ilvl="2" w:tplc="0409001B" w:tentative="1">
      <w:start w:val="1"/>
      <w:numFmt w:val="lowerRoman"/>
      <w:lvlText w:val="%3."/>
      <w:lvlJc w:val="right"/>
      <w:pPr>
        <w:ind w:left="1940" w:hanging="420"/>
      </w:pPr>
    </w:lvl>
    <w:lvl w:ilvl="3" w:tplc="0409000F" w:tentative="1">
      <w:start w:val="1"/>
      <w:numFmt w:val="decimal"/>
      <w:lvlText w:val="%4."/>
      <w:lvlJc w:val="left"/>
      <w:pPr>
        <w:ind w:left="2360" w:hanging="420"/>
      </w:pPr>
    </w:lvl>
    <w:lvl w:ilvl="4" w:tplc="04090019" w:tentative="1">
      <w:start w:val="1"/>
      <w:numFmt w:val="lowerLetter"/>
      <w:lvlText w:val="%5)"/>
      <w:lvlJc w:val="left"/>
      <w:pPr>
        <w:ind w:left="2780" w:hanging="420"/>
      </w:pPr>
    </w:lvl>
    <w:lvl w:ilvl="5" w:tplc="0409001B" w:tentative="1">
      <w:start w:val="1"/>
      <w:numFmt w:val="lowerRoman"/>
      <w:lvlText w:val="%6."/>
      <w:lvlJc w:val="right"/>
      <w:pPr>
        <w:ind w:left="3200" w:hanging="420"/>
      </w:pPr>
    </w:lvl>
    <w:lvl w:ilvl="6" w:tplc="0409000F" w:tentative="1">
      <w:start w:val="1"/>
      <w:numFmt w:val="decimal"/>
      <w:lvlText w:val="%7."/>
      <w:lvlJc w:val="left"/>
      <w:pPr>
        <w:ind w:left="3620" w:hanging="420"/>
      </w:pPr>
    </w:lvl>
    <w:lvl w:ilvl="7" w:tplc="04090019" w:tentative="1">
      <w:start w:val="1"/>
      <w:numFmt w:val="lowerLetter"/>
      <w:lvlText w:val="%8)"/>
      <w:lvlJc w:val="left"/>
      <w:pPr>
        <w:ind w:left="4040" w:hanging="420"/>
      </w:pPr>
    </w:lvl>
    <w:lvl w:ilvl="8" w:tplc="0409001B" w:tentative="1">
      <w:start w:val="1"/>
      <w:numFmt w:val="lowerRoman"/>
      <w:lvlText w:val="%9."/>
      <w:lvlJc w:val="right"/>
      <w:pPr>
        <w:ind w:left="4460" w:hanging="420"/>
      </w:pPr>
    </w:lvl>
  </w:abstractNum>
  <w:abstractNum w:abstractNumId="25" w15:restartNumberingAfterBreak="0">
    <w:nsid w:val="3F100D88"/>
    <w:multiLevelType w:val="hybridMultilevel"/>
    <w:tmpl w:val="5E985F84"/>
    <w:lvl w:ilvl="0" w:tplc="8EE0D30E">
      <w:start w:val="1"/>
      <w:numFmt w:val="decimal"/>
      <w:lvlText w:val="%1."/>
      <w:lvlJc w:val="left"/>
      <w:pPr>
        <w:ind w:left="1040" w:hanging="360"/>
      </w:pPr>
      <w:rPr>
        <w:rFonts w:hint="default"/>
      </w:rPr>
    </w:lvl>
    <w:lvl w:ilvl="1" w:tplc="04090019" w:tentative="1">
      <w:start w:val="1"/>
      <w:numFmt w:val="lowerLetter"/>
      <w:lvlText w:val="%2)"/>
      <w:lvlJc w:val="left"/>
      <w:pPr>
        <w:ind w:left="1520" w:hanging="420"/>
      </w:pPr>
    </w:lvl>
    <w:lvl w:ilvl="2" w:tplc="0409001B" w:tentative="1">
      <w:start w:val="1"/>
      <w:numFmt w:val="lowerRoman"/>
      <w:lvlText w:val="%3."/>
      <w:lvlJc w:val="right"/>
      <w:pPr>
        <w:ind w:left="1940" w:hanging="420"/>
      </w:pPr>
    </w:lvl>
    <w:lvl w:ilvl="3" w:tplc="0409000F" w:tentative="1">
      <w:start w:val="1"/>
      <w:numFmt w:val="decimal"/>
      <w:lvlText w:val="%4."/>
      <w:lvlJc w:val="left"/>
      <w:pPr>
        <w:ind w:left="2360" w:hanging="420"/>
      </w:pPr>
    </w:lvl>
    <w:lvl w:ilvl="4" w:tplc="04090019" w:tentative="1">
      <w:start w:val="1"/>
      <w:numFmt w:val="lowerLetter"/>
      <w:lvlText w:val="%5)"/>
      <w:lvlJc w:val="left"/>
      <w:pPr>
        <w:ind w:left="2780" w:hanging="420"/>
      </w:pPr>
    </w:lvl>
    <w:lvl w:ilvl="5" w:tplc="0409001B" w:tentative="1">
      <w:start w:val="1"/>
      <w:numFmt w:val="lowerRoman"/>
      <w:lvlText w:val="%6."/>
      <w:lvlJc w:val="right"/>
      <w:pPr>
        <w:ind w:left="3200" w:hanging="420"/>
      </w:pPr>
    </w:lvl>
    <w:lvl w:ilvl="6" w:tplc="0409000F" w:tentative="1">
      <w:start w:val="1"/>
      <w:numFmt w:val="decimal"/>
      <w:lvlText w:val="%7."/>
      <w:lvlJc w:val="left"/>
      <w:pPr>
        <w:ind w:left="3620" w:hanging="420"/>
      </w:pPr>
    </w:lvl>
    <w:lvl w:ilvl="7" w:tplc="04090019" w:tentative="1">
      <w:start w:val="1"/>
      <w:numFmt w:val="lowerLetter"/>
      <w:lvlText w:val="%8)"/>
      <w:lvlJc w:val="left"/>
      <w:pPr>
        <w:ind w:left="4040" w:hanging="420"/>
      </w:pPr>
    </w:lvl>
    <w:lvl w:ilvl="8" w:tplc="0409001B" w:tentative="1">
      <w:start w:val="1"/>
      <w:numFmt w:val="lowerRoman"/>
      <w:lvlText w:val="%9."/>
      <w:lvlJc w:val="right"/>
      <w:pPr>
        <w:ind w:left="4460" w:hanging="420"/>
      </w:pPr>
    </w:lvl>
  </w:abstractNum>
  <w:abstractNum w:abstractNumId="26" w15:restartNumberingAfterBreak="0">
    <w:nsid w:val="3F973B99"/>
    <w:multiLevelType w:val="hybridMultilevel"/>
    <w:tmpl w:val="17C098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7" w15:restartNumberingAfterBreak="0">
    <w:nsid w:val="467B1481"/>
    <w:multiLevelType w:val="hybridMultilevel"/>
    <w:tmpl w:val="EB20E8AC"/>
    <w:lvl w:ilvl="0" w:tplc="0F0A3E5E">
      <w:start w:val="1"/>
      <w:numFmt w:val="japaneseCounting"/>
      <w:lvlText w:val="第%1，"/>
      <w:lvlJc w:val="left"/>
      <w:pPr>
        <w:ind w:left="1400" w:hanging="720"/>
      </w:pPr>
      <w:rPr>
        <w:rFonts w:hint="default"/>
      </w:rPr>
    </w:lvl>
    <w:lvl w:ilvl="1" w:tplc="04090019" w:tentative="1">
      <w:start w:val="1"/>
      <w:numFmt w:val="lowerLetter"/>
      <w:lvlText w:val="%2)"/>
      <w:lvlJc w:val="left"/>
      <w:pPr>
        <w:ind w:left="1520" w:hanging="420"/>
      </w:pPr>
    </w:lvl>
    <w:lvl w:ilvl="2" w:tplc="0409001B" w:tentative="1">
      <w:start w:val="1"/>
      <w:numFmt w:val="lowerRoman"/>
      <w:lvlText w:val="%3."/>
      <w:lvlJc w:val="right"/>
      <w:pPr>
        <w:ind w:left="1940" w:hanging="420"/>
      </w:pPr>
    </w:lvl>
    <w:lvl w:ilvl="3" w:tplc="0409000F" w:tentative="1">
      <w:start w:val="1"/>
      <w:numFmt w:val="decimal"/>
      <w:lvlText w:val="%4."/>
      <w:lvlJc w:val="left"/>
      <w:pPr>
        <w:ind w:left="2360" w:hanging="420"/>
      </w:pPr>
    </w:lvl>
    <w:lvl w:ilvl="4" w:tplc="04090019" w:tentative="1">
      <w:start w:val="1"/>
      <w:numFmt w:val="lowerLetter"/>
      <w:lvlText w:val="%5)"/>
      <w:lvlJc w:val="left"/>
      <w:pPr>
        <w:ind w:left="2780" w:hanging="420"/>
      </w:pPr>
    </w:lvl>
    <w:lvl w:ilvl="5" w:tplc="0409001B" w:tentative="1">
      <w:start w:val="1"/>
      <w:numFmt w:val="lowerRoman"/>
      <w:lvlText w:val="%6."/>
      <w:lvlJc w:val="right"/>
      <w:pPr>
        <w:ind w:left="3200" w:hanging="420"/>
      </w:pPr>
    </w:lvl>
    <w:lvl w:ilvl="6" w:tplc="0409000F" w:tentative="1">
      <w:start w:val="1"/>
      <w:numFmt w:val="decimal"/>
      <w:lvlText w:val="%7."/>
      <w:lvlJc w:val="left"/>
      <w:pPr>
        <w:ind w:left="3620" w:hanging="420"/>
      </w:pPr>
    </w:lvl>
    <w:lvl w:ilvl="7" w:tplc="04090019" w:tentative="1">
      <w:start w:val="1"/>
      <w:numFmt w:val="lowerLetter"/>
      <w:lvlText w:val="%8)"/>
      <w:lvlJc w:val="left"/>
      <w:pPr>
        <w:ind w:left="4040" w:hanging="420"/>
      </w:pPr>
    </w:lvl>
    <w:lvl w:ilvl="8" w:tplc="0409001B" w:tentative="1">
      <w:start w:val="1"/>
      <w:numFmt w:val="lowerRoman"/>
      <w:lvlText w:val="%9."/>
      <w:lvlJc w:val="right"/>
      <w:pPr>
        <w:ind w:left="4460" w:hanging="420"/>
      </w:pPr>
    </w:lvl>
  </w:abstractNum>
  <w:abstractNum w:abstractNumId="28" w15:restartNumberingAfterBreak="0">
    <w:nsid w:val="4C4B1EEC"/>
    <w:multiLevelType w:val="hybridMultilevel"/>
    <w:tmpl w:val="7F0EB38E"/>
    <w:lvl w:ilvl="0" w:tplc="ECC4B2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E1008F7"/>
    <w:multiLevelType w:val="hybridMultilevel"/>
    <w:tmpl w:val="855EFAEA"/>
    <w:lvl w:ilvl="0" w:tplc="84C2AB42">
      <w:start w:val="1"/>
      <w:numFmt w:val="decimal"/>
      <w:lvlText w:val="%1."/>
      <w:lvlJc w:val="left"/>
      <w:pPr>
        <w:ind w:left="1040" w:hanging="360"/>
      </w:pPr>
      <w:rPr>
        <w:rFonts w:hint="default"/>
      </w:rPr>
    </w:lvl>
    <w:lvl w:ilvl="1" w:tplc="04090019" w:tentative="1">
      <w:start w:val="1"/>
      <w:numFmt w:val="lowerLetter"/>
      <w:lvlText w:val="%2)"/>
      <w:lvlJc w:val="left"/>
      <w:pPr>
        <w:ind w:left="1520" w:hanging="420"/>
      </w:pPr>
    </w:lvl>
    <w:lvl w:ilvl="2" w:tplc="0409001B" w:tentative="1">
      <w:start w:val="1"/>
      <w:numFmt w:val="lowerRoman"/>
      <w:lvlText w:val="%3."/>
      <w:lvlJc w:val="right"/>
      <w:pPr>
        <w:ind w:left="1940" w:hanging="420"/>
      </w:pPr>
    </w:lvl>
    <w:lvl w:ilvl="3" w:tplc="0409000F" w:tentative="1">
      <w:start w:val="1"/>
      <w:numFmt w:val="decimal"/>
      <w:lvlText w:val="%4."/>
      <w:lvlJc w:val="left"/>
      <w:pPr>
        <w:ind w:left="2360" w:hanging="420"/>
      </w:pPr>
    </w:lvl>
    <w:lvl w:ilvl="4" w:tplc="04090019" w:tentative="1">
      <w:start w:val="1"/>
      <w:numFmt w:val="lowerLetter"/>
      <w:lvlText w:val="%5)"/>
      <w:lvlJc w:val="left"/>
      <w:pPr>
        <w:ind w:left="2780" w:hanging="420"/>
      </w:pPr>
    </w:lvl>
    <w:lvl w:ilvl="5" w:tplc="0409001B" w:tentative="1">
      <w:start w:val="1"/>
      <w:numFmt w:val="lowerRoman"/>
      <w:lvlText w:val="%6."/>
      <w:lvlJc w:val="right"/>
      <w:pPr>
        <w:ind w:left="3200" w:hanging="420"/>
      </w:pPr>
    </w:lvl>
    <w:lvl w:ilvl="6" w:tplc="0409000F" w:tentative="1">
      <w:start w:val="1"/>
      <w:numFmt w:val="decimal"/>
      <w:lvlText w:val="%7."/>
      <w:lvlJc w:val="left"/>
      <w:pPr>
        <w:ind w:left="3620" w:hanging="420"/>
      </w:pPr>
    </w:lvl>
    <w:lvl w:ilvl="7" w:tplc="04090019" w:tentative="1">
      <w:start w:val="1"/>
      <w:numFmt w:val="lowerLetter"/>
      <w:lvlText w:val="%8)"/>
      <w:lvlJc w:val="left"/>
      <w:pPr>
        <w:ind w:left="4040" w:hanging="420"/>
      </w:pPr>
    </w:lvl>
    <w:lvl w:ilvl="8" w:tplc="0409001B" w:tentative="1">
      <w:start w:val="1"/>
      <w:numFmt w:val="lowerRoman"/>
      <w:lvlText w:val="%9."/>
      <w:lvlJc w:val="right"/>
      <w:pPr>
        <w:ind w:left="4460" w:hanging="420"/>
      </w:pPr>
    </w:lvl>
  </w:abstractNum>
  <w:abstractNum w:abstractNumId="30" w15:restartNumberingAfterBreak="0">
    <w:nsid w:val="4F930BEA"/>
    <w:multiLevelType w:val="hybridMultilevel"/>
    <w:tmpl w:val="13D891FE"/>
    <w:lvl w:ilvl="0" w:tplc="04090011">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31" w15:restartNumberingAfterBreak="0">
    <w:nsid w:val="4F9A1239"/>
    <w:multiLevelType w:val="hybridMultilevel"/>
    <w:tmpl w:val="CDDCF1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9F43397"/>
    <w:multiLevelType w:val="hybridMultilevel"/>
    <w:tmpl w:val="3514A874"/>
    <w:lvl w:ilvl="0" w:tplc="46CED118">
      <w:start w:val="6"/>
      <w:numFmt w:val="bullet"/>
      <w:lvlText w:val=""/>
      <w:lvlJc w:val="left"/>
      <w:pPr>
        <w:ind w:left="1080" w:hanging="360"/>
      </w:pPr>
      <w:rPr>
        <w:rFonts w:ascii="Symbol" w:eastAsia="SimSu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328311C"/>
    <w:multiLevelType w:val="hybridMultilevel"/>
    <w:tmpl w:val="EE1649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2939BC"/>
    <w:multiLevelType w:val="hybridMultilevel"/>
    <w:tmpl w:val="4372EBC0"/>
    <w:lvl w:ilvl="0" w:tplc="9FDEAC0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64596AB4"/>
    <w:multiLevelType w:val="hybridMultilevel"/>
    <w:tmpl w:val="71FC3AFE"/>
    <w:lvl w:ilvl="0" w:tplc="49E8E1C8">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 w15:restartNumberingAfterBreak="0">
    <w:nsid w:val="647516BE"/>
    <w:multiLevelType w:val="hybridMultilevel"/>
    <w:tmpl w:val="DAACA4BE"/>
    <w:lvl w:ilvl="0" w:tplc="CB74D7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836358A"/>
    <w:multiLevelType w:val="hybridMultilevel"/>
    <w:tmpl w:val="4AE23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DE778E"/>
    <w:multiLevelType w:val="multilevel"/>
    <w:tmpl w:val="33D4A80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sz w:val="28"/>
        <w:szCs w:val="28"/>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C735662"/>
    <w:multiLevelType w:val="hybridMultilevel"/>
    <w:tmpl w:val="2618D04E"/>
    <w:lvl w:ilvl="0" w:tplc="524CBF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20B5978"/>
    <w:multiLevelType w:val="hybridMultilevel"/>
    <w:tmpl w:val="4CEA2EF6"/>
    <w:lvl w:ilvl="0" w:tplc="46CED118">
      <w:start w:val="6"/>
      <w:numFmt w:val="bullet"/>
      <w:lvlText w:val=""/>
      <w:lvlJc w:val="left"/>
      <w:pPr>
        <w:ind w:left="2120" w:hanging="360"/>
      </w:pPr>
      <w:rPr>
        <w:rFonts w:ascii="Symbol" w:eastAsia="SimSun" w:hAnsi="Symbol" w:cs="Times New Roman" w:hint="default"/>
      </w:rPr>
    </w:lvl>
    <w:lvl w:ilvl="1" w:tplc="04090003" w:tentative="1">
      <w:start w:val="1"/>
      <w:numFmt w:val="bullet"/>
      <w:lvlText w:val="o"/>
      <w:lvlJc w:val="left"/>
      <w:pPr>
        <w:ind w:left="2840" w:hanging="360"/>
      </w:pPr>
      <w:rPr>
        <w:rFonts w:ascii="Courier New" w:hAnsi="Courier New" w:cs="Courier New" w:hint="default"/>
      </w:rPr>
    </w:lvl>
    <w:lvl w:ilvl="2" w:tplc="04090005" w:tentative="1">
      <w:start w:val="1"/>
      <w:numFmt w:val="bullet"/>
      <w:lvlText w:val=""/>
      <w:lvlJc w:val="left"/>
      <w:pPr>
        <w:ind w:left="3560" w:hanging="360"/>
      </w:pPr>
      <w:rPr>
        <w:rFonts w:ascii="Wingdings" w:hAnsi="Wingdings" w:hint="default"/>
      </w:rPr>
    </w:lvl>
    <w:lvl w:ilvl="3" w:tplc="04090001" w:tentative="1">
      <w:start w:val="1"/>
      <w:numFmt w:val="bullet"/>
      <w:lvlText w:val=""/>
      <w:lvlJc w:val="left"/>
      <w:pPr>
        <w:ind w:left="4280" w:hanging="360"/>
      </w:pPr>
      <w:rPr>
        <w:rFonts w:ascii="Symbol" w:hAnsi="Symbol" w:hint="default"/>
      </w:rPr>
    </w:lvl>
    <w:lvl w:ilvl="4" w:tplc="04090003" w:tentative="1">
      <w:start w:val="1"/>
      <w:numFmt w:val="bullet"/>
      <w:lvlText w:val="o"/>
      <w:lvlJc w:val="left"/>
      <w:pPr>
        <w:ind w:left="5000" w:hanging="360"/>
      </w:pPr>
      <w:rPr>
        <w:rFonts w:ascii="Courier New" w:hAnsi="Courier New" w:cs="Courier New" w:hint="default"/>
      </w:rPr>
    </w:lvl>
    <w:lvl w:ilvl="5" w:tplc="04090005" w:tentative="1">
      <w:start w:val="1"/>
      <w:numFmt w:val="bullet"/>
      <w:lvlText w:val=""/>
      <w:lvlJc w:val="left"/>
      <w:pPr>
        <w:ind w:left="5720" w:hanging="360"/>
      </w:pPr>
      <w:rPr>
        <w:rFonts w:ascii="Wingdings" w:hAnsi="Wingdings" w:hint="default"/>
      </w:rPr>
    </w:lvl>
    <w:lvl w:ilvl="6" w:tplc="04090001" w:tentative="1">
      <w:start w:val="1"/>
      <w:numFmt w:val="bullet"/>
      <w:lvlText w:val=""/>
      <w:lvlJc w:val="left"/>
      <w:pPr>
        <w:ind w:left="6440" w:hanging="360"/>
      </w:pPr>
      <w:rPr>
        <w:rFonts w:ascii="Symbol" w:hAnsi="Symbol" w:hint="default"/>
      </w:rPr>
    </w:lvl>
    <w:lvl w:ilvl="7" w:tplc="04090003" w:tentative="1">
      <w:start w:val="1"/>
      <w:numFmt w:val="bullet"/>
      <w:lvlText w:val="o"/>
      <w:lvlJc w:val="left"/>
      <w:pPr>
        <w:ind w:left="7160" w:hanging="360"/>
      </w:pPr>
      <w:rPr>
        <w:rFonts w:ascii="Courier New" w:hAnsi="Courier New" w:cs="Courier New" w:hint="default"/>
      </w:rPr>
    </w:lvl>
    <w:lvl w:ilvl="8" w:tplc="04090005" w:tentative="1">
      <w:start w:val="1"/>
      <w:numFmt w:val="bullet"/>
      <w:lvlText w:val=""/>
      <w:lvlJc w:val="left"/>
      <w:pPr>
        <w:ind w:left="7880" w:hanging="360"/>
      </w:pPr>
      <w:rPr>
        <w:rFonts w:ascii="Wingdings" w:hAnsi="Wingdings" w:hint="default"/>
      </w:rPr>
    </w:lvl>
  </w:abstractNum>
  <w:abstractNum w:abstractNumId="41" w15:restartNumberingAfterBreak="0">
    <w:nsid w:val="73072334"/>
    <w:multiLevelType w:val="hybridMultilevel"/>
    <w:tmpl w:val="4F409E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6F7E6E"/>
    <w:multiLevelType w:val="hybridMultilevel"/>
    <w:tmpl w:val="42982FC8"/>
    <w:lvl w:ilvl="0" w:tplc="62C462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FB23D8"/>
    <w:multiLevelType w:val="hybridMultilevel"/>
    <w:tmpl w:val="2BFE2FC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050524"/>
    <w:multiLevelType w:val="hybridMultilevel"/>
    <w:tmpl w:val="8F6EE51E"/>
    <w:lvl w:ilvl="0" w:tplc="11C89DEA">
      <w:start w:val="2"/>
      <w:numFmt w:val="bullet"/>
      <w:lvlText w:val="-"/>
      <w:lvlJc w:val="left"/>
      <w:pPr>
        <w:ind w:left="1040" w:hanging="360"/>
      </w:pPr>
      <w:rPr>
        <w:rFonts w:ascii="Times New Roman" w:eastAsiaTheme="minorEastAsia" w:hAnsi="Times New Roman" w:cs="Times New Roman" w:hint="default"/>
      </w:rPr>
    </w:lvl>
    <w:lvl w:ilvl="1" w:tplc="04090003" w:tentative="1">
      <w:start w:val="1"/>
      <w:numFmt w:val="bullet"/>
      <w:lvlText w:val=""/>
      <w:lvlJc w:val="left"/>
      <w:pPr>
        <w:ind w:left="1520" w:hanging="420"/>
      </w:pPr>
      <w:rPr>
        <w:rFonts w:ascii="Wingdings" w:hAnsi="Wingdings" w:hint="default"/>
      </w:rPr>
    </w:lvl>
    <w:lvl w:ilvl="2" w:tplc="04090005" w:tentative="1">
      <w:start w:val="1"/>
      <w:numFmt w:val="bullet"/>
      <w:lvlText w:val=""/>
      <w:lvlJc w:val="left"/>
      <w:pPr>
        <w:ind w:left="1940" w:hanging="420"/>
      </w:pPr>
      <w:rPr>
        <w:rFonts w:ascii="Wingdings" w:hAnsi="Wingdings" w:hint="default"/>
      </w:rPr>
    </w:lvl>
    <w:lvl w:ilvl="3" w:tplc="04090001" w:tentative="1">
      <w:start w:val="1"/>
      <w:numFmt w:val="bullet"/>
      <w:lvlText w:val=""/>
      <w:lvlJc w:val="left"/>
      <w:pPr>
        <w:ind w:left="2360" w:hanging="420"/>
      </w:pPr>
      <w:rPr>
        <w:rFonts w:ascii="Wingdings" w:hAnsi="Wingdings" w:hint="default"/>
      </w:rPr>
    </w:lvl>
    <w:lvl w:ilvl="4" w:tplc="04090003" w:tentative="1">
      <w:start w:val="1"/>
      <w:numFmt w:val="bullet"/>
      <w:lvlText w:val=""/>
      <w:lvlJc w:val="left"/>
      <w:pPr>
        <w:ind w:left="2780" w:hanging="420"/>
      </w:pPr>
      <w:rPr>
        <w:rFonts w:ascii="Wingdings" w:hAnsi="Wingdings" w:hint="default"/>
      </w:rPr>
    </w:lvl>
    <w:lvl w:ilvl="5" w:tplc="04090005" w:tentative="1">
      <w:start w:val="1"/>
      <w:numFmt w:val="bullet"/>
      <w:lvlText w:val=""/>
      <w:lvlJc w:val="left"/>
      <w:pPr>
        <w:ind w:left="3200" w:hanging="420"/>
      </w:pPr>
      <w:rPr>
        <w:rFonts w:ascii="Wingdings" w:hAnsi="Wingdings" w:hint="default"/>
      </w:rPr>
    </w:lvl>
    <w:lvl w:ilvl="6" w:tplc="04090001" w:tentative="1">
      <w:start w:val="1"/>
      <w:numFmt w:val="bullet"/>
      <w:lvlText w:val=""/>
      <w:lvlJc w:val="left"/>
      <w:pPr>
        <w:ind w:left="3620" w:hanging="420"/>
      </w:pPr>
      <w:rPr>
        <w:rFonts w:ascii="Wingdings" w:hAnsi="Wingdings" w:hint="default"/>
      </w:rPr>
    </w:lvl>
    <w:lvl w:ilvl="7" w:tplc="04090003" w:tentative="1">
      <w:start w:val="1"/>
      <w:numFmt w:val="bullet"/>
      <w:lvlText w:val=""/>
      <w:lvlJc w:val="left"/>
      <w:pPr>
        <w:ind w:left="4040" w:hanging="420"/>
      </w:pPr>
      <w:rPr>
        <w:rFonts w:ascii="Wingdings" w:hAnsi="Wingdings" w:hint="default"/>
      </w:rPr>
    </w:lvl>
    <w:lvl w:ilvl="8" w:tplc="04090005" w:tentative="1">
      <w:start w:val="1"/>
      <w:numFmt w:val="bullet"/>
      <w:lvlText w:val=""/>
      <w:lvlJc w:val="left"/>
      <w:pPr>
        <w:ind w:left="4460" w:hanging="420"/>
      </w:pPr>
      <w:rPr>
        <w:rFonts w:ascii="Wingdings" w:hAnsi="Wingdings" w:hint="default"/>
      </w:rPr>
    </w:lvl>
  </w:abstractNum>
  <w:num w:numId="1">
    <w:abstractNumId w:val="41"/>
  </w:num>
  <w:num w:numId="2">
    <w:abstractNumId w:val="4"/>
  </w:num>
  <w:num w:numId="3">
    <w:abstractNumId w:val="14"/>
  </w:num>
  <w:num w:numId="4">
    <w:abstractNumId w:val="38"/>
  </w:num>
  <w:num w:numId="5">
    <w:abstractNumId w:val="32"/>
  </w:num>
  <w:num w:numId="6">
    <w:abstractNumId w:val="42"/>
  </w:num>
  <w:num w:numId="7">
    <w:abstractNumId w:val="19"/>
  </w:num>
  <w:num w:numId="8">
    <w:abstractNumId w:val="30"/>
  </w:num>
  <w:num w:numId="9">
    <w:abstractNumId w:val="43"/>
  </w:num>
  <w:num w:numId="10">
    <w:abstractNumId w:val="28"/>
  </w:num>
  <w:num w:numId="11">
    <w:abstractNumId w:val="0"/>
  </w:num>
  <w:num w:numId="12">
    <w:abstractNumId w:val="26"/>
  </w:num>
  <w:num w:numId="13">
    <w:abstractNumId w:val="39"/>
  </w:num>
  <w:num w:numId="14">
    <w:abstractNumId w:val="7"/>
  </w:num>
  <w:num w:numId="15">
    <w:abstractNumId w:val="6"/>
  </w:num>
  <w:num w:numId="16">
    <w:abstractNumId w:val="33"/>
  </w:num>
  <w:num w:numId="17">
    <w:abstractNumId w:val="9"/>
  </w:num>
  <w:num w:numId="18">
    <w:abstractNumId w:val="15"/>
  </w:num>
  <w:num w:numId="19">
    <w:abstractNumId w:val="8"/>
  </w:num>
  <w:num w:numId="20">
    <w:abstractNumId w:val="2"/>
  </w:num>
  <w:num w:numId="21">
    <w:abstractNumId w:val="11"/>
  </w:num>
  <w:num w:numId="22">
    <w:abstractNumId w:val="37"/>
  </w:num>
  <w:num w:numId="23">
    <w:abstractNumId w:val="1"/>
  </w:num>
  <w:num w:numId="24">
    <w:abstractNumId w:val="31"/>
  </w:num>
  <w:num w:numId="25">
    <w:abstractNumId w:val="40"/>
  </w:num>
  <w:num w:numId="26">
    <w:abstractNumId w:val="20"/>
  </w:num>
  <w:num w:numId="27">
    <w:abstractNumId w:val="34"/>
  </w:num>
  <w:num w:numId="28">
    <w:abstractNumId w:val="22"/>
  </w:num>
  <w:num w:numId="29">
    <w:abstractNumId w:val="17"/>
  </w:num>
  <w:num w:numId="30">
    <w:abstractNumId w:val="13"/>
  </w:num>
  <w:num w:numId="31">
    <w:abstractNumId w:val="23"/>
  </w:num>
  <w:num w:numId="32">
    <w:abstractNumId w:val="3"/>
  </w:num>
  <w:num w:numId="33">
    <w:abstractNumId w:val="44"/>
  </w:num>
  <w:num w:numId="34">
    <w:abstractNumId w:val="18"/>
  </w:num>
  <w:num w:numId="35">
    <w:abstractNumId w:val="16"/>
  </w:num>
  <w:num w:numId="36">
    <w:abstractNumId w:val="24"/>
  </w:num>
  <w:num w:numId="37">
    <w:abstractNumId w:val="21"/>
  </w:num>
  <w:num w:numId="38">
    <w:abstractNumId w:val="10"/>
  </w:num>
  <w:num w:numId="39">
    <w:abstractNumId w:val="27"/>
  </w:num>
  <w:num w:numId="40">
    <w:abstractNumId w:val="12"/>
  </w:num>
  <w:num w:numId="41">
    <w:abstractNumId w:val="29"/>
  </w:num>
  <w:num w:numId="42">
    <w:abstractNumId w:val="5"/>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6"/>
  </w:num>
  <w:num w:numId="4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bordersDoNotSurroundHeader/>
  <w:bordersDoNotSurroundFooter/>
  <w:hideSpellingErrors/>
  <w:hideGrammaticalErrors/>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US" w:vendorID="64" w:dllVersion="4096" w:nlCheck="1" w:checkStyle="0"/>
  <w:activeWritingStyle w:appName="MSWord" w:lang="zh-CN" w:vendorID="64" w:dllVersion="0" w:nlCheck="1" w:checkStyle="1"/>
  <w:activeWritingStyle w:appName="MSWord" w:lang="fr-FR" w:vendorID="64" w:dllVersion="4096" w:nlCheck="1" w:checkStyle="0"/>
  <w:activeWritingStyle w:appName="MSWord" w:lang="sv-SE" w:vendorID="64" w:dllVersion="4096" w:nlCheck="1" w:checkStyle="0"/>
  <w:activeWritingStyle w:appName="MSWord" w:lang="de-DE" w:vendorID="64" w:dllVersion="4096" w:nlCheck="1" w:checkStyle="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DA3MjY3M7I0Njc3sTRS0lEKTi0uzszPAykwNDapBQBjDweDLgAAAA=="/>
  </w:docVars>
  <w:rsids>
    <w:rsidRoot w:val="00CC1BD6"/>
    <w:rsid w:val="00000228"/>
    <w:rsid w:val="00000A61"/>
    <w:rsid w:val="00000B6A"/>
    <w:rsid w:val="00001019"/>
    <w:rsid w:val="00001067"/>
    <w:rsid w:val="000011CB"/>
    <w:rsid w:val="00001329"/>
    <w:rsid w:val="0000132F"/>
    <w:rsid w:val="000017F2"/>
    <w:rsid w:val="0000199F"/>
    <w:rsid w:val="00001AC3"/>
    <w:rsid w:val="0000263C"/>
    <w:rsid w:val="000027F6"/>
    <w:rsid w:val="000028C4"/>
    <w:rsid w:val="00002901"/>
    <w:rsid w:val="000029B7"/>
    <w:rsid w:val="00002A47"/>
    <w:rsid w:val="00002B9D"/>
    <w:rsid w:val="00002F3D"/>
    <w:rsid w:val="00003B35"/>
    <w:rsid w:val="00003C08"/>
    <w:rsid w:val="00003D7A"/>
    <w:rsid w:val="00003E7E"/>
    <w:rsid w:val="00004463"/>
    <w:rsid w:val="000044A4"/>
    <w:rsid w:val="00004F2A"/>
    <w:rsid w:val="000051C0"/>
    <w:rsid w:val="0000528B"/>
    <w:rsid w:val="00005703"/>
    <w:rsid w:val="00005BDA"/>
    <w:rsid w:val="00005D27"/>
    <w:rsid w:val="0000644E"/>
    <w:rsid w:val="00006C5E"/>
    <w:rsid w:val="00006DFA"/>
    <w:rsid w:val="00006FE0"/>
    <w:rsid w:val="00007186"/>
    <w:rsid w:val="0000755E"/>
    <w:rsid w:val="000079D3"/>
    <w:rsid w:val="00007A02"/>
    <w:rsid w:val="00007FE1"/>
    <w:rsid w:val="000105A9"/>
    <w:rsid w:val="00010617"/>
    <w:rsid w:val="00010973"/>
    <w:rsid w:val="00010976"/>
    <w:rsid w:val="00010989"/>
    <w:rsid w:val="00010DC4"/>
    <w:rsid w:val="00010F3A"/>
    <w:rsid w:val="00011666"/>
    <w:rsid w:val="00011A1E"/>
    <w:rsid w:val="00011D8E"/>
    <w:rsid w:val="00011F38"/>
    <w:rsid w:val="00011F7F"/>
    <w:rsid w:val="0001248E"/>
    <w:rsid w:val="00012B00"/>
    <w:rsid w:val="00012CF1"/>
    <w:rsid w:val="00012F26"/>
    <w:rsid w:val="000133F5"/>
    <w:rsid w:val="0001365D"/>
    <w:rsid w:val="0001366B"/>
    <w:rsid w:val="000138BE"/>
    <w:rsid w:val="000139AD"/>
    <w:rsid w:val="00013E43"/>
    <w:rsid w:val="000141D8"/>
    <w:rsid w:val="000144A1"/>
    <w:rsid w:val="00014592"/>
    <w:rsid w:val="00014918"/>
    <w:rsid w:val="000149DC"/>
    <w:rsid w:val="00014ADB"/>
    <w:rsid w:val="00014C96"/>
    <w:rsid w:val="00015031"/>
    <w:rsid w:val="00015052"/>
    <w:rsid w:val="000150BB"/>
    <w:rsid w:val="00015398"/>
    <w:rsid w:val="000156F0"/>
    <w:rsid w:val="00015ABF"/>
    <w:rsid w:val="00015BE4"/>
    <w:rsid w:val="00015DD5"/>
    <w:rsid w:val="00015ECA"/>
    <w:rsid w:val="000160DB"/>
    <w:rsid w:val="0001628E"/>
    <w:rsid w:val="00016495"/>
    <w:rsid w:val="000164D9"/>
    <w:rsid w:val="000166A9"/>
    <w:rsid w:val="0001678B"/>
    <w:rsid w:val="00016B0A"/>
    <w:rsid w:val="00017A0B"/>
    <w:rsid w:val="00017B36"/>
    <w:rsid w:val="00017BFC"/>
    <w:rsid w:val="00017D7D"/>
    <w:rsid w:val="00017F2D"/>
    <w:rsid w:val="00020262"/>
    <w:rsid w:val="00020398"/>
    <w:rsid w:val="0002055E"/>
    <w:rsid w:val="00020B9D"/>
    <w:rsid w:val="00020F7E"/>
    <w:rsid w:val="000216F6"/>
    <w:rsid w:val="000217B5"/>
    <w:rsid w:val="00021DFB"/>
    <w:rsid w:val="000222A2"/>
    <w:rsid w:val="000225E1"/>
    <w:rsid w:val="00022DC9"/>
    <w:rsid w:val="00022E3B"/>
    <w:rsid w:val="00022E7B"/>
    <w:rsid w:val="00022EC6"/>
    <w:rsid w:val="000238A0"/>
    <w:rsid w:val="00023B14"/>
    <w:rsid w:val="00023B68"/>
    <w:rsid w:val="00023E70"/>
    <w:rsid w:val="00024197"/>
    <w:rsid w:val="000246A1"/>
    <w:rsid w:val="00024719"/>
    <w:rsid w:val="00024B1F"/>
    <w:rsid w:val="00024CFB"/>
    <w:rsid w:val="00024F21"/>
    <w:rsid w:val="0002511E"/>
    <w:rsid w:val="00025565"/>
    <w:rsid w:val="0002581B"/>
    <w:rsid w:val="00025D43"/>
    <w:rsid w:val="0002632A"/>
    <w:rsid w:val="00026B25"/>
    <w:rsid w:val="00026B2D"/>
    <w:rsid w:val="00026CCC"/>
    <w:rsid w:val="00027114"/>
    <w:rsid w:val="00027425"/>
    <w:rsid w:val="000276A5"/>
    <w:rsid w:val="000276DD"/>
    <w:rsid w:val="00027AB0"/>
    <w:rsid w:val="00027B6A"/>
    <w:rsid w:val="00027E86"/>
    <w:rsid w:val="00030D82"/>
    <w:rsid w:val="00031541"/>
    <w:rsid w:val="000316C4"/>
    <w:rsid w:val="00031ACF"/>
    <w:rsid w:val="00031D78"/>
    <w:rsid w:val="000320C3"/>
    <w:rsid w:val="000324A7"/>
    <w:rsid w:val="000325BE"/>
    <w:rsid w:val="00032764"/>
    <w:rsid w:val="000329CA"/>
    <w:rsid w:val="00032B31"/>
    <w:rsid w:val="00032F37"/>
    <w:rsid w:val="0003343C"/>
    <w:rsid w:val="00034195"/>
    <w:rsid w:val="00034418"/>
    <w:rsid w:val="0003442D"/>
    <w:rsid w:val="00034799"/>
    <w:rsid w:val="000348E1"/>
    <w:rsid w:val="00034965"/>
    <w:rsid w:val="00035182"/>
    <w:rsid w:val="000353A2"/>
    <w:rsid w:val="00035488"/>
    <w:rsid w:val="00035716"/>
    <w:rsid w:val="00035A0E"/>
    <w:rsid w:val="00035B59"/>
    <w:rsid w:val="00035BB1"/>
    <w:rsid w:val="00035E6A"/>
    <w:rsid w:val="000361FF"/>
    <w:rsid w:val="0003632B"/>
    <w:rsid w:val="00036414"/>
    <w:rsid w:val="000364CC"/>
    <w:rsid w:val="00036990"/>
    <w:rsid w:val="00037006"/>
    <w:rsid w:val="0003723F"/>
    <w:rsid w:val="00037772"/>
    <w:rsid w:val="0003788C"/>
    <w:rsid w:val="0004066B"/>
    <w:rsid w:val="00040709"/>
    <w:rsid w:val="000408F6"/>
    <w:rsid w:val="00040A82"/>
    <w:rsid w:val="00040D73"/>
    <w:rsid w:val="00041323"/>
    <w:rsid w:val="00041418"/>
    <w:rsid w:val="00041636"/>
    <w:rsid w:val="00041E1F"/>
    <w:rsid w:val="000420E0"/>
    <w:rsid w:val="00042A09"/>
    <w:rsid w:val="00043101"/>
    <w:rsid w:val="00043F2D"/>
    <w:rsid w:val="00043F6E"/>
    <w:rsid w:val="00043F92"/>
    <w:rsid w:val="000443C4"/>
    <w:rsid w:val="000443F3"/>
    <w:rsid w:val="00044D44"/>
    <w:rsid w:val="00044DE9"/>
    <w:rsid w:val="00044FB3"/>
    <w:rsid w:val="000450EE"/>
    <w:rsid w:val="0004559E"/>
    <w:rsid w:val="000457F5"/>
    <w:rsid w:val="00045B76"/>
    <w:rsid w:val="00045CAE"/>
    <w:rsid w:val="00045EC7"/>
    <w:rsid w:val="00045F85"/>
    <w:rsid w:val="00045FDC"/>
    <w:rsid w:val="0004674D"/>
    <w:rsid w:val="000472E0"/>
    <w:rsid w:val="00047D4B"/>
    <w:rsid w:val="000500B7"/>
    <w:rsid w:val="0005051A"/>
    <w:rsid w:val="000509BC"/>
    <w:rsid w:val="00050B59"/>
    <w:rsid w:val="00050D10"/>
    <w:rsid w:val="00050F89"/>
    <w:rsid w:val="00050FF5"/>
    <w:rsid w:val="00051207"/>
    <w:rsid w:val="000519D3"/>
    <w:rsid w:val="00051F25"/>
    <w:rsid w:val="00052003"/>
    <w:rsid w:val="0005299D"/>
    <w:rsid w:val="00052B21"/>
    <w:rsid w:val="00052BCC"/>
    <w:rsid w:val="00053351"/>
    <w:rsid w:val="000538F3"/>
    <w:rsid w:val="00053D1A"/>
    <w:rsid w:val="00053D8A"/>
    <w:rsid w:val="00053FDA"/>
    <w:rsid w:val="00054E06"/>
    <w:rsid w:val="00055148"/>
    <w:rsid w:val="000551AF"/>
    <w:rsid w:val="000551FE"/>
    <w:rsid w:val="00055334"/>
    <w:rsid w:val="00055457"/>
    <w:rsid w:val="00055615"/>
    <w:rsid w:val="00056041"/>
    <w:rsid w:val="000561B3"/>
    <w:rsid w:val="000562C7"/>
    <w:rsid w:val="00056748"/>
    <w:rsid w:val="000569D7"/>
    <w:rsid w:val="00056A01"/>
    <w:rsid w:val="00057128"/>
    <w:rsid w:val="0005718B"/>
    <w:rsid w:val="00057498"/>
    <w:rsid w:val="00057626"/>
    <w:rsid w:val="0005768B"/>
    <w:rsid w:val="00060157"/>
    <w:rsid w:val="00060378"/>
    <w:rsid w:val="000605B9"/>
    <w:rsid w:val="00060878"/>
    <w:rsid w:val="00060D55"/>
    <w:rsid w:val="00060F30"/>
    <w:rsid w:val="000610E0"/>
    <w:rsid w:val="00061294"/>
    <w:rsid w:val="00061347"/>
    <w:rsid w:val="00061854"/>
    <w:rsid w:val="00061C87"/>
    <w:rsid w:val="00061DBF"/>
    <w:rsid w:val="00061EE5"/>
    <w:rsid w:val="00062DD9"/>
    <w:rsid w:val="00062E20"/>
    <w:rsid w:val="00063287"/>
    <w:rsid w:val="000632A0"/>
    <w:rsid w:val="000635CD"/>
    <w:rsid w:val="0006375A"/>
    <w:rsid w:val="00063F8F"/>
    <w:rsid w:val="0006401E"/>
    <w:rsid w:val="00064204"/>
    <w:rsid w:val="00064439"/>
    <w:rsid w:val="00064BE4"/>
    <w:rsid w:val="000650DB"/>
    <w:rsid w:val="00065D4F"/>
    <w:rsid w:val="00065DD1"/>
    <w:rsid w:val="0006629F"/>
    <w:rsid w:val="000663D9"/>
    <w:rsid w:val="000665B1"/>
    <w:rsid w:val="00066B65"/>
    <w:rsid w:val="00066EDC"/>
    <w:rsid w:val="000670D5"/>
    <w:rsid w:val="0006721C"/>
    <w:rsid w:val="00067548"/>
    <w:rsid w:val="00067C62"/>
    <w:rsid w:val="00067F33"/>
    <w:rsid w:val="00070191"/>
    <w:rsid w:val="0007063E"/>
    <w:rsid w:val="00070832"/>
    <w:rsid w:val="00070F66"/>
    <w:rsid w:val="00071487"/>
    <w:rsid w:val="000714F9"/>
    <w:rsid w:val="0007177F"/>
    <w:rsid w:val="000717EF"/>
    <w:rsid w:val="000719B3"/>
    <w:rsid w:val="00071B32"/>
    <w:rsid w:val="00072577"/>
    <w:rsid w:val="000726F0"/>
    <w:rsid w:val="00072CB0"/>
    <w:rsid w:val="000738E2"/>
    <w:rsid w:val="00074375"/>
    <w:rsid w:val="00074398"/>
    <w:rsid w:val="00074461"/>
    <w:rsid w:val="000745DA"/>
    <w:rsid w:val="00074C2A"/>
    <w:rsid w:val="00074D62"/>
    <w:rsid w:val="00075059"/>
    <w:rsid w:val="000750E5"/>
    <w:rsid w:val="000756C6"/>
    <w:rsid w:val="00075975"/>
    <w:rsid w:val="00075F4C"/>
    <w:rsid w:val="00076246"/>
    <w:rsid w:val="00076905"/>
    <w:rsid w:val="0007724D"/>
    <w:rsid w:val="000777D5"/>
    <w:rsid w:val="00077EC8"/>
    <w:rsid w:val="00080570"/>
    <w:rsid w:val="00080656"/>
    <w:rsid w:val="00080887"/>
    <w:rsid w:val="00080A3F"/>
    <w:rsid w:val="00080F64"/>
    <w:rsid w:val="000812D8"/>
    <w:rsid w:val="00081FF6"/>
    <w:rsid w:val="0008236D"/>
    <w:rsid w:val="000823DF"/>
    <w:rsid w:val="00082623"/>
    <w:rsid w:val="00082786"/>
    <w:rsid w:val="000827D1"/>
    <w:rsid w:val="00082AC9"/>
    <w:rsid w:val="00082BF7"/>
    <w:rsid w:val="00082FD2"/>
    <w:rsid w:val="000830FF"/>
    <w:rsid w:val="0008329F"/>
    <w:rsid w:val="0008344B"/>
    <w:rsid w:val="00083EE8"/>
    <w:rsid w:val="00084080"/>
    <w:rsid w:val="00084627"/>
    <w:rsid w:val="00084D56"/>
    <w:rsid w:val="00084E62"/>
    <w:rsid w:val="0008508C"/>
    <w:rsid w:val="000857C9"/>
    <w:rsid w:val="00085C64"/>
    <w:rsid w:val="00085CB2"/>
    <w:rsid w:val="00086085"/>
    <w:rsid w:val="00086125"/>
    <w:rsid w:val="0008627B"/>
    <w:rsid w:val="00086594"/>
    <w:rsid w:val="000869A8"/>
    <w:rsid w:val="00086A3B"/>
    <w:rsid w:val="00086AD2"/>
    <w:rsid w:val="00087103"/>
    <w:rsid w:val="0008762E"/>
    <w:rsid w:val="00087763"/>
    <w:rsid w:val="000879F2"/>
    <w:rsid w:val="00087D3C"/>
    <w:rsid w:val="00087F90"/>
    <w:rsid w:val="00090603"/>
    <w:rsid w:val="000906DE"/>
    <w:rsid w:val="00090C73"/>
    <w:rsid w:val="00090E0E"/>
    <w:rsid w:val="000917CF"/>
    <w:rsid w:val="0009196D"/>
    <w:rsid w:val="00091D88"/>
    <w:rsid w:val="00092108"/>
    <w:rsid w:val="0009257C"/>
    <w:rsid w:val="000926C9"/>
    <w:rsid w:val="00092830"/>
    <w:rsid w:val="00093306"/>
    <w:rsid w:val="00093B67"/>
    <w:rsid w:val="00093D11"/>
    <w:rsid w:val="00093E37"/>
    <w:rsid w:val="00094936"/>
    <w:rsid w:val="0009497B"/>
    <w:rsid w:val="00094998"/>
    <w:rsid w:val="00094A88"/>
    <w:rsid w:val="00094E96"/>
    <w:rsid w:val="0009527D"/>
    <w:rsid w:val="00095957"/>
    <w:rsid w:val="00095FAF"/>
    <w:rsid w:val="0009603F"/>
    <w:rsid w:val="00096437"/>
    <w:rsid w:val="00096448"/>
    <w:rsid w:val="000965E1"/>
    <w:rsid w:val="000966B4"/>
    <w:rsid w:val="00096C9F"/>
    <w:rsid w:val="00096F87"/>
    <w:rsid w:val="000970A6"/>
    <w:rsid w:val="0009732D"/>
    <w:rsid w:val="00097743"/>
    <w:rsid w:val="000A00A4"/>
    <w:rsid w:val="000A013D"/>
    <w:rsid w:val="000A088E"/>
    <w:rsid w:val="000A0AF9"/>
    <w:rsid w:val="000A0CA3"/>
    <w:rsid w:val="000A121E"/>
    <w:rsid w:val="000A12D6"/>
    <w:rsid w:val="000A13B5"/>
    <w:rsid w:val="000A1875"/>
    <w:rsid w:val="000A1B05"/>
    <w:rsid w:val="000A28B2"/>
    <w:rsid w:val="000A2CD2"/>
    <w:rsid w:val="000A2D1F"/>
    <w:rsid w:val="000A2DF6"/>
    <w:rsid w:val="000A2EBA"/>
    <w:rsid w:val="000A2F23"/>
    <w:rsid w:val="000A2F65"/>
    <w:rsid w:val="000A33CA"/>
    <w:rsid w:val="000A3E3F"/>
    <w:rsid w:val="000A3EB1"/>
    <w:rsid w:val="000A420D"/>
    <w:rsid w:val="000A434F"/>
    <w:rsid w:val="000A46E0"/>
    <w:rsid w:val="000A4B26"/>
    <w:rsid w:val="000A4B66"/>
    <w:rsid w:val="000A4B8D"/>
    <w:rsid w:val="000A4EA0"/>
    <w:rsid w:val="000A5009"/>
    <w:rsid w:val="000A5147"/>
    <w:rsid w:val="000A5664"/>
    <w:rsid w:val="000A5865"/>
    <w:rsid w:val="000A648C"/>
    <w:rsid w:val="000A6915"/>
    <w:rsid w:val="000A6C0A"/>
    <w:rsid w:val="000A719C"/>
    <w:rsid w:val="000A747D"/>
    <w:rsid w:val="000A7560"/>
    <w:rsid w:val="000A77F4"/>
    <w:rsid w:val="000A7E66"/>
    <w:rsid w:val="000A7FB2"/>
    <w:rsid w:val="000B03FF"/>
    <w:rsid w:val="000B08B2"/>
    <w:rsid w:val="000B0A19"/>
    <w:rsid w:val="000B0A71"/>
    <w:rsid w:val="000B0AD1"/>
    <w:rsid w:val="000B0F63"/>
    <w:rsid w:val="000B1955"/>
    <w:rsid w:val="000B1C04"/>
    <w:rsid w:val="000B1C14"/>
    <w:rsid w:val="000B1DB6"/>
    <w:rsid w:val="000B21D2"/>
    <w:rsid w:val="000B23E3"/>
    <w:rsid w:val="000B27C2"/>
    <w:rsid w:val="000B30F1"/>
    <w:rsid w:val="000B326B"/>
    <w:rsid w:val="000B328D"/>
    <w:rsid w:val="000B3595"/>
    <w:rsid w:val="000B370C"/>
    <w:rsid w:val="000B3E4B"/>
    <w:rsid w:val="000B4468"/>
    <w:rsid w:val="000B4834"/>
    <w:rsid w:val="000B48D1"/>
    <w:rsid w:val="000B514A"/>
    <w:rsid w:val="000B5311"/>
    <w:rsid w:val="000B53EE"/>
    <w:rsid w:val="000B5CF0"/>
    <w:rsid w:val="000B61F5"/>
    <w:rsid w:val="000B62BF"/>
    <w:rsid w:val="000B664C"/>
    <w:rsid w:val="000B676B"/>
    <w:rsid w:val="000B6916"/>
    <w:rsid w:val="000B6AF7"/>
    <w:rsid w:val="000B6CBF"/>
    <w:rsid w:val="000B6D29"/>
    <w:rsid w:val="000B7508"/>
    <w:rsid w:val="000B75DA"/>
    <w:rsid w:val="000B7705"/>
    <w:rsid w:val="000C04D1"/>
    <w:rsid w:val="000C0B05"/>
    <w:rsid w:val="000C0B92"/>
    <w:rsid w:val="000C0E2A"/>
    <w:rsid w:val="000C1177"/>
    <w:rsid w:val="000C1196"/>
    <w:rsid w:val="000C1DE5"/>
    <w:rsid w:val="000C1F55"/>
    <w:rsid w:val="000C3218"/>
    <w:rsid w:val="000C393C"/>
    <w:rsid w:val="000C3E11"/>
    <w:rsid w:val="000C3E54"/>
    <w:rsid w:val="000C3FAC"/>
    <w:rsid w:val="000C41CB"/>
    <w:rsid w:val="000C45E9"/>
    <w:rsid w:val="000C483D"/>
    <w:rsid w:val="000C4C44"/>
    <w:rsid w:val="000C4D13"/>
    <w:rsid w:val="000C5171"/>
    <w:rsid w:val="000C5322"/>
    <w:rsid w:val="000C5C98"/>
    <w:rsid w:val="000C6370"/>
    <w:rsid w:val="000C678F"/>
    <w:rsid w:val="000C694B"/>
    <w:rsid w:val="000C6997"/>
    <w:rsid w:val="000C6FE8"/>
    <w:rsid w:val="000C70DA"/>
    <w:rsid w:val="000C7FB1"/>
    <w:rsid w:val="000D06D4"/>
    <w:rsid w:val="000D0726"/>
    <w:rsid w:val="000D0819"/>
    <w:rsid w:val="000D18DD"/>
    <w:rsid w:val="000D1CB2"/>
    <w:rsid w:val="000D1D93"/>
    <w:rsid w:val="000D1D9A"/>
    <w:rsid w:val="000D2FF8"/>
    <w:rsid w:val="000D33C8"/>
    <w:rsid w:val="000D38B8"/>
    <w:rsid w:val="000D38EB"/>
    <w:rsid w:val="000D3991"/>
    <w:rsid w:val="000D3BA1"/>
    <w:rsid w:val="000D3CFF"/>
    <w:rsid w:val="000D3E36"/>
    <w:rsid w:val="000D3EB4"/>
    <w:rsid w:val="000D3F96"/>
    <w:rsid w:val="000D40FF"/>
    <w:rsid w:val="000D460A"/>
    <w:rsid w:val="000D4C1C"/>
    <w:rsid w:val="000D4DB9"/>
    <w:rsid w:val="000D54E5"/>
    <w:rsid w:val="000D611A"/>
    <w:rsid w:val="000D6D3B"/>
    <w:rsid w:val="000D6E4A"/>
    <w:rsid w:val="000D73BE"/>
    <w:rsid w:val="000D74E0"/>
    <w:rsid w:val="000D77C6"/>
    <w:rsid w:val="000D7C3A"/>
    <w:rsid w:val="000D7CBB"/>
    <w:rsid w:val="000D7CC7"/>
    <w:rsid w:val="000D7E0E"/>
    <w:rsid w:val="000D7F87"/>
    <w:rsid w:val="000E02C5"/>
    <w:rsid w:val="000E0E7B"/>
    <w:rsid w:val="000E10F3"/>
    <w:rsid w:val="000E15C2"/>
    <w:rsid w:val="000E1638"/>
    <w:rsid w:val="000E18F2"/>
    <w:rsid w:val="000E2065"/>
    <w:rsid w:val="000E2DE9"/>
    <w:rsid w:val="000E3104"/>
    <w:rsid w:val="000E3109"/>
    <w:rsid w:val="000E31B1"/>
    <w:rsid w:val="000E3375"/>
    <w:rsid w:val="000E44E6"/>
    <w:rsid w:val="000E457D"/>
    <w:rsid w:val="000E4B36"/>
    <w:rsid w:val="000E4DC2"/>
    <w:rsid w:val="000E5137"/>
    <w:rsid w:val="000E5805"/>
    <w:rsid w:val="000E6196"/>
    <w:rsid w:val="000E6278"/>
    <w:rsid w:val="000E62AD"/>
    <w:rsid w:val="000E648D"/>
    <w:rsid w:val="000E65E3"/>
    <w:rsid w:val="000E668E"/>
    <w:rsid w:val="000E7030"/>
    <w:rsid w:val="000E7713"/>
    <w:rsid w:val="000E79F0"/>
    <w:rsid w:val="000F0399"/>
    <w:rsid w:val="000F0707"/>
    <w:rsid w:val="000F07C6"/>
    <w:rsid w:val="000F1498"/>
    <w:rsid w:val="000F1691"/>
    <w:rsid w:val="000F1746"/>
    <w:rsid w:val="000F1A0E"/>
    <w:rsid w:val="000F1CDB"/>
    <w:rsid w:val="000F1D90"/>
    <w:rsid w:val="000F2544"/>
    <w:rsid w:val="000F2A26"/>
    <w:rsid w:val="000F340E"/>
    <w:rsid w:val="000F367B"/>
    <w:rsid w:val="000F386A"/>
    <w:rsid w:val="000F3DE7"/>
    <w:rsid w:val="000F43AD"/>
    <w:rsid w:val="000F44F4"/>
    <w:rsid w:val="000F48AD"/>
    <w:rsid w:val="000F49A0"/>
    <w:rsid w:val="000F4BDD"/>
    <w:rsid w:val="000F4C49"/>
    <w:rsid w:val="000F4EB3"/>
    <w:rsid w:val="000F4FB6"/>
    <w:rsid w:val="000F5251"/>
    <w:rsid w:val="000F52E0"/>
    <w:rsid w:val="000F53BA"/>
    <w:rsid w:val="000F54AF"/>
    <w:rsid w:val="000F5646"/>
    <w:rsid w:val="000F5BB1"/>
    <w:rsid w:val="000F6285"/>
    <w:rsid w:val="000F6EEF"/>
    <w:rsid w:val="000F6F9F"/>
    <w:rsid w:val="000F6FDA"/>
    <w:rsid w:val="000F714D"/>
    <w:rsid w:val="000F74CD"/>
    <w:rsid w:val="000F783D"/>
    <w:rsid w:val="001000E5"/>
    <w:rsid w:val="001007A2"/>
    <w:rsid w:val="00100C5D"/>
    <w:rsid w:val="00100DC4"/>
    <w:rsid w:val="00100DC7"/>
    <w:rsid w:val="00100F30"/>
    <w:rsid w:val="001010AF"/>
    <w:rsid w:val="001013B0"/>
    <w:rsid w:val="00101D7A"/>
    <w:rsid w:val="00101ECA"/>
    <w:rsid w:val="00102128"/>
    <w:rsid w:val="001021EC"/>
    <w:rsid w:val="00102853"/>
    <w:rsid w:val="00103211"/>
    <w:rsid w:val="0010326C"/>
    <w:rsid w:val="001034A5"/>
    <w:rsid w:val="001037A2"/>
    <w:rsid w:val="00104A17"/>
    <w:rsid w:val="00104F91"/>
    <w:rsid w:val="00105B79"/>
    <w:rsid w:val="00105CE9"/>
    <w:rsid w:val="00105E53"/>
    <w:rsid w:val="00105FD6"/>
    <w:rsid w:val="00106577"/>
    <w:rsid w:val="00106E16"/>
    <w:rsid w:val="00106E89"/>
    <w:rsid w:val="00107724"/>
    <w:rsid w:val="00107777"/>
    <w:rsid w:val="00107859"/>
    <w:rsid w:val="00107895"/>
    <w:rsid w:val="00107CCE"/>
    <w:rsid w:val="00107FB2"/>
    <w:rsid w:val="00110359"/>
    <w:rsid w:val="0011046A"/>
    <w:rsid w:val="00110ACB"/>
    <w:rsid w:val="0011107D"/>
    <w:rsid w:val="0011169A"/>
    <w:rsid w:val="00111748"/>
    <w:rsid w:val="00111A84"/>
    <w:rsid w:val="00111A86"/>
    <w:rsid w:val="00111AE1"/>
    <w:rsid w:val="001121D1"/>
    <w:rsid w:val="0011241C"/>
    <w:rsid w:val="001128B8"/>
    <w:rsid w:val="00112B42"/>
    <w:rsid w:val="001135DF"/>
    <w:rsid w:val="00113754"/>
    <w:rsid w:val="001139B9"/>
    <w:rsid w:val="00113A77"/>
    <w:rsid w:val="00113DEA"/>
    <w:rsid w:val="00113F65"/>
    <w:rsid w:val="0011437E"/>
    <w:rsid w:val="00114736"/>
    <w:rsid w:val="00114E98"/>
    <w:rsid w:val="00115536"/>
    <w:rsid w:val="00115DFF"/>
    <w:rsid w:val="00116195"/>
    <w:rsid w:val="001163A0"/>
    <w:rsid w:val="0011666E"/>
    <w:rsid w:val="00116E5A"/>
    <w:rsid w:val="00116E65"/>
    <w:rsid w:val="00116ED6"/>
    <w:rsid w:val="00117243"/>
    <w:rsid w:val="00117244"/>
    <w:rsid w:val="001175B3"/>
    <w:rsid w:val="001178B7"/>
    <w:rsid w:val="0012033E"/>
    <w:rsid w:val="001208EC"/>
    <w:rsid w:val="00120E21"/>
    <w:rsid w:val="00121482"/>
    <w:rsid w:val="00121798"/>
    <w:rsid w:val="00121AFE"/>
    <w:rsid w:val="00121C57"/>
    <w:rsid w:val="00121DAF"/>
    <w:rsid w:val="00122044"/>
    <w:rsid w:val="0012245D"/>
    <w:rsid w:val="00122ACE"/>
    <w:rsid w:val="00122BE4"/>
    <w:rsid w:val="00122E86"/>
    <w:rsid w:val="00123042"/>
    <w:rsid w:val="0012364A"/>
    <w:rsid w:val="00123A23"/>
    <w:rsid w:val="001246B7"/>
    <w:rsid w:val="0012472D"/>
    <w:rsid w:val="00124B56"/>
    <w:rsid w:val="00124DBD"/>
    <w:rsid w:val="00125248"/>
    <w:rsid w:val="00125345"/>
    <w:rsid w:val="0012565B"/>
    <w:rsid w:val="0012567C"/>
    <w:rsid w:val="00125C09"/>
    <w:rsid w:val="00125D09"/>
    <w:rsid w:val="00125E96"/>
    <w:rsid w:val="00126344"/>
    <w:rsid w:val="001264EA"/>
    <w:rsid w:val="00127B69"/>
    <w:rsid w:val="00127C52"/>
    <w:rsid w:val="00127EC4"/>
    <w:rsid w:val="00127EEA"/>
    <w:rsid w:val="0013000C"/>
    <w:rsid w:val="001301D1"/>
    <w:rsid w:val="00130504"/>
    <w:rsid w:val="00130C2F"/>
    <w:rsid w:val="00130D08"/>
    <w:rsid w:val="00130EE5"/>
    <w:rsid w:val="00131036"/>
    <w:rsid w:val="00131813"/>
    <w:rsid w:val="00131B2B"/>
    <w:rsid w:val="00131CAF"/>
    <w:rsid w:val="00131E66"/>
    <w:rsid w:val="00131EA9"/>
    <w:rsid w:val="00131EC3"/>
    <w:rsid w:val="001323B6"/>
    <w:rsid w:val="00132973"/>
    <w:rsid w:val="001329C1"/>
    <w:rsid w:val="001329DD"/>
    <w:rsid w:val="00133091"/>
    <w:rsid w:val="001336A7"/>
    <w:rsid w:val="0013381A"/>
    <w:rsid w:val="00133963"/>
    <w:rsid w:val="00133D8E"/>
    <w:rsid w:val="00133FED"/>
    <w:rsid w:val="001343FA"/>
    <w:rsid w:val="0013460A"/>
    <w:rsid w:val="00134665"/>
    <w:rsid w:val="0013485E"/>
    <w:rsid w:val="00134B35"/>
    <w:rsid w:val="00134DAC"/>
    <w:rsid w:val="001350C2"/>
    <w:rsid w:val="00135AE9"/>
    <w:rsid w:val="001360F5"/>
    <w:rsid w:val="001368E6"/>
    <w:rsid w:val="00136A22"/>
    <w:rsid w:val="00136A28"/>
    <w:rsid w:val="001370CE"/>
    <w:rsid w:val="001373A7"/>
    <w:rsid w:val="00137763"/>
    <w:rsid w:val="00137814"/>
    <w:rsid w:val="00137A02"/>
    <w:rsid w:val="00137A72"/>
    <w:rsid w:val="00137AE2"/>
    <w:rsid w:val="00137ED0"/>
    <w:rsid w:val="001405CD"/>
    <w:rsid w:val="0014064C"/>
    <w:rsid w:val="00140790"/>
    <w:rsid w:val="00140AFC"/>
    <w:rsid w:val="00140E51"/>
    <w:rsid w:val="00141004"/>
    <w:rsid w:val="001411A3"/>
    <w:rsid w:val="001412F2"/>
    <w:rsid w:val="00141A9E"/>
    <w:rsid w:val="00141C30"/>
    <w:rsid w:val="00141C43"/>
    <w:rsid w:val="00141D2C"/>
    <w:rsid w:val="00141E35"/>
    <w:rsid w:val="00141E86"/>
    <w:rsid w:val="00141F24"/>
    <w:rsid w:val="00141F56"/>
    <w:rsid w:val="00142B6C"/>
    <w:rsid w:val="0014363B"/>
    <w:rsid w:val="00143A91"/>
    <w:rsid w:val="001440DA"/>
    <w:rsid w:val="001441AC"/>
    <w:rsid w:val="0014462F"/>
    <w:rsid w:val="00144662"/>
    <w:rsid w:val="0014468A"/>
    <w:rsid w:val="00144901"/>
    <w:rsid w:val="00144A7C"/>
    <w:rsid w:val="00144CF9"/>
    <w:rsid w:val="00144F78"/>
    <w:rsid w:val="001459CD"/>
    <w:rsid w:val="00145DF5"/>
    <w:rsid w:val="00145E55"/>
    <w:rsid w:val="00145F8D"/>
    <w:rsid w:val="001462A6"/>
    <w:rsid w:val="00146F47"/>
    <w:rsid w:val="00147AEC"/>
    <w:rsid w:val="001509A5"/>
    <w:rsid w:val="00150EEC"/>
    <w:rsid w:val="00151636"/>
    <w:rsid w:val="001518E5"/>
    <w:rsid w:val="00151DA8"/>
    <w:rsid w:val="00152029"/>
    <w:rsid w:val="00152070"/>
    <w:rsid w:val="00152222"/>
    <w:rsid w:val="001523A6"/>
    <w:rsid w:val="001524A5"/>
    <w:rsid w:val="0015283F"/>
    <w:rsid w:val="001529ED"/>
    <w:rsid w:val="00152BDF"/>
    <w:rsid w:val="001532EF"/>
    <w:rsid w:val="0015362F"/>
    <w:rsid w:val="001538C1"/>
    <w:rsid w:val="00154276"/>
    <w:rsid w:val="00154376"/>
    <w:rsid w:val="00154535"/>
    <w:rsid w:val="001548E0"/>
    <w:rsid w:val="00154BCF"/>
    <w:rsid w:val="00154CC0"/>
    <w:rsid w:val="00154D19"/>
    <w:rsid w:val="001550A7"/>
    <w:rsid w:val="00155197"/>
    <w:rsid w:val="00155566"/>
    <w:rsid w:val="001557CE"/>
    <w:rsid w:val="001558CD"/>
    <w:rsid w:val="001558F9"/>
    <w:rsid w:val="00155E63"/>
    <w:rsid w:val="00155EA0"/>
    <w:rsid w:val="001561B7"/>
    <w:rsid w:val="0015641E"/>
    <w:rsid w:val="00156727"/>
    <w:rsid w:val="001568C7"/>
    <w:rsid w:val="00156F65"/>
    <w:rsid w:val="00156FFD"/>
    <w:rsid w:val="00157195"/>
    <w:rsid w:val="001572C5"/>
    <w:rsid w:val="00157BC5"/>
    <w:rsid w:val="001600CB"/>
    <w:rsid w:val="0016053B"/>
    <w:rsid w:val="001605D3"/>
    <w:rsid w:val="00160678"/>
    <w:rsid w:val="001606EF"/>
    <w:rsid w:val="001608E8"/>
    <w:rsid w:val="00160FED"/>
    <w:rsid w:val="00161039"/>
    <w:rsid w:val="0016133B"/>
    <w:rsid w:val="00161501"/>
    <w:rsid w:val="00161542"/>
    <w:rsid w:val="001618AE"/>
    <w:rsid w:val="00161BD1"/>
    <w:rsid w:val="00161F2C"/>
    <w:rsid w:val="001627D6"/>
    <w:rsid w:val="00162871"/>
    <w:rsid w:val="00162920"/>
    <w:rsid w:val="001629D3"/>
    <w:rsid w:val="00163371"/>
    <w:rsid w:val="00163514"/>
    <w:rsid w:val="001639A1"/>
    <w:rsid w:val="00163A65"/>
    <w:rsid w:val="00163BF4"/>
    <w:rsid w:val="001644DB"/>
    <w:rsid w:val="00164EC3"/>
    <w:rsid w:val="001651A2"/>
    <w:rsid w:val="0016581B"/>
    <w:rsid w:val="00165896"/>
    <w:rsid w:val="001668DA"/>
    <w:rsid w:val="00166970"/>
    <w:rsid w:val="00166D5A"/>
    <w:rsid w:val="00166DDF"/>
    <w:rsid w:val="00167172"/>
    <w:rsid w:val="00167222"/>
    <w:rsid w:val="0016727C"/>
    <w:rsid w:val="00167469"/>
    <w:rsid w:val="00170170"/>
    <w:rsid w:val="00170713"/>
    <w:rsid w:val="0017093E"/>
    <w:rsid w:val="00170C5C"/>
    <w:rsid w:val="00170F49"/>
    <w:rsid w:val="0017169F"/>
    <w:rsid w:val="00171EB5"/>
    <w:rsid w:val="00171F7E"/>
    <w:rsid w:val="001724C9"/>
    <w:rsid w:val="0017253C"/>
    <w:rsid w:val="001725AB"/>
    <w:rsid w:val="00172895"/>
    <w:rsid w:val="00172964"/>
    <w:rsid w:val="00172AF3"/>
    <w:rsid w:val="00172D88"/>
    <w:rsid w:val="001730A4"/>
    <w:rsid w:val="001733D8"/>
    <w:rsid w:val="0017350E"/>
    <w:rsid w:val="00173545"/>
    <w:rsid w:val="00173974"/>
    <w:rsid w:val="0017445B"/>
    <w:rsid w:val="00175442"/>
    <w:rsid w:val="00176001"/>
    <w:rsid w:val="00176A45"/>
    <w:rsid w:val="00176AE0"/>
    <w:rsid w:val="00176ECC"/>
    <w:rsid w:val="0018069E"/>
    <w:rsid w:val="001808A2"/>
    <w:rsid w:val="00180A67"/>
    <w:rsid w:val="00180BF3"/>
    <w:rsid w:val="00181367"/>
    <w:rsid w:val="00181384"/>
    <w:rsid w:val="0018160E"/>
    <w:rsid w:val="00181DE8"/>
    <w:rsid w:val="001826FD"/>
    <w:rsid w:val="00182D14"/>
    <w:rsid w:val="00183599"/>
    <w:rsid w:val="00183A9C"/>
    <w:rsid w:val="00183B87"/>
    <w:rsid w:val="00183BCC"/>
    <w:rsid w:val="00183C3F"/>
    <w:rsid w:val="001840C4"/>
    <w:rsid w:val="00184201"/>
    <w:rsid w:val="00184356"/>
    <w:rsid w:val="00185357"/>
    <w:rsid w:val="0018563A"/>
    <w:rsid w:val="001857AF"/>
    <w:rsid w:val="00185B19"/>
    <w:rsid w:val="00185D21"/>
    <w:rsid w:val="00185E7E"/>
    <w:rsid w:val="0018670F"/>
    <w:rsid w:val="00186A78"/>
    <w:rsid w:val="00187342"/>
    <w:rsid w:val="00187C7C"/>
    <w:rsid w:val="00187CEB"/>
    <w:rsid w:val="00187F40"/>
    <w:rsid w:val="00190010"/>
    <w:rsid w:val="0019013A"/>
    <w:rsid w:val="001901F5"/>
    <w:rsid w:val="0019070A"/>
    <w:rsid w:val="00190870"/>
    <w:rsid w:val="00190A9A"/>
    <w:rsid w:val="00190E07"/>
    <w:rsid w:val="00190E4F"/>
    <w:rsid w:val="001910F8"/>
    <w:rsid w:val="0019135E"/>
    <w:rsid w:val="00191DF2"/>
    <w:rsid w:val="00191EC7"/>
    <w:rsid w:val="001920E2"/>
    <w:rsid w:val="0019216C"/>
    <w:rsid w:val="00192224"/>
    <w:rsid w:val="0019344D"/>
    <w:rsid w:val="00193B16"/>
    <w:rsid w:val="00194B37"/>
    <w:rsid w:val="001950B0"/>
    <w:rsid w:val="00195416"/>
    <w:rsid w:val="00195C3E"/>
    <w:rsid w:val="00195D49"/>
    <w:rsid w:val="00196188"/>
    <w:rsid w:val="001964E7"/>
    <w:rsid w:val="00196785"/>
    <w:rsid w:val="001972ED"/>
    <w:rsid w:val="001975DD"/>
    <w:rsid w:val="001976EC"/>
    <w:rsid w:val="00197CF5"/>
    <w:rsid w:val="00197D4B"/>
    <w:rsid w:val="00197D78"/>
    <w:rsid w:val="001A0112"/>
    <w:rsid w:val="001A0271"/>
    <w:rsid w:val="001A09FB"/>
    <w:rsid w:val="001A1AD0"/>
    <w:rsid w:val="001A2063"/>
    <w:rsid w:val="001A27B3"/>
    <w:rsid w:val="001A2BA9"/>
    <w:rsid w:val="001A2C2B"/>
    <w:rsid w:val="001A2D96"/>
    <w:rsid w:val="001A2FF6"/>
    <w:rsid w:val="001A3CF2"/>
    <w:rsid w:val="001A4181"/>
    <w:rsid w:val="001A4C71"/>
    <w:rsid w:val="001A530C"/>
    <w:rsid w:val="001A5448"/>
    <w:rsid w:val="001A5554"/>
    <w:rsid w:val="001A5AF4"/>
    <w:rsid w:val="001A5D6C"/>
    <w:rsid w:val="001A5E20"/>
    <w:rsid w:val="001A5FF4"/>
    <w:rsid w:val="001A621E"/>
    <w:rsid w:val="001A67EE"/>
    <w:rsid w:val="001A6D22"/>
    <w:rsid w:val="001A6E0A"/>
    <w:rsid w:val="001A7576"/>
    <w:rsid w:val="001A787A"/>
    <w:rsid w:val="001A7C27"/>
    <w:rsid w:val="001B0050"/>
    <w:rsid w:val="001B0188"/>
    <w:rsid w:val="001B01B9"/>
    <w:rsid w:val="001B04C2"/>
    <w:rsid w:val="001B0573"/>
    <w:rsid w:val="001B05D9"/>
    <w:rsid w:val="001B07DA"/>
    <w:rsid w:val="001B0B1B"/>
    <w:rsid w:val="001B0B29"/>
    <w:rsid w:val="001B0BF5"/>
    <w:rsid w:val="001B100E"/>
    <w:rsid w:val="001B10A2"/>
    <w:rsid w:val="001B11B4"/>
    <w:rsid w:val="001B12E2"/>
    <w:rsid w:val="001B1B9A"/>
    <w:rsid w:val="001B1BE6"/>
    <w:rsid w:val="001B1DEE"/>
    <w:rsid w:val="001B1ED9"/>
    <w:rsid w:val="001B236E"/>
    <w:rsid w:val="001B24FF"/>
    <w:rsid w:val="001B280D"/>
    <w:rsid w:val="001B2B6D"/>
    <w:rsid w:val="001B2C70"/>
    <w:rsid w:val="001B3330"/>
    <w:rsid w:val="001B335D"/>
    <w:rsid w:val="001B37AB"/>
    <w:rsid w:val="001B3A0A"/>
    <w:rsid w:val="001B3BAD"/>
    <w:rsid w:val="001B4BC8"/>
    <w:rsid w:val="001B4E48"/>
    <w:rsid w:val="001B4F8D"/>
    <w:rsid w:val="001B4FB9"/>
    <w:rsid w:val="001B515E"/>
    <w:rsid w:val="001B5418"/>
    <w:rsid w:val="001B5A8F"/>
    <w:rsid w:val="001B5AAC"/>
    <w:rsid w:val="001B6040"/>
    <w:rsid w:val="001B616E"/>
    <w:rsid w:val="001B678B"/>
    <w:rsid w:val="001B6990"/>
    <w:rsid w:val="001B69E8"/>
    <w:rsid w:val="001B6D98"/>
    <w:rsid w:val="001B74DE"/>
    <w:rsid w:val="001B7DDD"/>
    <w:rsid w:val="001C0400"/>
    <w:rsid w:val="001C0802"/>
    <w:rsid w:val="001C0D92"/>
    <w:rsid w:val="001C1394"/>
    <w:rsid w:val="001C193C"/>
    <w:rsid w:val="001C196D"/>
    <w:rsid w:val="001C1DD9"/>
    <w:rsid w:val="001C1E44"/>
    <w:rsid w:val="001C2AB6"/>
    <w:rsid w:val="001C2FF9"/>
    <w:rsid w:val="001C303B"/>
    <w:rsid w:val="001C3328"/>
    <w:rsid w:val="001C3501"/>
    <w:rsid w:val="001C36E3"/>
    <w:rsid w:val="001C397E"/>
    <w:rsid w:val="001C3C34"/>
    <w:rsid w:val="001C3C3D"/>
    <w:rsid w:val="001C4042"/>
    <w:rsid w:val="001C40E6"/>
    <w:rsid w:val="001C435D"/>
    <w:rsid w:val="001C4AE0"/>
    <w:rsid w:val="001C52C6"/>
    <w:rsid w:val="001C5653"/>
    <w:rsid w:val="001C58E9"/>
    <w:rsid w:val="001C5B4E"/>
    <w:rsid w:val="001C6E7B"/>
    <w:rsid w:val="001C6EF0"/>
    <w:rsid w:val="001C7202"/>
    <w:rsid w:val="001C7CFB"/>
    <w:rsid w:val="001D04F1"/>
    <w:rsid w:val="001D05B6"/>
    <w:rsid w:val="001D05C4"/>
    <w:rsid w:val="001D05F2"/>
    <w:rsid w:val="001D072C"/>
    <w:rsid w:val="001D0999"/>
    <w:rsid w:val="001D0AF4"/>
    <w:rsid w:val="001D0D58"/>
    <w:rsid w:val="001D175A"/>
    <w:rsid w:val="001D183B"/>
    <w:rsid w:val="001D19C9"/>
    <w:rsid w:val="001D21C6"/>
    <w:rsid w:val="001D21ED"/>
    <w:rsid w:val="001D2B0C"/>
    <w:rsid w:val="001D30D3"/>
    <w:rsid w:val="001D3239"/>
    <w:rsid w:val="001D338A"/>
    <w:rsid w:val="001D33BD"/>
    <w:rsid w:val="001D34F0"/>
    <w:rsid w:val="001D398C"/>
    <w:rsid w:val="001D3AA2"/>
    <w:rsid w:val="001D3BA3"/>
    <w:rsid w:val="001D445B"/>
    <w:rsid w:val="001D453F"/>
    <w:rsid w:val="001D4792"/>
    <w:rsid w:val="001D5090"/>
    <w:rsid w:val="001D50A9"/>
    <w:rsid w:val="001D5218"/>
    <w:rsid w:val="001D5343"/>
    <w:rsid w:val="001D5CF3"/>
    <w:rsid w:val="001D6108"/>
    <w:rsid w:val="001D64D7"/>
    <w:rsid w:val="001D65B1"/>
    <w:rsid w:val="001D6B0E"/>
    <w:rsid w:val="001D6F0C"/>
    <w:rsid w:val="001D6F8D"/>
    <w:rsid w:val="001D6F8F"/>
    <w:rsid w:val="001D7B1D"/>
    <w:rsid w:val="001D7B20"/>
    <w:rsid w:val="001D7B3E"/>
    <w:rsid w:val="001D7E52"/>
    <w:rsid w:val="001E01CD"/>
    <w:rsid w:val="001E0532"/>
    <w:rsid w:val="001E06E0"/>
    <w:rsid w:val="001E1246"/>
    <w:rsid w:val="001E1303"/>
    <w:rsid w:val="001E15D5"/>
    <w:rsid w:val="001E1899"/>
    <w:rsid w:val="001E1C8E"/>
    <w:rsid w:val="001E253D"/>
    <w:rsid w:val="001E26F8"/>
    <w:rsid w:val="001E2888"/>
    <w:rsid w:val="001E298A"/>
    <w:rsid w:val="001E3AD9"/>
    <w:rsid w:val="001E3CFC"/>
    <w:rsid w:val="001E4610"/>
    <w:rsid w:val="001E496F"/>
    <w:rsid w:val="001E4977"/>
    <w:rsid w:val="001E4C5E"/>
    <w:rsid w:val="001E5275"/>
    <w:rsid w:val="001E5A25"/>
    <w:rsid w:val="001E5B88"/>
    <w:rsid w:val="001E5BBA"/>
    <w:rsid w:val="001E5C40"/>
    <w:rsid w:val="001E5E8B"/>
    <w:rsid w:val="001E6335"/>
    <w:rsid w:val="001E63E7"/>
    <w:rsid w:val="001E6431"/>
    <w:rsid w:val="001E67E0"/>
    <w:rsid w:val="001E6E30"/>
    <w:rsid w:val="001E6FE5"/>
    <w:rsid w:val="001E7080"/>
    <w:rsid w:val="001F04F3"/>
    <w:rsid w:val="001F0504"/>
    <w:rsid w:val="001F07BA"/>
    <w:rsid w:val="001F09EA"/>
    <w:rsid w:val="001F10AB"/>
    <w:rsid w:val="001F123E"/>
    <w:rsid w:val="001F14A9"/>
    <w:rsid w:val="001F1722"/>
    <w:rsid w:val="001F176B"/>
    <w:rsid w:val="001F2698"/>
    <w:rsid w:val="001F2E27"/>
    <w:rsid w:val="001F31E8"/>
    <w:rsid w:val="001F35E7"/>
    <w:rsid w:val="001F39B1"/>
    <w:rsid w:val="001F3A57"/>
    <w:rsid w:val="001F46C5"/>
    <w:rsid w:val="001F4826"/>
    <w:rsid w:val="001F48B3"/>
    <w:rsid w:val="001F4BB6"/>
    <w:rsid w:val="001F4C3D"/>
    <w:rsid w:val="001F5404"/>
    <w:rsid w:val="001F5575"/>
    <w:rsid w:val="001F58A3"/>
    <w:rsid w:val="001F5ACB"/>
    <w:rsid w:val="001F5E12"/>
    <w:rsid w:val="001F5E89"/>
    <w:rsid w:val="001F61DA"/>
    <w:rsid w:val="001F661F"/>
    <w:rsid w:val="001F66C5"/>
    <w:rsid w:val="001F76C4"/>
    <w:rsid w:val="001F78BB"/>
    <w:rsid w:val="0020023F"/>
    <w:rsid w:val="00200306"/>
    <w:rsid w:val="00200A0E"/>
    <w:rsid w:val="00200A59"/>
    <w:rsid w:val="00200DA6"/>
    <w:rsid w:val="00200EC7"/>
    <w:rsid w:val="00200F3D"/>
    <w:rsid w:val="00200FD7"/>
    <w:rsid w:val="002015AF"/>
    <w:rsid w:val="002016F0"/>
    <w:rsid w:val="0020193C"/>
    <w:rsid w:val="00201B44"/>
    <w:rsid w:val="002020F9"/>
    <w:rsid w:val="0020223A"/>
    <w:rsid w:val="002024F4"/>
    <w:rsid w:val="002027F1"/>
    <w:rsid w:val="0020289A"/>
    <w:rsid w:val="002028C2"/>
    <w:rsid w:val="00202FDB"/>
    <w:rsid w:val="002039EF"/>
    <w:rsid w:val="00203A71"/>
    <w:rsid w:val="00203BED"/>
    <w:rsid w:val="00203F02"/>
    <w:rsid w:val="002040EA"/>
    <w:rsid w:val="0020449D"/>
    <w:rsid w:val="00205DA1"/>
    <w:rsid w:val="0020603E"/>
    <w:rsid w:val="00206304"/>
    <w:rsid w:val="00206539"/>
    <w:rsid w:val="002067AB"/>
    <w:rsid w:val="0020697A"/>
    <w:rsid w:val="00207406"/>
    <w:rsid w:val="00207417"/>
    <w:rsid w:val="0020791A"/>
    <w:rsid w:val="00207B34"/>
    <w:rsid w:val="00210278"/>
    <w:rsid w:val="00210706"/>
    <w:rsid w:val="00210802"/>
    <w:rsid w:val="0021086D"/>
    <w:rsid w:val="00210E1C"/>
    <w:rsid w:val="00210EE8"/>
    <w:rsid w:val="00211066"/>
    <w:rsid w:val="0021122A"/>
    <w:rsid w:val="002118FB"/>
    <w:rsid w:val="00211B32"/>
    <w:rsid w:val="00211D22"/>
    <w:rsid w:val="00212321"/>
    <w:rsid w:val="00212DCE"/>
    <w:rsid w:val="002133CD"/>
    <w:rsid w:val="0021341C"/>
    <w:rsid w:val="0021342B"/>
    <w:rsid w:val="00213478"/>
    <w:rsid w:val="0021363B"/>
    <w:rsid w:val="00213720"/>
    <w:rsid w:val="00213AF8"/>
    <w:rsid w:val="0021427F"/>
    <w:rsid w:val="002142EC"/>
    <w:rsid w:val="002146C8"/>
    <w:rsid w:val="00214B57"/>
    <w:rsid w:val="002150EB"/>
    <w:rsid w:val="0021516E"/>
    <w:rsid w:val="00215827"/>
    <w:rsid w:val="002158C9"/>
    <w:rsid w:val="002159E5"/>
    <w:rsid w:val="00215ABA"/>
    <w:rsid w:val="00216278"/>
    <w:rsid w:val="002167D8"/>
    <w:rsid w:val="00216DD4"/>
    <w:rsid w:val="00217360"/>
    <w:rsid w:val="0021755C"/>
    <w:rsid w:val="002201D0"/>
    <w:rsid w:val="00220B0A"/>
    <w:rsid w:val="002213C7"/>
    <w:rsid w:val="0022254C"/>
    <w:rsid w:val="00222A8C"/>
    <w:rsid w:val="0022366B"/>
    <w:rsid w:val="0022369F"/>
    <w:rsid w:val="002236EA"/>
    <w:rsid w:val="00223A7A"/>
    <w:rsid w:val="00223ABF"/>
    <w:rsid w:val="00223B6B"/>
    <w:rsid w:val="00223CD8"/>
    <w:rsid w:val="00223FAC"/>
    <w:rsid w:val="00223FD9"/>
    <w:rsid w:val="002240F2"/>
    <w:rsid w:val="002241A8"/>
    <w:rsid w:val="00224204"/>
    <w:rsid w:val="002242BB"/>
    <w:rsid w:val="002244C6"/>
    <w:rsid w:val="002249F2"/>
    <w:rsid w:val="00224C32"/>
    <w:rsid w:val="00224F25"/>
    <w:rsid w:val="00224FDF"/>
    <w:rsid w:val="00225345"/>
    <w:rsid w:val="002255F4"/>
    <w:rsid w:val="00225698"/>
    <w:rsid w:val="00225878"/>
    <w:rsid w:val="00225F22"/>
    <w:rsid w:val="00226158"/>
    <w:rsid w:val="00226409"/>
    <w:rsid w:val="00226A1F"/>
    <w:rsid w:val="00226CB6"/>
    <w:rsid w:val="00226D4C"/>
    <w:rsid w:val="00226DC7"/>
    <w:rsid w:val="00226FFA"/>
    <w:rsid w:val="00227534"/>
    <w:rsid w:val="00227627"/>
    <w:rsid w:val="0022787F"/>
    <w:rsid w:val="00231419"/>
    <w:rsid w:val="00231509"/>
    <w:rsid w:val="00231872"/>
    <w:rsid w:val="00231A93"/>
    <w:rsid w:val="00231B68"/>
    <w:rsid w:val="00231ED8"/>
    <w:rsid w:val="0023212D"/>
    <w:rsid w:val="00232149"/>
    <w:rsid w:val="002324C3"/>
    <w:rsid w:val="00232583"/>
    <w:rsid w:val="00232BA6"/>
    <w:rsid w:val="00232BFF"/>
    <w:rsid w:val="00232C55"/>
    <w:rsid w:val="00232CCA"/>
    <w:rsid w:val="00232EED"/>
    <w:rsid w:val="00232FBA"/>
    <w:rsid w:val="00233A7A"/>
    <w:rsid w:val="00233DBE"/>
    <w:rsid w:val="002343A3"/>
    <w:rsid w:val="0023461C"/>
    <w:rsid w:val="00234B0A"/>
    <w:rsid w:val="00234D45"/>
    <w:rsid w:val="00234D7F"/>
    <w:rsid w:val="00234F16"/>
    <w:rsid w:val="0023503D"/>
    <w:rsid w:val="002353FD"/>
    <w:rsid w:val="0023574A"/>
    <w:rsid w:val="0023593D"/>
    <w:rsid w:val="002360E0"/>
    <w:rsid w:val="0023614D"/>
    <w:rsid w:val="002368CB"/>
    <w:rsid w:val="00236A29"/>
    <w:rsid w:val="002374E0"/>
    <w:rsid w:val="0023795D"/>
    <w:rsid w:val="00237BC0"/>
    <w:rsid w:val="00237BC6"/>
    <w:rsid w:val="00237BE1"/>
    <w:rsid w:val="0024065F"/>
    <w:rsid w:val="002407EF"/>
    <w:rsid w:val="00240899"/>
    <w:rsid w:val="00240B0A"/>
    <w:rsid w:val="00240C1B"/>
    <w:rsid w:val="00240EC5"/>
    <w:rsid w:val="00240F0B"/>
    <w:rsid w:val="002410A4"/>
    <w:rsid w:val="00241291"/>
    <w:rsid w:val="00241832"/>
    <w:rsid w:val="002418FC"/>
    <w:rsid w:val="00241D12"/>
    <w:rsid w:val="00241F8C"/>
    <w:rsid w:val="0024262F"/>
    <w:rsid w:val="002428EF"/>
    <w:rsid w:val="00242FC9"/>
    <w:rsid w:val="00243824"/>
    <w:rsid w:val="00243AC5"/>
    <w:rsid w:val="00243BBB"/>
    <w:rsid w:val="00243F8E"/>
    <w:rsid w:val="00243F97"/>
    <w:rsid w:val="00244597"/>
    <w:rsid w:val="00244D03"/>
    <w:rsid w:val="00244FC2"/>
    <w:rsid w:val="0024519E"/>
    <w:rsid w:val="00245286"/>
    <w:rsid w:val="00245571"/>
    <w:rsid w:val="002456CF"/>
    <w:rsid w:val="00245A39"/>
    <w:rsid w:val="00245E5E"/>
    <w:rsid w:val="00245EB1"/>
    <w:rsid w:val="00245FB7"/>
    <w:rsid w:val="0024636C"/>
    <w:rsid w:val="00246CAA"/>
    <w:rsid w:val="00246E7B"/>
    <w:rsid w:val="002474DE"/>
    <w:rsid w:val="002475E5"/>
    <w:rsid w:val="002479E1"/>
    <w:rsid w:val="00247C7C"/>
    <w:rsid w:val="00247D7A"/>
    <w:rsid w:val="00247E0D"/>
    <w:rsid w:val="00247F3B"/>
    <w:rsid w:val="002500C1"/>
    <w:rsid w:val="00250192"/>
    <w:rsid w:val="002501BC"/>
    <w:rsid w:val="00250503"/>
    <w:rsid w:val="002509EB"/>
    <w:rsid w:val="00250F2C"/>
    <w:rsid w:val="00251648"/>
    <w:rsid w:val="00251F88"/>
    <w:rsid w:val="00251FF8"/>
    <w:rsid w:val="002522D8"/>
    <w:rsid w:val="002528F6"/>
    <w:rsid w:val="00252A91"/>
    <w:rsid w:val="00252AD9"/>
    <w:rsid w:val="002535D6"/>
    <w:rsid w:val="002536AA"/>
    <w:rsid w:val="00253D56"/>
    <w:rsid w:val="002545FA"/>
    <w:rsid w:val="00254771"/>
    <w:rsid w:val="00254F7C"/>
    <w:rsid w:val="00255222"/>
    <w:rsid w:val="0025582F"/>
    <w:rsid w:val="00255D48"/>
    <w:rsid w:val="00255E8B"/>
    <w:rsid w:val="002562BC"/>
    <w:rsid w:val="0025640F"/>
    <w:rsid w:val="002564A1"/>
    <w:rsid w:val="002564E6"/>
    <w:rsid w:val="00256877"/>
    <w:rsid w:val="002577AF"/>
    <w:rsid w:val="00257A15"/>
    <w:rsid w:val="002600F0"/>
    <w:rsid w:val="002607DA"/>
    <w:rsid w:val="0026093B"/>
    <w:rsid w:val="00260B1D"/>
    <w:rsid w:val="00260D0D"/>
    <w:rsid w:val="00261011"/>
    <w:rsid w:val="0026104D"/>
    <w:rsid w:val="00261635"/>
    <w:rsid w:val="00262000"/>
    <w:rsid w:val="0026237D"/>
    <w:rsid w:val="00262659"/>
    <w:rsid w:val="002627E4"/>
    <w:rsid w:val="002628AA"/>
    <w:rsid w:val="002629D3"/>
    <w:rsid w:val="00262E62"/>
    <w:rsid w:val="00263388"/>
    <w:rsid w:val="00263487"/>
    <w:rsid w:val="00263818"/>
    <w:rsid w:val="00263CC1"/>
    <w:rsid w:val="00263D3C"/>
    <w:rsid w:val="00263DA5"/>
    <w:rsid w:val="0026426E"/>
    <w:rsid w:val="002643CD"/>
    <w:rsid w:val="0026480D"/>
    <w:rsid w:val="00264A4E"/>
    <w:rsid w:val="00264DA0"/>
    <w:rsid w:val="00264EAE"/>
    <w:rsid w:val="002651F0"/>
    <w:rsid w:val="002653C1"/>
    <w:rsid w:val="00265AC3"/>
    <w:rsid w:val="0026706C"/>
    <w:rsid w:val="00267071"/>
    <w:rsid w:val="0026707B"/>
    <w:rsid w:val="00267A03"/>
    <w:rsid w:val="00270504"/>
    <w:rsid w:val="002708DB"/>
    <w:rsid w:val="00270AB3"/>
    <w:rsid w:val="00270C34"/>
    <w:rsid w:val="002712B1"/>
    <w:rsid w:val="002713A7"/>
    <w:rsid w:val="00271427"/>
    <w:rsid w:val="00271834"/>
    <w:rsid w:val="00271FB9"/>
    <w:rsid w:val="00272489"/>
    <w:rsid w:val="002725BE"/>
    <w:rsid w:val="002726BD"/>
    <w:rsid w:val="002727CB"/>
    <w:rsid w:val="00272C82"/>
    <w:rsid w:val="00272FC1"/>
    <w:rsid w:val="00273096"/>
    <w:rsid w:val="00273193"/>
    <w:rsid w:val="0027327B"/>
    <w:rsid w:val="00273565"/>
    <w:rsid w:val="00273752"/>
    <w:rsid w:val="00273875"/>
    <w:rsid w:val="00273902"/>
    <w:rsid w:val="00273A31"/>
    <w:rsid w:val="00273B81"/>
    <w:rsid w:val="00273CA6"/>
    <w:rsid w:val="002742C5"/>
    <w:rsid w:val="002749DC"/>
    <w:rsid w:val="00274E22"/>
    <w:rsid w:val="00274E94"/>
    <w:rsid w:val="00275483"/>
    <w:rsid w:val="00275574"/>
    <w:rsid w:val="0027562A"/>
    <w:rsid w:val="00275A5B"/>
    <w:rsid w:val="00275C0C"/>
    <w:rsid w:val="00275C0D"/>
    <w:rsid w:val="00275E40"/>
    <w:rsid w:val="002761BE"/>
    <w:rsid w:val="00276B4C"/>
    <w:rsid w:val="00276D93"/>
    <w:rsid w:val="00276E60"/>
    <w:rsid w:val="00276FEA"/>
    <w:rsid w:val="002770FB"/>
    <w:rsid w:val="00277A78"/>
    <w:rsid w:val="00280492"/>
    <w:rsid w:val="0028053B"/>
    <w:rsid w:val="00280A6A"/>
    <w:rsid w:val="00280AE9"/>
    <w:rsid w:val="00280DD4"/>
    <w:rsid w:val="00280FE4"/>
    <w:rsid w:val="002810C8"/>
    <w:rsid w:val="0028135E"/>
    <w:rsid w:val="00281787"/>
    <w:rsid w:val="002823B2"/>
    <w:rsid w:val="00282593"/>
    <w:rsid w:val="00282DE3"/>
    <w:rsid w:val="00282ECF"/>
    <w:rsid w:val="00283065"/>
    <w:rsid w:val="0028346C"/>
    <w:rsid w:val="002834C9"/>
    <w:rsid w:val="002835D0"/>
    <w:rsid w:val="00283753"/>
    <w:rsid w:val="002839B7"/>
    <w:rsid w:val="00283A21"/>
    <w:rsid w:val="002844DC"/>
    <w:rsid w:val="002848FE"/>
    <w:rsid w:val="00284AD8"/>
    <w:rsid w:val="00284C07"/>
    <w:rsid w:val="00284C7D"/>
    <w:rsid w:val="0028546A"/>
    <w:rsid w:val="0028576D"/>
    <w:rsid w:val="002860A6"/>
    <w:rsid w:val="002861C2"/>
    <w:rsid w:val="0028628A"/>
    <w:rsid w:val="0028676E"/>
    <w:rsid w:val="0028697D"/>
    <w:rsid w:val="002874DB"/>
    <w:rsid w:val="002874E1"/>
    <w:rsid w:val="00287C38"/>
    <w:rsid w:val="00290B5A"/>
    <w:rsid w:val="00290CBD"/>
    <w:rsid w:val="00290D62"/>
    <w:rsid w:val="00290E1D"/>
    <w:rsid w:val="0029148E"/>
    <w:rsid w:val="00291634"/>
    <w:rsid w:val="00292184"/>
    <w:rsid w:val="002922A2"/>
    <w:rsid w:val="002922D7"/>
    <w:rsid w:val="002932F5"/>
    <w:rsid w:val="0029331B"/>
    <w:rsid w:val="00293503"/>
    <w:rsid w:val="00293660"/>
    <w:rsid w:val="00293824"/>
    <w:rsid w:val="0029393E"/>
    <w:rsid w:val="00293BF4"/>
    <w:rsid w:val="00293EE0"/>
    <w:rsid w:val="00293F85"/>
    <w:rsid w:val="00295252"/>
    <w:rsid w:val="0029537A"/>
    <w:rsid w:val="00295409"/>
    <w:rsid w:val="002963D5"/>
    <w:rsid w:val="00296720"/>
    <w:rsid w:val="002967F9"/>
    <w:rsid w:val="0029682F"/>
    <w:rsid w:val="00296B63"/>
    <w:rsid w:val="00297D03"/>
    <w:rsid w:val="002A0614"/>
    <w:rsid w:val="002A07EF"/>
    <w:rsid w:val="002A08E1"/>
    <w:rsid w:val="002A0905"/>
    <w:rsid w:val="002A0B83"/>
    <w:rsid w:val="002A0F61"/>
    <w:rsid w:val="002A11B2"/>
    <w:rsid w:val="002A13F3"/>
    <w:rsid w:val="002A1811"/>
    <w:rsid w:val="002A1A31"/>
    <w:rsid w:val="002A1A97"/>
    <w:rsid w:val="002A1C62"/>
    <w:rsid w:val="002A1DD6"/>
    <w:rsid w:val="002A1FA9"/>
    <w:rsid w:val="002A2776"/>
    <w:rsid w:val="002A32BA"/>
    <w:rsid w:val="002A33B9"/>
    <w:rsid w:val="002A3706"/>
    <w:rsid w:val="002A3A21"/>
    <w:rsid w:val="002A3ADF"/>
    <w:rsid w:val="002A49FD"/>
    <w:rsid w:val="002A4ABE"/>
    <w:rsid w:val="002A4D1D"/>
    <w:rsid w:val="002A4D47"/>
    <w:rsid w:val="002A4DB6"/>
    <w:rsid w:val="002A4DC3"/>
    <w:rsid w:val="002A4E57"/>
    <w:rsid w:val="002A567D"/>
    <w:rsid w:val="002A5A85"/>
    <w:rsid w:val="002A5AFA"/>
    <w:rsid w:val="002A65AB"/>
    <w:rsid w:val="002A6A59"/>
    <w:rsid w:val="002A6B05"/>
    <w:rsid w:val="002A72B4"/>
    <w:rsid w:val="002A7814"/>
    <w:rsid w:val="002A7973"/>
    <w:rsid w:val="002A7EB0"/>
    <w:rsid w:val="002B0035"/>
    <w:rsid w:val="002B0492"/>
    <w:rsid w:val="002B0587"/>
    <w:rsid w:val="002B0E2A"/>
    <w:rsid w:val="002B0E30"/>
    <w:rsid w:val="002B0E4D"/>
    <w:rsid w:val="002B0ED4"/>
    <w:rsid w:val="002B1053"/>
    <w:rsid w:val="002B1699"/>
    <w:rsid w:val="002B1C5B"/>
    <w:rsid w:val="002B1E50"/>
    <w:rsid w:val="002B2050"/>
    <w:rsid w:val="002B276D"/>
    <w:rsid w:val="002B2BFF"/>
    <w:rsid w:val="002B2DC3"/>
    <w:rsid w:val="002B2EDA"/>
    <w:rsid w:val="002B302E"/>
    <w:rsid w:val="002B3101"/>
    <w:rsid w:val="002B32DC"/>
    <w:rsid w:val="002B363E"/>
    <w:rsid w:val="002B37D3"/>
    <w:rsid w:val="002B3A65"/>
    <w:rsid w:val="002B3ABB"/>
    <w:rsid w:val="002B3B72"/>
    <w:rsid w:val="002B3E11"/>
    <w:rsid w:val="002B4240"/>
    <w:rsid w:val="002B4677"/>
    <w:rsid w:val="002B4B23"/>
    <w:rsid w:val="002B4E6D"/>
    <w:rsid w:val="002B5609"/>
    <w:rsid w:val="002B5C36"/>
    <w:rsid w:val="002B6034"/>
    <w:rsid w:val="002B611F"/>
    <w:rsid w:val="002B6564"/>
    <w:rsid w:val="002B69CF"/>
    <w:rsid w:val="002B6A49"/>
    <w:rsid w:val="002B6C2A"/>
    <w:rsid w:val="002B6C7A"/>
    <w:rsid w:val="002B7764"/>
    <w:rsid w:val="002B794A"/>
    <w:rsid w:val="002B7B5B"/>
    <w:rsid w:val="002B7DFE"/>
    <w:rsid w:val="002B7F74"/>
    <w:rsid w:val="002C0322"/>
    <w:rsid w:val="002C0FF4"/>
    <w:rsid w:val="002C1139"/>
    <w:rsid w:val="002C12DC"/>
    <w:rsid w:val="002C1413"/>
    <w:rsid w:val="002C1B86"/>
    <w:rsid w:val="002C2584"/>
    <w:rsid w:val="002C281E"/>
    <w:rsid w:val="002C28FB"/>
    <w:rsid w:val="002C2CBF"/>
    <w:rsid w:val="002C2CC4"/>
    <w:rsid w:val="002C3792"/>
    <w:rsid w:val="002C38A1"/>
    <w:rsid w:val="002C3AAA"/>
    <w:rsid w:val="002C3DE1"/>
    <w:rsid w:val="002C3DFA"/>
    <w:rsid w:val="002C3E36"/>
    <w:rsid w:val="002C4C7F"/>
    <w:rsid w:val="002C5263"/>
    <w:rsid w:val="002C528A"/>
    <w:rsid w:val="002C535D"/>
    <w:rsid w:val="002C5709"/>
    <w:rsid w:val="002C5EF2"/>
    <w:rsid w:val="002C69BF"/>
    <w:rsid w:val="002C6CCB"/>
    <w:rsid w:val="002C6DE7"/>
    <w:rsid w:val="002C6E20"/>
    <w:rsid w:val="002C6EAC"/>
    <w:rsid w:val="002C7020"/>
    <w:rsid w:val="002C74D7"/>
    <w:rsid w:val="002C7AB2"/>
    <w:rsid w:val="002D005C"/>
    <w:rsid w:val="002D00EE"/>
    <w:rsid w:val="002D05A8"/>
    <w:rsid w:val="002D0681"/>
    <w:rsid w:val="002D0804"/>
    <w:rsid w:val="002D0A60"/>
    <w:rsid w:val="002D0DFE"/>
    <w:rsid w:val="002D0E79"/>
    <w:rsid w:val="002D0E9F"/>
    <w:rsid w:val="002D1060"/>
    <w:rsid w:val="002D12A9"/>
    <w:rsid w:val="002D192E"/>
    <w:rsid w:val="002D19CD"/>
    <w:rsid w:val="002D1B6B"/>
    <w:rsid w:val="002D216E"/>
    <w:rsid w:val="002D21F9"/>
    <w:rsid w:val="002D22D2"/>
    <w:rsid w:val="002D2F5C"/>
    <w:rsid w:val="002D3451"/>
    <w:rsid w:val="002D353A"/>
    <w:rsid w:val="002D36F7"/>
    <w:rsid w:val="002D3DA5"/>
    <w:rsid w:val="002D3F5F"/>
    <w:rsid w:val="002D42D9"/>
    <w:rsid w:val="002D4597"/>
    <w:rsid w:val="002D526F"/>
    <w:rsid w:val="002D581D"/>
    <w:rsid w:val="002D5889"/>
    <w:rsid w:val="002D5F50"/>
    <w:rsid w:val="002D62B6"/>
    <w:rsid w:val="002D6446"/>
    <w:rsid w:val="002D6898"/>
    <w:rsid w:val="002D68E3"/>
    <w:rsid w:val="002D693F"/>
    <w:rsid w:val="002D6FCA"/>
    <w:rsid w:val="002D7181"/>
    <w:rsid w:val="002D752C"/>
    <w:rsid w:val="002D7F4B"/>
    <w:rsid w:val="002E02C2"/>
    <w:rsid w:val="002E0717"/>
    <w:rsid w:val="002E07FF"/>
    <w:rsid w:val="002E1308"/>
    <w:rsid w:val="002E1480"/>
    <w:rsid w:val="002E14C2"/>
    <w:rsid w:val="002E1538"/>
    <w:rsid w:val="002E1585"/>
    <w:rsid w:val="002E1D2B"/>
    <w:rsid w:val="002E1DA9"/>
    <w:rsid w:val="002E204F"/>
    <w:rsid w:val="002E213A"/>
    <w:rsid w:val="002E2639"/>
    <w:rsid w:val="002E278B"/>
    <w:rsid w:val="002E294A"/>
    <w:rsid w:val="002E38BF"/>
    <w:rsid w:val="002E3C78"/>
    <w:rsid w:val="002E3CED"/>
    <w:rsid w:val="002E4226"/>
    <w:rsid w:val="002E48E7"/>
    <w:rsid w:val="002E5164"/>
    <w:rsid w:val="002E5BCE"/>
    <w:rsid w:val="002E5D52"/>
    <w:rsid w:val="002E6622"/>
    <w:rsid w:val="002E6A04"/>
    <w:rsid w:val="002E6B24"/>
    <w:rsid w:val="002E7351"/>
    <w:rsid w:val="002E75D5"/>
    <w:rsid w:val="002E77CF"/>
    <w:rsid w:val="002E7979"/>
    <w:rsid w:val="002E7B6B"/>
    <w:rsid w:val="002E7F8C"/>
    <w:rsid w:val="002F0302"/>
    <w:rsid w:val="002F06C4"/>
    <w:rsid w:val="002F0EEA"/>
    <w:rsid w:val="002F0FE2"/>
    <w:rsid w:val="002F1B8E"/>
    <w:rsid w:val="002F1E61"/>
    <w:rsid w:val="002F2344"/>
    <w:rsid w:val="002F2384"/>
    <w:rsid w:val="002F2B7C"/>
    <w:rsid w:val="002F32F4"/>
    <w:rsid w:val="002F3556"/>
    <w:rsid w:val="002F3739"/>
    <w:rsid w:val="002F438D"/>
    <w:rsid w:val="002F4B8C"/>
    <w:rsid w:val="002F4E13"/>
    <w:rsid w:val="002F5756"/>
    <w:rsid w:val="002F58A2"/>
    <w:rsid w:val="002F5CD8"/>
    <w:rsid w:val="002F5FE1"/>
    <w:rsid w:val="002F662B"/>
    <w:rsid w:val="002F67FE"/>
    <w:rsid w:val="002F6A3C"/>
    <w:rsid w:val="002F6A7E"/>
    <w:rsid w:val="002F745D"/>
    <w:rsid w:val="002F7B3E"/>
    <w:rsid w:val="002F7CF7"/>
    <w:rsid w:val="002F7FE7"/>
    <w:rsid w:val="003005CA"/>
    <w:rsid w:val="0030073E"/>
    <w:rsid w:val="00300D09"/>
    <w:rsid w:val="00300D68"/>
    <w:rsid w:val="00300E66"/>
    <w:rsid w:val="00300F0E"/>
    <w:rsid w:val="00301077"/>
    <w:rsid w:val="003012B9"/>
    <w:rsid w:val="00301538"/>
    <w:rsid w:val="00301B25"/>
    <w:rsid w:val="00301B64"/>
    <w:rsid w:val="00301E23"/>
    <w:rsid w:val="00302083"/>
    <w:rsid w:val="003021A1"/>
    <w:rsid w:val="0030246D"/>
    <w:rsid w:val="00302801"/>
    <w:rsid w:val="00303740"/>
    <w:rsid w:val="0030387E"/>
    <w:rsid w:val="00303B44"/>
    <w:rsid w:val="00304323"/>
    <w:rsid w:val="0030477A"/>
    <w:rsid w:val="0030478B"/>
    <w:rsid w:val="00304BD2"/>
    <w:rsid w:val="00304D73"/>
    <w:rsid w:val="00304F92"/>
    <w:rsid w:val="00305002"/>
    <w:rsid w:val="0030528B"/>
    <w:rsid w:val="00305892"/>
    <w:rsid w:val="00305970"/>
    <w:rsid w:val="00305BA7"/>
    <w:rsid w:val="0030700F"/>
    <w:rsid w:val="0031013A"/>
    <w:rsid w:val="00310273"/>
    <w:rsid w:val="003102E4"/>
    <w:rsid w:val="00310862"/>
    <w:rsid w:val="00310C9C"/>
    <w:rsid w:val="00310CA4"/>
    <w:rsid w:val="00311133"/>
    <w:rsid w:val="003112A1"/>
    <w:rsid w:val="003114C9"/>
    <w:rsid w:val="00311C11"/>
    <w:rsid w:val="00311D11"/>
    <w:rsid w:val="00311D34"/>
    <w:rsid w:val="0031209F"/>
    <w:rsid w:val="00312971"/>
    <w:rsid w:val="00312F24"/>
    <w:rsid w:val="00313708"/>
    <w:rsid w:val="00313B97"/>
    <w:rsid w:val="00313C68"/>
    <w:rsid w:val="00313FAE"/>
    <w:rsid w:val="0031419F"/>
    <w:rsid w:val="003141F6"/>
    <w:rsid w:val="0031470E"/>
    <w:rsid w:val="00314B94"/>
    <w:rsid w:val="00314BE7"/>
    <w:rsid w:val="0031510B"/>
    <w:rsid w:val="003151A0"/>
    <w:rsid w:val="003153D8"/>
    <w:rsid w:val="003154C0"/>
    <w:rsid w:val="00316262"/>
    <w:rsid w:val="003175D7"/>
    <w:rsid w:val="00317CC7"/>
    <w:rsid w:val="00317DD3"/>
    <w:rsid w:val="00317E81"/>
    <w:rsid w:val="00320AE5"/>
    <w:rsid w:val="00320CDA"/>
    <w:rsid w:val="003213E3"/>
    <w:rsid w:val="00321B4A"/>
    <w:rsid w:val="00321C60"/>
    <w:rsid w:val="00322288"/>
    <w:rsid w:val="003223F1"/>
    <w:rsid w:val="003229C0"/>
    <w:rsid w:val="00322A75"/>
    <w:rsid w:val="00322D88"/>
    <w:rsid w:val="003234CA"/>
    <w:rsid w:val="00323A4D"/>
    <w:rsid w:val="00323AC0"/>
    <w:rsid w:val="00324338"/>
    <w:rsid w:val="0032438F"/>
    <w:rsid w:val="00324712"/>
    <w:rsid w:val="0032485F"/>
    <w:rsid w:val="003248F5"/>
    <w:rsid w:val="00324BF4"/>
    <w:rsid w:val="00324C59"/>
    <w:rsid w:val="00324F05"/>
    <w:rsid w:val="00324F90"/>
    <w:rsid w:val="00325039"/>
    <w:rsid w:val="003250D2"/>
    <w:rsid w:val="00325498"/>
    <w:rsid w:val="00325838"/>
    <w:rsid w:val="00325B0F"/>
    <w:rsid w:val="00325B95"/>
    <w:rsid w:val="00326421"/>
    <w:rsid w:val="003270DD"/>
    <w:rsid w:val="0032753C"/>
    <w:rsid w:val="003275A0"/>
    <w:rsid w:val="003279DF"/>
    <w:rsid w:val="003300E7"/>
    <w:rsid w:val="00330506"/>
    <w:rsid w:val="003305ED"/>
    <w:rsid w:val="00330E1F"/>
    <w:rsid w:val="00331179"/>
    <w:rsid w:val="003311E9"/>
    <w:rsid w:val="003315F7"/>
    <w:rsid w:val="003319EA"/>
    <w:rsid w:val="00331D26"/>
    <w:rsid w:val="00331D83"/>
    <w:rsid w:val="00331F6A"/>
    <w:rsid w:val="0033263E"/>
    <w:rsid w:val="003327E5"/>
    <w:rsid w:val="00332A00"/>
    <w:rsid w:val="00332A04"/>
    <w:rsid w:val="00332AF3"/>
    <w:rsid w:val="00332C52"/>
    <w:rsid w:val="00333284"/>
    <w:rsid w:val="00333C7B"/>
    <w:rsid w:val="00334014"/>
    <w:rsid w:val="003344F3"/>
    <w:rsid w:val="00334A0C"/>
    <w:rsid w:val="00334A5E"/>
    <w:rsid w:val="00334A87"/>
    <w:rsid w:val="00334E67"/>
    <w:rsid w:val="00335320"/>
    <w:rsid w:val="0033544A"/>
    <w:rsid w:val="0033579D"/>
    <w:rsid w:val="003358D3"/>
    <w:rsid w:val="00335C70"/>
    <w:rsid w:val="00335E22"/>
    <w:rsid w:val="00335E47"/>
    <w:rsid w:val="0033642F"/>
    <w:rsid w:val="003365EA"/>
    <w:rsid w:val="00336942"/>
    <w:rsid w:val="00336E02"/>
    <w:rsid w:val="003374D5"/>
    <w:rsid w:val="00337897"/>
    <w:rsid w:val="00337BC3"/>
    <w:rsid w:val="00337E0F"/>
    <w:rsid w:val="00337F2B"/>
    <w:rsid w:val="0034032E"/>
    <w:rsid w:val="003405CD"/>
    <w:rsid w:val="003407F8"/>
    <w:rsid w:val="00340B1F"/>
    <w:rsid w:val="00341092"/>
    <w:rsid w:val="00341141"/>
    <w:rsid w:val="0034219D"/>
    <w:rsid w:val="00342360"/>
    <w:rsid w:val="003426B7"/>
    <w:rsid w:val="00342A09"/>
    <w:rsid w:val="00342B35"/>
    <w:rsid w:val="00342BE9"/>
    <w:rsid w:val="00342C5A"/>
    <w:rsid w:val="00342F14"/>
    <w:rsid w:val="0034387D"/>
    <w:rsid w:val="00343B15"/>
    <w:rsid w:val="0034483C"/>
    <w:rsid w:val="00344D91"/>
    <w:rsid w:val="003450DB"/>
    <w:rsid w:val="003456A8"/>
    <w:rsid w:val="00345DAF"/>
    <w:rsid w:val="00346217"/>
    <w:rsid w:val="003470A3"/>
    <w:rsid w:val="003470C2"/>
    <w:rsid w:val="003473D4"/>
    <w:rsid w:val="00347883"/>
    <w:rsid w:val="00347CE0"/>
    <w:rsid w:val="00350041"/>
    <w:rsid w:val="0035081E"/>
    <w:rsid w:val="00350C2C"/>
    <w:rsid w:val="00350CDD"/>
    <w:rsid w:val="00350D82"/>
    <w:rsid w:val="00350F00"/>
    <w:rsid w:val="003510D6"/>
    <w:rsid w:val="003515D3"/>
    <w:rsid w:val="0035163F"/>
    <w:rsid w:val="00351698"/>
    <w:rsid w:val="00351AA9"/>
    <w:rsid w:val="0035237D"/>
    <w:rsid w:val="003533AE"/>
    <w:rsid w:val="00353482"/>
    <w:rsid w:val="00353523"/>
    <w:rsid w:val="00353741"/>
    <w:rsid w:val="00353768"/>
    <w:rsid w:val="00353A60"/>
    <w:rsid w:val="00353AD9"/>
    <w:rsid w:val="00353EB7"/>
    <w:rsid w:val="003549D8"/>
    <w:rsid w:val="00354D56"/>
    <w:rsid w:val="00354E3B"/>
    <w:rsid w:val="0035550B"/>
    <w:rsid w:val="00355B14"/>
    <w:rsid w:val="003567C8"/>
    <w:rsid w:val="00356CD0"/>
    <w:rsid w:val="0035797E"/>
    <w:rsid w:val="003579B8"/>
    <w:rsid w:val="00357AEE"/>
    <w:rsid w:val="00357C85"/>
    <w:rsid w:val="00357FD9"/>
    <w:rsid w:val="00360021"/>
    <w:rsid w:val="003601A3"/>
    <w:rsid w:val="00360306"/>
    <w:rsid w:val="00360342"/>
    <w:rsid w:val="003603CF"/>
    <w:rsid w:val="00360905"/>
    <w:rsid w:val="00360E46"/>
    <w:rsid w:val="00360EAE"/>
    <w:rsid w:val="00360EC9"/>
    <w:rsid w:val="00360FA4"/>
    <w:rsid w:val="00361692"/>
    <w:rsid w:val="00361894"/>
    <w:rsid w:val="00361DEE"/>
    <w:rsid w:val="00361FDC"/>
    <w:rsid w:val="003622D6"/>
    <w:rsid w:val="00362502"/>
    <w:rsid w:val="00362553"/>
    <w:rsid w:val="003627D0"/>
    <w:rsid w:val="003628B0"/>
    <w:rsid w:val="003629FC"/>
    <w:rsid w:val="00362ADE"/>
    <w:rsid w:val="00362C3A"/>
    <w:rsid w:val="003630BB"/>
    <w:rsid w:val="003630FC"/>
    <w:rsid w:val="00363117"/>
    <w:rsid w:val="00363466"/>
    <w:rsid w:val="00363532"/>
    <w:rsid w:val="003637A8"/>
    <w:rsid w:val="003640D7"/>
    <w:rsid w:val="003645FA"/>
    <w:rsid w:val="003653B6"/>
    <w:rsid w:val="00365B61"/>
    <w:rsid w:val="00366562"/>
    <w:rsid w:val="00366B6E"/>
    <w:rsid w:val="003671E9"/>
    <w:rsid w:val="003701FE"/>
    <w:rsid w:val="00370366"/>
    <w:rsid w:val="003704B9"/>
    <w:rsid w:val="00370AB4"/>
    <w:rsid w:val="00370AE9"/>
    <w:rsid w:val="00370D9F"/>
    <w:rsid w:val="00370EE1"/>
    <w:rsid w:val="003712C4"/>
    <w:rsid w:val="0037137E"/>
    <w:rsid w:val="00371EFA"/>
    <w:rsid w:val="00371F07"/>
    <w:rsid w:val="00372BA2"/>
    <w:rsid w:val="00372D60"/>
    <w:rsid w:val="00372FBC"/>
    <w:rsid w:val="003733E8"/>
    <w:rsid w:val="00373ABC"/>
    <w:rsid w:val="00373BF2"/>
    <w:rsid w:val="00373DCE"/>
    <w:rsid w:val="0037422F"/>
    <w:rsid w:val="0037483B"/>
    <w:rsid w:val="003749B6"/>
    <w:rsid w:val="00374AB6"/>
    <w:rsid w:val="00374ACE"/>
    <w:rsid w:val="00374DB2"/>
    <w:rsid w:val="00374FB4"/>
    <w:rsid w:val="00375008"/>
    <w:rsid w:val="0037552E"/>
    <w:rsid w:val="003757AA"/>
    <w:rsid w:val="003759A1"/>
    <w:rsid w:val="00375A8D"/>
    <w:rsid w:val="00376345"/>
    <w:rsid w:val="003768F3"/>
    <w:rsid w:val="00376C4E"/>
    <w:rsid w:val="00376EDB"/>
    <w:rsid w:val="003770B9"/>
    <w:rsid w:val="003771F7"/>
    <w:rsid w:val="0037724B"/>
    <w:rsid w:val="0037748F"/>
    <w:rsid w:val="003774B4"/>
    <w:rsid w:val="00377825"/>
    <w:rsid w:val="0038014B"/>
    <w:rsid w:val="00380D84"/>
    <w:rsid w:val="00381166"/>
    <w:rsid w:val="00382366"/>
    <w:rsid w:val="003823AD"/>
    <w:rsid w:val="003826B5"/>
    <w:rsid w:val="003829D7"/>
    <w:rsid w:val="00382B8D"/>
    <w:rsid w:val="003831E6"/>
    <w:rsid w:val="003833B2"/>
    <w:rsid w:val="003834E4"/>
    <w:rsid w:val="00383578"/>
    <w:rsid w:val="00383ACF"/>
    <w:rsid w:val="003844DA"/>
    <w:rsid w:val="00384BAA"/>
    <w:rsid w:val="00384BE5"/>
    <w:rsid w:val="00384CF2"/>
    <w:rsid w:val="0038582E"/>
    <w:rsid w:val="00385D2E"/>
    <w:rsid w:val="00385D67"/>
    <w:rsid w:val="00385EB5"/>
    <w:rsid w:val="003862CC"/>
    <w:rsid w:val="003863DC"/>
    <w:rsid w:val="003864F7"/>
    <w:rsid w:val="00386F1F"/>
    <w:rsid w:val="00386F63"/>
    <w:rsid w:val="0038707F"/>
    <w:rsid w:val="0039066B"/>
    <w:rsid w:val="0039070C"/>
    <w:rsid w:val="00390801"/>
    <w:rsid w:val="00390A37"/>
    <w:rsid w:val="00390E37"/>
    <w:rsid w:val="003910B5"/>
    <w:rsid w:val="0039118F"/>
    <w:rsid w:val="003915BB"/>
    <w:rsid w:val="003918CF"/>
    <w:rsid w:val="00391CAE"/>
    <w:rsid w:val="00392114"/>
    <w:rsid w:val="00392177"/>
    <w:rsid w:val="003921C4"/>
    <w:rsid w:val="003928F5"/>
    <w:rsid w:val="00392C29"/>
    <w:rsid w:val="00393364"/>
    <w:rsid w:val="00393B23"/>
    <w:rsid w:val="00393B7F"/>
    <w:rsid w:val="00394601"/>
    <w:rsid w:val="003949D8"/>
    <w:rsid w:val="003956AC"/>
    <w:rsid w:val="0039577B"/>
    <w:rsid w:val="00395B63"/>
    <w:rsid w:val="00395F65"/>
    <w:rsid w:val="00396826"/>
    <w:rsid w:val="003968C1"/>
    <w:rsid w:val="00397039"/>
    <w:rsid w:val="00397301"/>
    <w:rsid w:val="0039736B"/>
    <w:rsid w:val="003974E6"/>
    <w:rsid w:val="00397B50"/>
    <w:rsid w:val="003A00B9"/>
    <w:rsid w:val="003A02DB"/>
    <w:rsid w:val="003A0566"/>
    <w:rsid w:val="003A0B53"/>
    <w:rsid w:val="003A0BCC"/>
    <w:rsid w:val="003A0CBD"/>
    <w:rsid w:val="003A106E"/>
    <w:rsid w:val="003A157B"/>
    <w:rsid w:val="003A178A"/>
    <w:rsid w:val="003A1D48"/>
    <w:rsid w:val="003A1D6F"/>
    <w:rsid w:val="003A2024"/>
    <w:rsid w:val="003A236B"/>
    <w:rsid w:val="003A245E"/>
    <w:rsid w:val="003A25B9"/>
    <w:rsid w:val="003A2944"/>
    <w:rsid w:val="003A2CB7"/>
    <w:rsid w:val="003A32A4"/>
    <w:rsid w:val="003A3CCC"/>
    <w:rsid w:val="003A3D26"/>
    <w:rsid w:val="003A3EA7"/>
    <w:rsid w:val="003A3F8D"/>
    <w:rsid w:val="003A46E5"/>
    <w:rsid w:val="003A471E"/>
    <w:rsid w:val="003A477E"/>
    <w:rsid w:val="003A47F2"/>
    <w:rsid w:val="003A48CA"/>
    <w:rsid w:val="003A4D71"/>
    <w:rsid w:val="003A4DC1"/>
    <w:rsid w:val="003A4EB5"/>
    <w:rsid w:val="003A50C6"/>
    <w:rsid w:val="003A5403"/>
    <w:rsid w:val="003A56DD"/>
    <w:rsid w:val="003A5716"/>
    <w:rsid w:val="003A59CF"/>
    <w:rsid w:val="003A5B52"/>
    <w:rsid w:val="003A5CE7"/>
    <w:rsid w:val="003A5DD3"/>
    <w:rsid w:val="003A5F67"/>
    <w:rsid w:val="003A608F"/>
    <w:rsid w:val="003A6503"/>
    <w:rsid w:val="003A6609"/>
    <w:rsid w:val="003A6C34"/>
    <w:rsid w:val="003A7804"/>
    <w:rsid w:val="003B05AC"/>
    <w:rsid w:val="003B0655"/>
    <w:rsid w:val="003B0A9A"/>
    <w:rsid w:val="003B13D4"/>
    <w:rsid w:val="003B149D"/>
    <w:rsid w:val="003B18DE"/>
    <w:rsid w:val="003B20FB"/>
    <w:rsid w:val="003B227A"/>
    <w:rsid w:val="003B2297"/>
    <w:rsid w:val="003B23C5"/>
    <w:rsid w:val="003B2405"/>
    <w:rsid w:val="003B24FB"/>
    <w:rsid w:val="003B27D5"/>
    <w:rsid w:val="003B283C"/>
    <w:rsid w:val="003B3455"/>
    <w:rsid w:val="003B3789"/>
    <w:rsid w:val="003B3D3A"/>
    <w:rsid w:val="003B4414"/>
    <w:rsid w:val="003B455B"/>
    <w:rsid w:val="003B4D48"/>
    <w:rsid w:val="003B4FBB"/>
    <w:rsid w:val="003B5591"/>
    <w:rsid w:val="003B62F9"/>
    <w:rsid w:val="003B6462"/>
    <w:rsid w:val="003B6595"/>
    <w:rsid w:val="003B6B2E"/>
    <w:rsid w:val="003B6B35"/>
    <w:rsid w:val="003B72F9"/>
    <w:rsid w:val="003B7592"/>
    <w:rsid w:val="003B7890"/>
    <w:rsid w:val="003B7AEA"/>
    <w:rsid w:val="003B7FAF"/>
    <w:rsid w:val="003B7FE0"/>
    <w:rsid w:val="003C00FE"/>
    <w:rsid w:val="003C06CC"/>
    <w:rsid w:val="003C0838"/>
    <w:rsid w:val="003C0876"/>
    <w:rsid w:val="003C0BB0"/>
    <w:rsid w:val="003C0FE4"/>
    <w:rsid w:val="003C1E17"/>
    <w:rsid w:val="003C1EAA"/>
    <w:rsid w:val="003C1EEA"/>
    <w:rsid w:val="003C2002"/>
    <w:rsid w:val="003C2332"/>
    <w:rsid w:val="003C24BB"/>
    <w:rsid w:val="003C2532"/>
    <w:rsid w:val="003C27C6"/>
    <w:rsid w:val="003C2E81"/>
    <w:rsid w:val="003C3087"/>
    <w:rsid w:val="003C3133"/>
    <w:rsid w:val="003C32DB"/>
    <w:rsid w:val="003C38D0"/>
    <w:rsid w:val="003C3D72"/>
    <w:rsid w:val="003C3E76"/>
    <w:rsid w:val="003C3EE2"/>
    <w:rsid w:val="003C444E"/>
    <w:rsid w:val="003C4F4C"/>
    <w:rsid w:val="003C51DC"/>
    <w:rsid w:val="003C54C4"/>
    <w:rsid w:val="003C57C2"/>
    <w:rsid w:val="003C5DC7"/>
    <w:rsid w:val="003C61E9"/>
    <w:rsid w:val="003C65D1"/>
    <w:rsid w:val="003C68BC"/>
    <w:rsid w:val="003C6B2B"/>
    <w:rsid w:val="003C6D59"/>
    <w:rsid w:val="003C6E10"/>
    <w:rsid w:val="003C7A60"/>
    <w:rsid w:val="003C7B94"/>
    <w:rsid w:val="003C7E50"/>
    <w:rsid w:val="003D0652"/>
    <w:rsid w:val="003D09DF"/>
    <w:rsid w:val="003D0FE8"/>
    <w:rsid w:val="003D1276"/>
    <w:rsid w:val="003D149B"/>
    <w:rsid w:val="003D14CF"/>
    <w:rsid w:val="003D1587"/>
    <w:rsid w:val="003D16F9"/>
    <w:rsid w:val="003D19BC"/>
    <w:rsid w:val="003D1B20"/>
    <w:rsid w:val="003D1F93"/>
    <w:rsid w:val="003D223F"/>
    <w:rsid w:val="003D2599"/>
    <w:rsid w:val="003D2684"/>
    <w:rsid w:val="003D291E"/>
    <w:rsid w:val="003D2988"/>
    <w:rsid w:val="003D3984"/>
    <w:rsid w:val="003D398A"/>
    <w:rsid w:val="003D3DDB"/>
    <w:rsid w:val="003D40FB"/>
    <w:rsid w:val="003D424C"/>
    <w:rsid w:val="003D4F0B"/>
    <w:rsid w:val="003D50B9"/>
    <w:rsid w:val="003D523D"/>
    <w:rsid w:val="003D546F"/>
    <w:rsid w:val="003D5478"/>
    <w:rsid w:val="003D56ED"/>
    <w:rsid w:val="003D5AA8"/>
    <w:rsid w:val="003D5CC5"/>
    <w:rsid w:val="003D6F3A"/>
    <w:rsid w:val="003D7C40"/>
    <w:rsid w:val="003D7D98"/>
    <w:rsid w:val="003D7DF3"/>
    <w:rsid w:val="003E0C92"/>
    <w:rsid w:val="003E1ED1"/>
    <w:rsid w:val="003E222A"/>
    <w:rsid w:val="003E2429"/>
    <w:rsid w:val="003E279E"/>
    <w:rsid w:val="003E2A53"/>
    <w:rsid w:val="003E2E2B"/>
    <w:rsid w:val="003E3086"/>
    <w:rsid w:val="003E3238"/>
    <w:rsid w:val="003E324E"/>
    <w:rsid w:val="003E34E7"/>
    <w:rsid w:val="003E3CA7"/>
    <w:rsid w:val="003E3DF9"/>
    <w:rsid w:val="003E3E8A"/>
    <w:rsid w:val="003E4210"/>
    <w:rsid w:val="003E495F"/>
    <w:rsid w:val="003E4BF8"/>
    <w:rsid w:val="003E4BFB"/>
    <w:rsid w:val="003E51BA"/>
    <w:rsid w:val="003E5761"/>
    <w:rsid w:val="003E599D"/>
    <w:rsid w:val="003E5B03"/>
    <w:rsid w:val="003E649A"/>
    <w:rsid w:val="003E6664"/>
    <w:rsid w:val="003E691D"/>
    <w:rsid w:val="003E696A"/>
    <w:rsid w:val="003E69F7"/>
    <w:rsid w:val="003E6F20"/>
    <w:rsid w:val="003E738F"/>
    <w:rsid w:val="003E75B5"/>
    <w:rsid w:val="003F00ED"/>
    <w:rsid w:val="003F1278"/>
    <w:rsid w:val="003F15D7"/>
    <w:rsid w:val="003F187D"/>
    <w:rsid w:val="003F1CB3"/>
    <w:rsid w:val="003F1FC5"/>
    <w:rsid w:val="003F2116"/>
    <w:rsid w:val="003F21E2"/>
    <w:rsid w:val="003F25F8"/>
    <w:rsid w:val="003F3138"/>
    <w:rsid w:val="003F3C57"/>
    <w:rsid w:val="003F3D49"/>
    <w:rsid w:val="003F3E0D"/>
    <w:rsid w:val="003F3F76"/>
    <w:rsid w:val="003F4124"/>
    <w:rsid w:val="003F482D"/>
    <w:rsid w:val="003F495B"/>
    <w:rsid w:val="003F4A9A"/>
    <w:rsid w:val="003F4C27"/>
    <w:rsid w:val="003F5156"/>
    <w:rsid w:val="003F52B0"/>
    <w:rsid w:val="003F5675"/>
    <w:rsid w:val="003F59B6"/>
    <w:rsid w:val="003F5A05"/>
    <w:rsid w:val="003F5D31"/>
    <w:rsid w:val="003F5E30"/>
    <w:rsid w:val="003F5E35"/>
    <w:rsid w:val="003F5F6C"/>
    <w:rsid w:val="003F62D5"/>
    <w:rsid w:val="003F76C9"/>
    <w:rsid w:val="003F778D"/>
    <w:rsid w:val="003F7BD5"/>
    <w:rsid w:val="003F7BE7"/>
    <w:rsid w:val="003F7CBD"/>
    <w:rsid w:val="00400193"/>
    <w:rsid w:val="0040020B"/>
    <w:rsid w:val="00400214"/>
    <w:rsid w:val="004002EB"/>
    <w:rsid w:val="00400602"/>
    <w:rsid w:val="004007BA"/>
    <w:rsid w:val="00400A7F"/>
    <w:rsid w:val="00400CF4"/>
    <w:rsid w:val="00400DB2"/>
    <w:rsid w:val="00401046"/>
    <w:rsid w:val="00401722"/>
    <w:rsid w:val="00401BBA"/>
    <w:rsid w:val="00401CFB"/>
    <w:rsid w:val="004021F5"/>
    <w:rsid w:val="0040254A"/>
    <w:rsid w:val="004025AE"/>
    <w:rsid w:val="00402994"/>
    <w:rsid w:val="00402996"/>
    <w:rsid w:val="004029DF"/>
    <w:rsid w:val="00402A64"/>
    <w:rsid w:val="00402EEE"/>
    <w:rsid w:val="004038E8"/>
    <w:rsid w:val="004039A7"/>
    <w:rsid w:val="0040414F"/>
    <w:rsid w:val="004043F6"/>
    <w:rsid w:val="00404C6C"/>
    <w:rsid w:val="004054B0"/>
    <w:rsid w:val="00405921"/>
    <w:rsid w:val="00405D36"/>
    <w:rsid w:val="00405E05"/>
    <w:rsid w:val="00405FE4"/>
    <w:rsid w:val="00406454"/>
    <w:rsid w:val="004064BB"/>
    <w:rsid w:val="00406ADE"/>
    <w:rsid w:val="00406DA7"/>
    <w:rsid w:val="00406DD0"/>
    <w:rsid w:val="00406DFF"/>
    <w:rsid w:val="00406FEA"/>
    <w:rsid w:val="0040733D"/>
    <w:rsid w:val="00407E73"/>
    <w:rsid w:val="00410230"/>
    <w:rsid w:val="004108BE"/>
    <w:rsid w:val="004111DF"/>
    <w:rsid w:val="0041193C"/>
    <w:rsid w:val="0041251D"/>
    <w:rsid w:val="00412532"/>
    <w:rsid w:val="004128FE"/>
    <w:rsid w:val="0041291E"/>
    <w:rsid w:val="004129AC"/>
    <w:rsid w:val="0041305C"/>
    <w:rsid w:val="00413702"/>
    <w:rsid w:val="00413C10"/>
    <w:rsid w:val="00414246"/>
    <w:rsid w:val="004142CF"/>
    <w:rsid w:val="00414EB9"/>
    <w:rsid w:val="004150AC"/>
    <w:rsid w:val="00415203"/>
    <w:rsid w:val="00415244"/>
    <w:rsid w:val="004153CA"/>
    <w:rsid w:val="00415D56"/>
    <w:rsid w:val="00416026"/>
    <w:rsid w:val="0041619B"/>
    <w:rsid w:val="00416242"/>
    <w:rsid w:val="004167C6"/>
    <w:rsid w:val="00416BEB"/>
    <w:rsid w:val="004170A7"/>
    <w:rsid w:val="004170B0"/>
    <w:rsid w:val="004172F0"/>
    <w:rsid w:val="004206EC"/>
    <w:rsid w:val="0042091F"/>
    <w:rsid w:val="00420BD4"/>
    <w:rsid w:val="00421421"/>
    <w:rsid w:val="00421498"/>
    <w:rsid w:val="00421B81"/>
    <w:rsid w:val="00421D4A"/>
    <w:rsid w:val="00421F64"/>
    <w:rsid w:val="00422692"/>
    <w:rsid w:val="004227AE"/>
    <w:rsid w:val="004227C1"/>
    <w:rsid w:val="00422AC1"/>
    <w:rsid w:val="00422AEB"/>
    <w:rsid w:val="00422BC9"/>
    <w:rsid w:val="00422C98"/>
    <w:rsid w:val="00422E09"/>
    <w:rsid w:val="00422E68"/>
    <w:rsid w:val="00422ED0"/>
    <w:rsid w:val="00423265"/>
    <w:rsid w:val="004239E5"/>
    <w:rsid w:val="00423E7C"/>
    <w:rsid w:val="00424497"/>
    <w:rsid w:val="0042454E"/>
    <w:rsid w:val="00424563"/>
    <w:rsid w:val="00424772"/>
    <w:rsid w:val="00424C3F"/>
    <w:rsid w:val="00424DD1"/>
    <w:rsid w:val="004250B8"/>
    <w:rsid w:val="0042539A"/>
    <w:rsid w:val="00425AFD"/>
    <w:rsid w:val="00425ECB"/>
    <w:rsid w:val="00426041"/>
    <w:rsid w:val="00426576"/>
    <w:rsid w:val="004265BA"/>
    <w:rsid w:val="0042674B"/>
    <w:rsid w:val="0042685C"/>
    <w:rsid w:val="004268D8"/>
    <w:rsid w:val="004270E7"/>
    <w:rsid w:val="0042722F"/>
    <w:rsid w:val="00427658"/>
    <w:rsid w:val="004279B2"/>
    <w:rsid w:val="00427FE0"/>
    <w:rsid w:val="00430609"/>
    <w:rsid w:val="00430B85"/>
    <w:rsid w:val="0043161C"/>
    <w:rsid w:val="004318D1"/>
    <w:rsid w:val="00431D31"/>
    <w:rsid w:val="00432397"/>
    <w:rsid w:val="00432CA9"/>
    <w:rsid w:val="00432DEB"/>
    <w:rsid w:val="00433333"/>
    <w:rsid w:val="00433979"/>
    <w:rsid w:val="00433B4A"/>
    <w:rsid w:val="00433C8F"/>
    <w:rsid w:val="00434301"/>
    <w:rsid w:val="0043453E"/>
    <w:rsid w:val="004347A3"/>
    <w:rsid w:val="00434AF9"/>
    <w:rsid w:val="0043548D"/>
    <w:rsid w:val="0043567C"/>
    <w:rsid w:val="004359F6"/>
    <w:rsid w:val="00435EA3"/>
    <w:rsid w:val="00436309"/>
    <w:rsid w:val="0043636F"/>
    <w:rsid w:val="00436982"/>
    <w:rsid w:val="00436AC1"/>
    <w:rsid w:val="00436D25"/>
    <w:rsid w:val="004370FA"/>
    <w:rsid w:val="00437A75"/>
    <w:rsid w:val="00440220"/>
    <w:rsid w:val="00440A6D"/>
    <w:rsid w:val="00440DA0"/>
    <w:rsid w:val="00440F51"/>
    <w:rsid w:val="00440FEA"/>
    <w:rsid w:val="00441870"/>
    <w:rsid w:val="00441A4D"/>
    <w:rsid w:val="00441EC0"/>
    <w:rsid w:val="004421C6"/>
    <w:rsid w:val="00442585"/>
    <w:rsid w:val="00442939"/>
    <w:rsid w:val="0044298C"/>
    <w:rsid w:val="004429FD"/>
    <w:rsid w:val="0044301E"/>
    <w:rsid w:val="0044422C"/>
    <w:rsid w:val="00444B64"/>
    <w:rsid w:val="00444DC2"/>
    <w:rsid w:val="004454E9"/>
    <w:rsid w:val="00445B65"/>
    <w:rsid w:val="00445B7E"/>
    <w:rsid w:val="004467E9"/>
    <w:rsid w:val="00447AA4"/>
    <w:rsid w:val="00447DA6"/>
    <w:rsid w:val="00450167"/>
    <w:rsid w:val="00450245"/>
    <w:rsid w:val="004504BE"/>
    <w:rsid w:val="004505B2"/>
    <w:rsid w:val="00450901"/>
    <w:rsid w:val="004509AD"/>
    <w:rsid w:val="004509B0"/>
    <w:rsid w:val="004509D0"/>
    <w:rsid w:val="00450D09"/>
    <w:rsid w:val="004513BC"/>
    <w:rsid w:val="0045175D"/>
    <w:rsid w:val="0045175E"/>
    <w:rsid w:val="00451839"/>
    <w:rsid w:val="00451B35"/>
    <w:rsid w:val="00451C1C"/>
    <w:rsid w:val="00451E90"/>
    <w:rsid w:val="00452A9E"/>
    <w:rsid w:val="00453256"/>
    <w:rsid w:val="004533B9"/>
    <w:rsid w:val="0045397E"/>
    <w:rsid w:val="00453CB8"/>
    <w:rsid w:val="00453E35"/>
    <w:rsid w:val="00453E73"/>
    <w:rsid w:val="00454194"/>
    <w:rsid w:val="00454235"/>
    <w:rsid w:val="004549E4"/>
    <w:rsid w:val="004558FF"/>
    <w:rsid w:val="00455C59"/>
    <w:rsid w:val="00455E24"/>
    <w:rsid w:val="00455E95"/>
    <w:rsid w:val="00456010"/>
    <w:rsid w:val="004564A7"/>
    <w:rsid w:val="004569F8"/>
    <w:rsid w:val="00456ADF"/>
    <w:rsid w:val="004572E7"/>
    <w:rsid w:val="004574C4"/>
    <w:rsid w:val="00457FD1"/>
    <w:rsid w:val="00460179"/>
    <w:rsid w:val="00460967"/>
    <w:rsid w:val="00461295"/>
    <w:rsid w:val="0046134B"/>
    <w:rsid w:val="00461C54"/>
    <w:rsid w:val="0046210D"/>
    <w:rsid w:val="00462248"/>
    <w:rsid w:val="00462659"/>
    <w:rsid w:val="0046268E"/>
    <w:rsid w:val="00462A36"/>
    <w:rsid w:val="004631AB"/>
    <w:rsid w:val="00463774"/>
    <w:rsid w:val="00463A6E"/>
    <w:rsid w:val="0046401C"/>
    <w:rsid w:val="00464354"/>
    <w:rsid w:val="0046454F"/>
    <w:rsid w:val="00464792"/>
    <w:rsid w:val="00464CC6"/>
    <w:rsid w:val="00464F59"/>
    <w:rsid w:val="0046500A"/>
    <w:rsid w:val="0046534A"/>
    <w:rsid w:val="00465826"/>
    <w:rsid w:val="00465FA5"/>
    <w:rsid w:val="004663D7"/>
    <w:rsid w:val="0046654B"/>
    <w:rsid w:val="004666D4"/>
    <w:rsid w:val="004677BC"/>
    <w:rsid w:val="00467941"/>
    <w:rsid w:val="00467E7E"/>
    <w:rsid w:val="00467E87"/>
    <w:rsid w:val="00467EBC"/>
    <w:rsid w:val="00467FB9"/>
    <w:rsid w:val="004702B2"/>
    <w:rsid w:val="00470374"/>
    <w:rsid w:val="00470753"/>
    <w:rsid w:val="00471225"/>
    <w:rsid w:val="0047142D"/>
    <w:rsid w:val="00471EA4"/>
    <w:rsid w:val="00471F01"/>
    <w:rsid w:val="004721D6"/>
    <w:rsid w:val="004726A5"/>
    <w:rsid w:val="004727BA"/>
    <w:rsid w:val="0047292A"/>
    <w:rsid w:val="0047298E"/>
    <w:rsid w:val="0047336B"/>
    <w:rsid w:val="00473438"/>
    <w:rsid w:val="00473606"/>
    <w:rsid w:val="0047395E"/>
    <w:rsid w:val="00473ACC"/>
    <w:rsid w:val="004741BD"/>
    <w:rsid w:val="004744E1"/>
    <w:rsid w:val="00474B7E"/>
    <w:rsid w:val="00474CB0"/>
    <w:rsid w:val="00474D41"/>
    <w:rsid w:val="0047524A"/>
    <w:rsid w:val="00475B92"/>
    <w:rsid w:val="00475C3F"/>
    <w:rsid w:val="00475D17"/>
    <w:rsid w:val="00475E4E"/>
    <w:rsid w:val="00475EF3"/>
    <w:rsid w:val="00476EFE"/>
    <w:rsid w:val="004777AB"/>
    <w:rsid w:val="00477C09"/>
    <w:rsid w:val="00477D8C"/>
    <w:rsid w:val="00480C00"/>
    <w:rsid w:val="00480EE9"/>
    <w:rsid w:val="00480F64"/>
    <w:rsid w:val="00480FEC"/>
    <w:rsid w:val="0048114A"/>
    <w:rsid w:val="00481957"/>
    <w:rsid w:val="00481D8F"/>
    <w:rsid w:val="00481DA7"/>
    <w:rsid w:val="00481E5E"/>
    <w:rsid w:val="004822E7"/>
    <w:rsid w:val="0048239E"/>
    <w:rsid w:val="00482642"/>
    <w:rsid w:val="00482D42"/>
    <w:rsid w:val="00482DA6"/>
    <w:rsid w:val="00482F8C"/>
    <w:rsid w:val="004833BF"/>
    <w:rsid w:val="00483745"/>
    <w:rsid w:val="00484509"/>
    <w:rsid w:val="004845BD"/>
    <w:rsid w:val="004845CE"/>
    <w:rsid w:val="0048478C"/>
    <w:rsid w:val="004847A1"/>
    <w:rsid w:val="00484AD5"/>
    <w:rsid w:val="00484E6D"/>
    <w:rsid w:val="00484FC9"/>
    <w:rsid w:val="004852BF"/>
    <w:rsid w:val="004853B8"/>
    <w:rsid w:val="0048545A"/>
    <w:rsid w:val="004855D6"/>
    <w:rsid w:val="00485961"/>
    <w:rsid w:val="00485A1B"/>
    <w:rsid w:val="00485A57"/>
    <w:rsid w:val="00485A9F"/>
    <w:rsid w:val="00485B42"/>
    <w:rsid w:val="00485B86"/>
    <w:rsid w:val="00485BE8"/>
    <w:rsid w:val="00485CF1"/>
    <w:rsid w:val="004860E4"/>
    <w:rsid w:val="00486D16"/>
    <w:rsid w:val="0048707F"/>
    <w:rsid w:val="004874F0"/>
    <w:rsid w:val="00487F5E"/>
    <w:rsid w:val="004904CA"/>
    <w:rsid w:val="004909AC"/>
    <w:rsid w:val="004915E3"/>
    <w:rsid w:val="00491931"/>
    <w:rsid w:val="00491B52"/>
    <w:rsid w:val="00492517"/>
    <w:rsid w:val="00492704"/>
    <w:rsid w:val="00492A0F"/>
    <w:rsid w:val="00492F9D"/>
    <w:rsid w:val="004933EC"/>
    <w:rsid w:val="004938E4"/>
    <w:rsid w:val="00493AC6"/>
    <w:rsid w:val="00493C66"/>
    <w:rsid w:val="00493FA3"/>
    <w:rsid w:val="00494084"/>
    <w:rsid w:val="00494828"/>
    <w:rsid w:val="004949D5"/>
    <w:rsid w:val="00494C0A"/>
    <w:rsid w:val="00494C68"/>
    <w:rsid w:val="00494CEA"/>
    <w:rsid w:val="00494D36"/>
    <w:rsid w:val="00494D92"/>
    <w:rsid w:val="00494D9F"/>
    <w:rsid w:val="004954ED"/>
    <w:rsid w:val="00495504"/>
    <w:rsid w:val="00495857"/>
    <w:rsid w:val="0049678D"/>
    <w:rsid w:val="00497191"/>
    <w:rsid w:val="004976B1"/>
    <w:rsid w:val="00497DC5"/>
    <w:rsid w:val="00497E01"/>
    <w:rsid w:val="00497E0F"/>
    <w:rsid w:val="004A06CE"/>
    <w:rsid w:val="004A10E5"/>
    <w:rsid w:val="004A1123"/>
    <w:rsid w:val="004A11DA"/>
    <w:rsid w:val="004A12E0"/>
    <w:rsid w:val="004A1ABF"/>
    <w:rsid w:val="004A1B8B"/>
    <w:rsid w:val="004A1C09"/>
    <w:rsid w:val="004A1F2D"/>
    <w:rsid w:val="004A2896"/>
    <w:rsid w:val="004A2EAD"/>
    <w:rsid w:val="004A3029"/>
    <w:rsid w:val="004A3579"/>
    <w:rsid w:val="004A357F"/>
    <w:rsid w:val="004A3678"/>
    <w:rsid w:val="004A3A7B"/>
    <w:rsid w:val="004A412F"/>
    <w:rsid w:val="004A482B"/>
    <w:rsid w:val="004A49BC"/>
    <w:rsid w:val="004A58D8"/>
    <w:rsid w:val="004A5A11"/>
    <w:rsid w:val="004A5B9A"/>
    <w:rsid w:val="004A5D6A"/>
    <w:rsid w:val="004A6ADA"/>
    <w:rsid w:val="004A6D41"/>
    <w:rsid w:val="004A7257"/>
    <w:rsid w:val="004A72A0"/>
    <w:rsid w:val="004A731A"/>
    <w:rsid w:val="004A77C0"/>
    <w:rsid w:val="004A7864"/>
    <w:rsid w:val="004B07C2"/>
    <w:rsid w:val="004B0C5A"/>
    <w:rsid w:val="004B1294"/>
    <w:rsid w:val="004B135C"/>
    <w:rsid w:val="004B1D68"/>
    <w:rsid w:val="004B2853"/>
    <w:rsid w:val="004B2967"/>
    <w:rsid w:val="004B2AB5"/>
    <w:rsid w:val="004B2C48"/>
    <w:rsid w:val="004B2C5C"/>
    <w:rsid w:val="004B2E33"/>
    <w:rsid w:val="004B38E8"/>
    <w:rsid w:val="004B3EC6"/>
    <w:rsid w:val="004B417A"/>
    <w:rsid w:val="004B4248"/>
    <w:rsid w:val="004B45D2"/>
    <w:rsid w:val="004B4AFA"/>
    <w:rsid w:val="004B4C2A"/>
    <w:rsid w:val="004B4CEF"/>
    <w:rsid w:val="004B4F73"/>
    <w:rsid w:val="004B536A"/>
    <w:rsid w:val="004B53EF"/>
    <w:rsid w:val="004B5406"/>
    <w:rsid w:val="004B5A54"/>
    <w:rsid w:val="004B5A72"/>
    <w:rsid w:val="004B5DE8"/>
    <w:rsid w:val="004B6884"/>
    <w:rsid w:val="004B6A75"/>
    <w:rsid w:val="004B6C60"/>
    <w:rsid w:val="004B6CFC"/>
    <w:rsid w:val="004B7340"/>
    <w:rsid w:val="004B75A4"/>
    <w:rsid w:val="004B767A"/>
    <w:rsid w:val="004B7C2F"/>
    <w:rsid w:val="004C0066"/>
    <w:rsid w:val="004C04A8"/>
    <w:rsid w:val="004C057B"/>
    <w:rsid w:val="004C0740"/>
    <w:rsid w:val="004C0E43"/>
    <w:rsid w:val="004C1489"/>
    <w:rsid w:val="004C1519"/>
    <w:rsid w:val="004C1ACB"/>
    <w:rsid w:val="004C1F7B"/>
    <w:rsid w:val="004C211E"/>
    <w:rsid w:val="004C23F7"/>
    <w:rsid w:val="004C2D8E"/>
    <w:rsid w:val="004C3833"/>
    <w:rsid w:val="004C49B0"/>
    <w:rsid w:val="004C4A23"/>
    <w:rsid w:val="004C4DB3"/>
    <w:rsid w:val="004C508E"/>
    <w:rsid w:val="004C57B8"/>
    <w:rsid w:val="004C5A77"/>
    <w:rsid w:val="004C5E04"/>
    <w:rsid w:val="004C5F6D"/>
    <w:rsid w:val="004C65A4"/>
    <w:rsid w:val="004C65B7"/>
    <w:rsid w:val="004C669C"/>
    <w:rsid w:val="004C6C20"/>
    <w:rsid w:val="004C6CD2"/>
    <w:rsid w:val="004C7359"/>
    <w:rsid w:val="004C7665"/>
    <w:rsid w:val="004C770F"/>
    <w:rsid w:val="004C7811"/>
    <w:rsid w:val="004C7885"/>
    <w:rsid w:val="004C7D38"/>
    <w:rsid w:val="004D01EA"/>
    <w:rsid w:val="004D06FE"/>
    <w:rsid w:val="004D106A"/>
    <w:rsid w:val="004D1C3C"/>
    <w:rsid w:val="004D1D7F"/>
    <w:rsid w:val="004D2635"/>
    <w:rsid w:val="004D27DF"/>
    <w:rsid w:val="004D2B3C"/>
    <w:rsid w:val="004D2CEB"/>
    <w:rsid w:val="004D2E46"/>
    <w:rsid w:val="004D305B"/>
    <w:rsid w:val="004D32F5"/>
    <w:rsid w:val="004D3358"/>
    <w:rsid w:val="004D3F95"/>
    <w:rsid w:val="004D4C84"/>
    <w:rsid w:val="004D4DA3"/>
    <w:rsid w:val="004D5395"/>
    <w:rsid w:val="004D585E"/>
    <w:rsid w:val="004D5D05"/>
    <w:rsid w:val="004D615A"/>
    <w:rsid w:val="004D6200"/>
    <w:rsid w:val="004D63C8"/>
    <w:rsid w:val="004D6525"/>
    <w:rsid w:val="004D6756"/>
    <w:rsid w:val="004D67B7"/>
    <w:rsid w:val="004D6A6A"/>
    <w:rsid w:val="004D6ABE"/>
    <w:rsid w:val="004D6E9D"/>
    <w:rsid w:val="004D6EA8"/>
    <w:rsid w:val="004D6F52"/>
    <w:rsid w:val="004D6F83"/>
    <w:rsid w:val="004D70DA"/>
    <w:rsid w:val="004D7F67"/>
    <w:rsid w:val="004D7F8F"/>
    <w:rsid w:val="004E0051"/>
    <w:rsid w:val="004E0072"/>
    <w:rsid w:val="004E01C3"/>
    <w:rsid w:val="004E058C"/>
    <w:rsid w:val="004E07F4"/>
    <w:rsid w:val="004E1086"/>
    <w:rsid w:val="004E12C4"/>
    <w:rsid w:val="004E1808"/>
    <w:rsid w:val="004E1A9D"/>
    <w:rsid w:val="004E1AE9"/>
    <w:rsid w:val="004E1C6E"/>
    <w:rsid w:val="004E1D3F"/>
    <w:rsid w:val="004E24AA"/>
    <w:rsid w:val="004E28AB"/>
    <w:rsid w:val="004E2E9C"/>
    <w:rsid w:val="004E2F90"/>
    <w:rsid w:val="004E3118"/>
    <w:rsid w:val="004E32EF"/>
    <w:rsid w:val="004E3BEF"/>
    <w:rsid w:val="004E3D37"/>
    <w:rsid w:val="004E4BDF"/>
    <w:rsid w:val="004E50FD"/>
    <w:rsid w:val="004E5139"/>
    <w:rsid w:val="004E5408"/>
    <w:rsid w:val="004E54BC"/>
    <w:rsid w:val="004E565A"/>
    <w:rsid w:val="004E5730"/>
    <w:rsid w:val="004E5759"/>
    <w:rsid w:val="004E5932"/>
    <w:rsid w:val="004E5FA6"/>
    <w:rsid w:val="004E63EB"/>
    <w:rsid w:val="004E6748"/>
    <w:rsid w:val="004E6974"/>
    <w:rsid w:val="004E6E31"/>
    <w:rsid w:val="004E70DE"/>
    <w:rsid w:val="004E747B"/>
    <w:rsid w:val="004E7CEF"/>
    <w:rsid w:val="004E7F1B"/>
    <w:rsid w:val="004E7FA3"/>
    <w:rsid w:val="004F06E6"/>
    <w:rsid w:val="004F11C1"/>
    <w:rsid w:val="004F1A91"/>
    <w:rsid w:val="004F1AB2"/>
    <w:rsid w:val="004F1EBC"/>
    <w:rsid w:val="004F1F01"/>
    <w:rsid w:val="004F20E6"/>
    <w:rsid w:val="004F2301"/>
    <w:rsid w:val="004F2A31"/>
    <w:rsid w:val="004F3124"/>
    <w:rsid w:val="004F3477"/>
    <w:rsid w:val="004F35FD"/>
    <w:rsid w:val="004F3975"/>
    <w:rsid w:val="004F3AB6"/>
    <w:rsid w:val="004F44F9"/>
    <w:rsid w:val="004F4565"/>
    <w:rsid w:val="004F46B0"/>
    <w:rsid w:val="004F491D"/>
    <w:rsid w:val="004F49F0"/>
    <w:rsid w:val="004F4BD6"/>
    <w:rsid w:val="004F5305"/>
    <w:rsid w:val="004F581C"/>
    <w:rsid w:val="004F6130"/>
    <w:rsid w:val="004F63F4"/>
    <w:rsid w:val="004F6702"/>
    <w:rsid w:val="004F68D1"/>
    <w:rsid w:val="004F6D99"/>
    <w:rsid w:val="004F6E21"/>
    <w:rsid w:val="004F72F9"/>
    <w:rsid w:val="004F7CC9"/>
    <w:rsid w:val="005001E6"/>
    <w:rsid w:val="00500200"/>
    <w:rsid w:val="0050041B"/>
    <w:rsid w:val="005004F8"/>
    <w:rsid w:val="0050061B"/>
    <w:rsid w:val="00500939"/>
    <w:rsid w:val="00500A0A"/>
    <w:rsid w:val="00500EF6"/>
    <w:rsid w:val="00500F08"/>
    <w:rsid w:val="00500FAE"/>
    <w:rsid w:val="005016FB"/>
    <w:rsid w:val="00501981"/>
    <w:rsid w:val="005019FA"/>
    <w:rsid w:val="00501E37"/>
    <w:rsid w:val="00502650"/>
    <w:rsid w:val="00502703"/>
    <w:rsid w:val="005028B6"/>
    <w:rsid w:val="0050290A"/>
    <w:rsid w:val="00502AC9"/>
    <w:rsid w:val="00502B5E"/>
    <w:rsid w:val="00502BBE"/>
    <w:rsid w:val="00502E8F"/>
    <w:rsid w:val="0050445B"/>
    <w:rsid w:val="00504779"/>
    <w:rsid w:val="005048A4"/>
    <w:rsid w:val="00504915"/>
    <w:rsid w:val="0050499E"/>
    <w:rsid w:val="005049F5"/>
    <w:rsid w:val="005056C3"/>
    <w:rsid w:val="00505914"/>
    <w:rsid w:val="00505C33"/>
    <w:rsid w:val="00506A21"/>
    <w:rsid w:val="0050757E"/>
    <w:rsid w:val="005079C3"/>
    <w:rsid w:val="005105FD"/>
    <w:rsid w:val="00510B36"/>
    <w:rsid w:val="00511269"/>
    <w:rsid w:val="005113CD"/>
    <w:rsid w:val="005114E4"/>
    <w:rsid w:val="0051197D"/>
    <w:rsid w:val="00511AA3"/>
    <w:rsid w:val="00511CEE"/>
    <w:rsid w:val="00511E5D"/>
    <w:rsid w:val="00512AD6"/>
    <w:rsid w:val="00512B0D"/>
    <w:rsid w:val="00512BFE"/>
    <w:rsid w:val="005138BE"/>
    <w:rsid w:val="005138CD"/>
    <w:rsid w:val="00513C7F"/>
    <w:rsid w:val="00513F99"/>
    <w:rsid w:val="00514018"/>
    <w:rsid w:val="005150F6"/>
    <w:rsid w:val="0051530D"/>
    <w:rsid w:val="005159C2"/>
    <w:rsid w:val="005159F2"/>
    <w:rsid w:val="00515EC6"/>
    <w:rsid w:val="00516205"/>
    <w:rsid w:val="00516414"/>
    <w:rsid w:val="00516567"/>
    <w:rsid w:val="005167B6"/>
    <w:rsid w:val="00516820"/>
    <w:rsid w:val="005171B0"/>
    <w:rsid w:val="00517424"/>
    <w:rsid w:val="005174ED"/>
    <w:rsid w:val="00520372"/>
    <w:rsid w:val="0052064E"/>
    <w:rsid w:val="00520874"/>
    <w:rsid w:val="00520A42"/>
    <w:rsid w:val="00520A94"/>
    <w:rsid w:val="00520B7D"/>
    <w:rsid w:val="00520C76"/>
    <w:rsid w:val="00520D9A"/>
    <w:rsid w:val="0052108D"/>
    <w:rsid w:val="00521454"/>
    <w:rsid w:val="0052151C"/>
    <w:rsid w:val="005216AB"/>
    <w:rsid w:val="00521B45"/>
    <w:rsid w:val="00521CC7"/>
    <w:rsid w:val="00521E56"/>
    <w:rsid w:val="005220EA"/>
    <w:rsid w:val="00522320"/>
    <w:rsid w:val="00522661"/>
    <w:rsid w:val="00522DBD"/>
    <w:rsid w:val="00522F7C"/>
    <w:rsid w:val="00523104"/>
    <w:rsid w:val="005234D1"/>
    <w:rsid w:val="005237EE"/>
    <w:rsid w:val="00523AB4"/>
    <w:rsid w:val="00523F2F"/>
    <w:rsid w:val="0052426E"/>
    <w:rsid w:val="00524D4E"/>
    <w:rsid w:val="005250C3"/>
    <w:rsid w:val="00525208"/>
    <w:rsid w:val="00525675"/>
    <w:rsid w:val="0052573A"/>
    <w:rsid w:val="00525D55"/>
    <w:rsid w:val="00525ED3"/>
    <w:rsid w:val="00526427"/>
    <w:rsid w:val="005268ED"/>
    <w:rsid w:val="00526A38"/>
    <w:rsid w:val="00526BC0"/>
    <w:rsid w:val="00526CF2"/>
    <w:rsid w:val="00527710"/>
    <w:rsid w:val="005279CB"/>
    <w:rsid w:val="0053098D"/>
    <w:rsid w:val="00530C19"/>
    <w:rsid w:val="00530F1F"/>
    <w:rsid w:val="00530F55"/>
    <w:rsid w:val="005312CD"/>
    <w:rsid w:val="005315A8"/>
    <w:rsid w:val="005317A5"/>
    <w:rsid w:val="00531EB1"/>
    <w:rsid w:val="005327F7"/>
    <w:rsid w:val="00532892"/>
    <w:rsid w:val="00532DC4"/>
    <w:rsid w:val="005335D5"/>
    <w:rsid w:val="0053366E"/>
    <w:rsid w:val="005339AE"/>
    <w:rsid w:val="00533B7F"/>
    <w:rsid w:val="00533E14"/>
    <w:rsid w:val="00533ECC"/>
    <w:rsid w:val="00534155"/>
    <w:rsid w:val="00534253"/>
    <w:rsid w:val="005343B4"/>
    <w:rsid w:val="005345A2"/>
    <w:rsid w:val="00535009"/>
    <w:rsid w:val="0053565C"/>
    <w:rsid w:val="005356BC"/>
    <w:rsid w:val="00535770"/>
    <w:rsid w:val="00535A29"/>
    <w:rsid w:val="00535DE4"/>
    <w:rsid w:val="00535E45"/>
    <w:rsid w:val="00535E79"/>
    <w:rsid w:val="00536102"/>
    <w:rsid w:val="0053692B"/>
    <w:rsid w:val="00536955"/>
    <w:rsid w:val="00536A92"/>
    <w:rsid w:val="00536D00"/>
    <w:rsid w:val="00536D4B"/>
    <w:rsid w:val="005372B2"/>
    <w:rsid w:val="005375AE"/>
    <w:rsid w:val="0053797B"/>
    <w:rsid w:val="00537BA8"/>
    <w:rsid w:val="00537D81"/>
    <w:rsid w:val="00537F91"/>
    <w:rsid w:val="0054098D"/>
    <w:rsid w:val="00540C4E"/>
    <w:rsid w:val="00540EDD"/>
    <w:rsid w:val="00540F89"/>
    <w:rsid w:val="00541250"/>
    <w:rsid w:val="00541375"/>
    <w:rsid w:val="00541B91"/>
    <w:rsid w:val="00541C9E"/>
    <w:rsid w:val="0054209E"/>
    <w:rsid w:val="005420D4"/>
    <w:rsid w:val="00542229"/>
    <w:rsid w:val="005424B1"/>
    <w:rsid w:val="005428B6"/>
    <w:rsid w:val="00542943"/>
    <w:rsid w:val="0054302C"/>
    <w:rsid w:val="00543038"/>
    <w:rsid w:val="00543317"/>
    <w:rsid w:val="005435C8"/>
    <w:rsid w:val="005437C9"/>
    <w:rsid w:val="00543E5F"/>
    <w:rsid w:val="005440E9"/>
    <w:rsid w:val="0054447B"/>
    <w:rsid w:val="00544B34"/>
    <w:rsid w:val="00544CDA"/>
    <w:rsid w:val="00544D72"/>
    <w:rsid w:val="00545342"/>
    <w:rsid w:val="00545384"/>
    <w:rsid w:val="005461D6"/>
    <w:rsid w:val="00546625"/>
    <w:rsid w:val="00546A6B"/>
    <w:rsid w:val="00546D14"/>
    <w:rsid w:val="00546E7D"/>
    <w:rsid w:val="0054716A"/>
    <w:rsid w:val="00547615"/>
    <w:rsid w:val="00547FA1"/>
    <w:rsid w:val="0055004A"/>
    <w:rsid w:val="00550406"/>
    <w:rsid w:val="00550630"/>
    <w:rsid w:val="00550647"/>
    <w:rsid w:val="005506D7"/>
    <w:rsid w:val="005507E6"/>
    <w:rsid w:val="00550945"/>
    <w:rsid w:val="00550C6C"/>
    <w:rsid w:val="00550D7E"/>
    <w:rsid w:val="00551406"/>
    <w:rsid w:val="005515D7"/>
    <w:rsid w:val="005517BB"/>
    <w:rsid w:val="00551B02"/>
    <w:rsid w:val="00552203"/>
    <w:rsid w:val="0055245E"/>
    <w:rsid w:val="00552A7F"/>
    <w:rsid w:val="00552D42"/>
    <w:rsid w:val="0055311C"/>
    <w:rsid w:val="00553266"/>
    <w:rsid w:val="00553535"/>
    <w:rsid w:val="005535CF"/>
    <w:rsid w:val="00553951"/>
    <w:rsid w:val="0055398C"/>
    <w:rsid w:val="00553ABC"/>
    <w:rsid w:val="00553C0B"/>
    <w:rsid w:val="00554031"/>
    <w:rsid w:val="00554231"/>
    <w:rsid w:val="00554291"/>
    <w:rsid w:val="00554D97"/>
    <w:rsid w:val="005556D6"/>
    <w:rsid w:val="00555976"/>
    <w:rsid w:val="00555D81"/>
    <w:rsid w:val="005562D0"/>
    <w:rsid w:val="005563C4"/>
    <w:rsid w:val="00556454"/>
    <w:rsid w:val="005564C2"/>
    <w:rsid w:val="00556B4E"/>
    <w:rsid w:val="00556BE0"/>
    <w:rsid w:val="00556CC8"/>
    <w:rsid w:val="00556DAF"/>
    <w:rsid w:val="00556ED7"/>
    <w:rsid w:val="005572F5"/>
    <w:rsid w:val="005574E4"/>
    <w:rsid w:val="005579B8"/>
    <w:rsid w:val="00557CD1"/>
    <w:rsid w:val="0056026D"/>
    <w:rsid w:val="00560359"/>
    <w:rsid w:val="00560687"/>
    <w:rsid w:val="00560C2D"/>
    <w:rsid w:val="00560CD0"/>
    <w:rsid w:val="00561D50"/>
    <w:rsid w:val="00562125"/>
    <w:rsid w:val="00562452"/>
    <w:rsid w:val="005628BF"/>
    <w:rsid w:val="00562B1E"/>
    <w:rsid w:val="00562C54"/>
    <w:rsid w:val="00562EBA"/>
    <w:rsid w:val="005633A1"/>
    <w:rsid w:val="005639BB"/>
    <w:rsid w:val="005639FE"/>
    <w:rsid w:val="00563AAE"/>
    <w:rsid w:val="00563AF9"/>
    <w:rsid w:val="00563C1F"/>
    <w:rsid w:val="00563D9A"/>
    <w:rsid w:val="00563E91"/>
    <w:rsid w:val="00564BDB"/>
    <w:rsid w:val="00564C59"/>
    <w:rsid w:val="00564CCA"/>
    <w:rsid w:val="005660D0"/>
    <w:rsid w:val="00566227"/>
    <w:rsid w:val="00566679"/>
    <w:rsid w:val="005666E6"/>
    <w:rsid w:val="005666F0"/>
    <w:rsid w:val="00566718"/>
    <w:rsid w:val="00566E7F"/>
    <w:rsid w:val="00567FAD"/>
    <w:rsid w:val="0057020B"/>
    <w:rsid w:val="005704E1"/>
    <w:rsid w:val="00571207"/>
    <w:rsid w:val="005714ED"/>
    <w:rsid w:val="00571638"/>
    <w:rsid w:val="00571659"/>
    <w:rsid w:val="00571796"/>
    <w:rsid w:val="00571CC7"/>
    <w:rsid w:val="005729D6"/>
    <w:rsid w:val="00572A22"/>
    <w:rsid w:val="00572F83"/>
    <w:rsid w:val="005738B8"/>
    <w:rsid w:val="00573FF9"/>
    <w:rsid w:val="005744E0"/>
    <w:rsid w:val="005745E6"/>
    <w:rsid w:val="0057488E"/>
    <w:rsid w:val="00574928"/>
    <w:rsid w:val="00574CE0"/>
    <w:rsid w:val="00575483"/>
    <w:rsid w:val="0057562B"/>
    <w:rsid w:val="00575968"/>
    <w:rsid w:val="0057597C"/>
    <w:rsid w:val="00576705"/>
    <w:rsid w:val="005768DA"/>
    <w:rsid w:val="00576D88"/>
    <w:rsid w:val="00576E1A"/>
    <w:rsid w:val="00576EC5"/>
    <w:rsid w:val="00576F2F"/>
    <w:rsid w:val="0057712A"/>
    <w:rsid w:val="00577528"/>
    <w:rsid w:val="0057790F"/>
    <w:rsid w:val="00580127"/>
    <w:rsid w:val="00580130"/>
    <w:rsid w:val="00580A23"/>
    <w:rsid w:val="00580A41"/>
    <w:rsid w:val="00580AA4"/>
    <w:rsid w:val="00581202"/>
    <w:rsid w:val="0058166C"/>
    <w:rsid w:val="00581795"/>
    <w:rsid w:val="00581807"/>
    <w:rsid w:val="00582310"/>
    <w:rsid w:val="0058268B"/>
    <w:rsid w:val="00582776"/>
    <w:rsid w:val="00582A5C"/>
    <w:rsid w:val="00582CA0"/>
    <w:rsid w:val="00583A02"/>
    <w:rsid w:val="00583AC9"/>
    <w:rsid w:val="005841DC"/>
    <w:rsid w:val="00584CB2"/>
    <w:rsid w:val="00584FAB"/>
    <w:rsid w:val="00585596"/>
    <w:rsid w:val="00585865"/>
    <w:rsid w:val="005858D6"/>
    <w:rsid w:val="00585AB4"/>
    <w:rsid w:val="00586056"/>
    <w:rsid w:val="00586535"/>
    <w:rsid w:val="00586D28"/>
    <w:rsid w:val="00586F1A"/>
    <w:rsid w:val="00587318"/>
    <w:rsid w:val="005873C7"/>
    <w:rsid w:val="0058776E"/>
    <w:rsid w:val="00587D4F"/>
    <w:rsid w:val="0059022A"/>
    <w:rsid w:val="0059032C"/>
    <w:rsid w:val="00590376"/>
    <w:rsid w:val="00590431"/>
    <w:rsid w:val="0059055F"/>
    <w:rsid w:val="00590832"/>
    <w:rsid w:val="0059091B"/>
    <w:rsid w:val="005909FF"/>
    <w:rsid w:val="00590A09"/>
    <w:rsid w:val="00591437"/>
    <w:rsid w:val="00591DFD"/>
    <w:rsid w:val="00592DF0"/>
    <w:rsid w:val="00593008"/>
    <w:rsid w:val="00593D41"/>
    <w:rsid w:val="00593E37"/>
    <w:rsid w:val="00593F54"/>
    <w:rsid w:val="00594038"/>
    <w:rsid w:val="00594131"/>
    <w:rsid w:val="00594B36"/>
    <w:rsid w:val="00594C11"/>
    <w:rsid w:val="00595653"/>
    <w:rsid w:val="00595854"/>
    <w:rsid w:val="00595F7A"/>
    <w:rsid w:val="005967C7"/>
    <w:rsid w:val="00596897"/>
    <w:rsid w:val="0059693C"/>
    <w:rsid w:val="00596999"/>
    <w:rsid w:val="00596ACD"/>
    <w:rsid w:val="00597049"/>
    <w:rsid w:val="005970A8"/>
    <w:rsid w:val="005971BD"/>
    <w:rsid w:val="00597209"/>
    <w:rsid w:val="0059776E"/>
    <w:rsid w:val="00597CB0"/>
    <w:rsid w:val="00597F3E"/>
    <w:rsid w:val="005A0394"/>
    <w:rsid w:val="005A043A"/>
    <w:rsid w:val="005A06F6"/>
    <w:rsid w:val="005A0A07"/>
    <w:rsid w:val="005A0EDB"/>
    <w:rsid w:val="005A171B"/>
    <w:rsid w:val="005A221D"/>
    <w:rsid w:val="005A223A"/>
    <w:rsid w:val="005A265B"/>
    <w:rsid w:val="005A26E2"/>
    <w:rsid w:val="005A2A9F"/>
    <w:rsid w:val="005A2B5F"/>
    <w:rsid w:val="005A31AE"/>
    <w:rsid w:val="005A3731"/>
    <w:rsid w:val="005A4257"/>
    <w:rsid w:val="005A4E12"/>
    <w:rsid w:val="005A4E42"/>
    <w:rsid w:val="005A4F0B"/>
    <w:rsid w:val="005A5308"/>
    <w:rsid w:val="005A568E"/>
    <w:rsid w:val="005A5BB8"/>
    <w:rsid w:val="005A6E45"/>
    <w:rsid w:val="005A74B1"/>
    <w:rsid w:val="005A75C5"/>
    <w:rsid w:val="005A7CC1"/>
    <w:rsid w:val="005A7E6C"/>
    <w:rsid w:val="005B0265"/>
    <w:rsid w:val="005B047B"/>
    <w:rsid w:val="005B0E92"/>
    <w:rsid w:val="005B10D5"/>
    <w:rsid w:val="005B1C9F"/>
    <w:rsid w:val="005B20B2"/>
    <w:rsid w:val="005B2AB8"/>
    <w:rsid w:val="005B2B4C"/>
    <w:rsid w:val="005B3418"/>
    <w:rsid w:val="005B388C"/>
    <w:rsid w:val="005B3AFE"/>
    <w:rsid w:val="005B40A5"/>
    <w:rsid w:val="005B41A5"/>
    <w:rsid w:val="005B5893"/>
    <w:rsid w:val="005B6628"/>
    <w:rsid w:val="005B6B20"/>
    <w:rsid w:val="005B6CC2"/>
    <w:rsid w:val="005B6F95"/>
    <w:rsid w:val="005B73BF"/>
    <w:rsid w:val="005B73FF"/>
    <w:rsid w:val="005B79BF"/>
    <w:rsid w:val="005B7C07"/>
    <w:rsid w:val="005B7E69"/>
    <w:rsid w:val="005C0983"/>
    <w:rsid w:val="005C0C86"/>
    <w:rsid w:val="005C11BC"/>
    <w:rsid w:val="005C1450"/>
    <w:rsid w:val="005C14B9"/>
    <w:rsid w:val="005C1659"/>
    <w:rsid w:val="005C178E"/>
    <w:rsid w:val="005C199E"/>
    <w:rsid w:val="005C1BC8"/>
    <w:rsid w:val="005C2178"/>
    <w:rsid w:val="005C26DB"/>
    <w:rsid w:val="005C2B1F"/>
    <w:rsid w:val="005C2E5F"/>
    <w:rsid w:val="005C384B"/>
    <w:rsid w:val="005C3A27"/>
    <w:rsid w:val="005C3F15"/>
    <w:rsid w:val="005C3FD8"/>
    <w:rsid w:val="005C40C3"/>
    <w:rsid w:val="005C42E3"/>
    <w:rsid w:val="005C440C"/>
    <w:rsid w:val="005C4C29"/>
    <w:rsid w:val="005C4CE4"/>
    <w:rsid w:val="005C5365"/>
    <w:rsid w:val="005C59FD"/>
    <w:rsid w:val="005C5DB5"/>
    <w:rsid w:val="005C640B"/>
    <w:rsid w:val="005C6C89"/>
    <w:rsid w:val="005C741A"/>
    <w:rsid w:val="005C7576"/>
    <w:rsid w:val="005C7645"/>
    <w:rsid w:val="005C78BA"/>
    <w:rsid w:val="005D0780"/>
    <w:rsid w:val="005D07B0"/>
    <w:rsid w:val="005D0802"/>
    <w:rsid w:val="005D0871"/>
    <w:rsid w:val="005D096A"/>
    <w:rsid w:val="005D09B6"/>
    <w:rsid w:val="005D0BD6"/>
    <w:rsid w:val="005D1035"/>
    <w:rsid w:val="005D1A9A"/>
    <w:rsid w:val="005D1BED"/>
    <w:rsid w:val="005D1D06"/>
    <w:rsid w:val="005D1EF7"/>
    <w:rsid w:val="005D1FB3"/>
    <w:rsid w:val="005D2374"/>
    <w:rsid w:val="005D24E9"/>
    <w:rsid w:val="005D2AFB"/>
    <w:rsid w:val="005D2BBF"/>
    <w:rsid w:val="005D3111"/>
    <w:rsid w:val="005D3132"/>
    <w:rsid w:val="005D3228"/>
    <w:rsid w:val="005D3306"/>
    <w:rsid w:val="005D443B"/>
    <w:rsid w:val="005D48B4"/>
    <w:rsid w:val="005D4ED2"/>
    <w:rsid w:val="005D4FF1"/>
    <w:rsid w:val="005D50B5"/>
    <w:rsid w:val="005D52C2"/>
    <w:rsid w:val="005D54D9"/>
    <w:rsid w:val="005D55A7"/>
    <w:rsid w:val="005D55DB"/>
    <w:rsid w:val="005D5931"/>
    <w:rsid w:val="005D5B37"/>
    <w:rsid w:val="005D6158"/>
    <w:rsid w:val="005D658E"/>
    <w:rsid w:val="005D675A"/>
    <w:rsid w:val="005D691C"/>
    <w:rsid w:val="005D6B6B"/>
    <w:rsid w:val="005D7484"/>
    <w:rsid w:val="005D7766"/>
    <w:rsid w:val="005D7F58"/>
    <w:rsid w:val="005E1C51"/>
    <w:rsid w:val="005E1E58"/>
    <w:rsid w:val="005E20E3"/>
    <w:rsid w:val="005E22B4"/>
    <w:rsid w:val="005E23D3"/>
    <w:rsid w:val="005E295B"/>
    <w:rsid w:val="005E2E97"/>
    <w:rsid w:val="005E3A4D"/>
    <w:rsid w:val="005E3ACE"/>
    <w:rsid w:val="005E3B4E"/>
    <w:rsid w:val="005E4058"/>
    <w:rsid w:val="005E430A"/>
    <w:rsid w:val="005E4341"/>
    <w:rsid w:val="005E4995"/>
    <w:rsid w:val="005E5409"/>
    <w:rsid w:val="005E56C8"/>
    <w:rsid w:val="005E5A4A"/>
    <w:rsid w:val="005E5EC6"/>
    <w:rsid w:val="005E5FBB"/>
    <w:rsid w:val="005E62D4"/>
    <w:rsid w:val="005E72DD"/>
    <w:rsid w:val="005E7893"/>
    <w:rsid w:val="005E7BAB"/>
    <w:rsid w:val="005E7DDF"/>
    <w:rsid w:val="005F04CE"/>
    <w:rsid w:val="005F070C"/>
    <w:rsid w:val="005F092B"/>
    <w:rsid w:val="005F0960"/>
    <w:rsid w:val="005F0B2B"/>
    <w:rsid w:val="005F0C40"/>
    <w:rsid w:val="005F0E48"/>
    <w:rsid w:val="005F0F1C"/>
    <w:rsid w:val="005F1882"/>
    <w:rsid w:val="005F1B42"/>
    <w:rsid w:val="005F1C1A"/>
    <w:rsid w:val="005F1E91"/>
    <w:rsid w:val="005F1EF6"/>
    <w:rsid w:val="005F2150"/>
    <w:rsid w:val="005F2793"/>
    <w:rsid w:val="005F290A"/>
    <w:rsid w:val="005F2E4A"/>
    <w:rsid w:val="005F2EE8"/>
    <w:rsid w:val="005F3316"/>
    <w:rsid w:val="005F367F"/>
    <w:rsid w:val="005F39E5"/>
    <w:rsid w:val="005F3B91"/>
    <w:rsid w:val="005F3FB4"/>
    <w:rsid w:val="005F41F4"/>
    <w:rsid w:val="005F421C"/>
    <w:rsid w:val="005F4C22"/>
    <w:rsid w:val="005F4DD2"/>
    <w:rsid w:val="005F4EB4"/>
    <w:rsid w:val="005F526D"/>
    <w:rsid w:val="005F5B6B"/>
    <w:rsid w:val="005F5E07"/>
    <w:rsid w:val="005F6358"/>
    <w:rsid w:val="005F65F2"/>
    <w:rsid w:val="005F66D5"/>
    <w:rsid w:val="005F6921"/>
    <w:rsid w:val="005F6B21"/>
    <w:rsid w:val="005F725C"/>
    <w:rsid w:val="005F7281"/>
    <w:rsid w:val="005F760D"/>
    <w:rsid w:val="005F7924"/>
    <w:rsid w:val="005F7A30"/>
    <w:rsid w:val="005F7DB0"/>
    <w:rsid w:val="00600484"/>
    <w:rsid w:val="00600CA7"/>
    <w:rsid w:val="00600D37"/>
    <w:rsid w:val="00600F68"/>
    <w:rsid w:val="006010B5"/>
    <w:rsid w:val="006011FB"/>
    <w:rsid w:val="00601526"/>
    <w:rsid w:val="0060165E"/>
    <w:rsid w:val="00601A09"/>
    <w:rsid w:val="00602062"/>
    <w:rsid w:val="0060232A"/>
    <w:rsid w:val="00602350"/>
    <w:rsid w:val="006029D4"/>
    <w:rsid w:val="00602BDE"/>
    <w:rsid w:val="006031A9"/>
    <w:rsid w:val="006033C9"/>
    <w:rsid w:val="00603637"/>
    <w:rsid w:val="00603AB3"/>
    <w:rsid w:val="00603ADF"/>
    <w:rsid w:val="00603CE7"/>
    <w:rsid w:val="00603E90"/>
    <w:rsid w:val="006043E5"/>
    <w:rsid w:val="006044A0"/>
    <w:rsid w:val="00604CEC"/>
    <w:rsid w:val="006053B6"/>
    <w:rsid w:val="00605590"/>
    <w:rsid w:val="00605C15"/>
    <w:rsid w:val="006064A7"/>
    <w:rsid w:val="00606574"/>
    <w:rsid w:val="006065D8"/>
    <w:rsid w:val="0060691E"/>
    <w:rsid w:val="00606D06"/>
    <w:rsid w:val="0060706B"/>
    <w:rsid w:val="00607271"/>
    <w:rsid w:val="00607327"/>
    <w:rsid w:val="00607C67"/>
    <w:rsid w:val="00607E37"/>
    <w:rsid w:val="00607FC8"/>
    <w:rsid w:val="00610174"/>
    <w:rsid w:val="00610516"/>
    <w:rsid w:val="00610828"/>
    <w:rsid w:val="00610F1B"/>
    <w:rsid w:val="00610F98"/>
    <w:rsid w:val="006110F9"/>
    <w:rsid w:val="006112B0"/>
    <w:rsid w:val="006114CB"/>
    <w:rsid w:val="00611A39"/>
    <w:rsid w:val="00611A46"/>
    <w:rsid w:val="00611B19"/>
    <w:rsid w:val="00611B72"/>
    <w:rsid w:val="00611FCE"/>
    <w:rsid w:val="00612132"/>
    <w:rsid w:val="00612AE9"/>
    <w:rsid w:val="00612E4C"/>
    <w:rsid w:val="00612E7C"/>
    <w:rsid w:val="00612F18"/>
    <w:rsid w:val="0061335E"/>
    <w:rsid w:val="00613508"/>
    <w:rsid w:val="00613638"/>
    <w:rsid w:val="00614AB7"/>
    <w:rsid w:val="00615A78"/>
    <w:rsid w:val="00615C05"/>
    <w:rsid w:val="00616225"/>
    <w:rsid w:val="0061646A"/>
    <w:rsid w:val="006165F6"/>
    <w:rsid w:val="0061669F"/>
    <w:rsid w:val="006166D6"/>
    <w:rsid w:val="00616FCB"/>
    <w:rsid w:val="00617A9F"/>
    <w:rsid w:val="00617C49"/>
    <w:rsid w:val="0062024D"/>
    <w:rsid w:val="006202C5"/>
    <w:rsid w:val="0062080F"/>
    <w:rsid w:val="0062091D"/>
    <w:rsid w:val="00620D69"/>
    <w:rsid w:val="00621158"/>
    <w:rsid w:val="006212F5"/>
    <w:rsid w:val="00621340"/>
    <w:rsid w:val="0062169B"/>
    <w:rsid w:val="00621937"/>
    <w:rsid w:val="00621F32"/>
    <w:rsid w:val="0062221F"/>
    <w:rsid w:val="00622249"/>
    <w:rsid w:val="00622808"/>
    <w:rsid w:val="006232BC"/>
    <w:rsid w:val="0062331E"/>
    <w:rsid w:val="0062342C"/>
    <w:rsid w:val="00623700"/>
    <w:rsid w:val="006237C8"/>
    <w:rsid w:val="00623A95"/>
    <w:rsid w:val="00623C80"/>
    <w:rsid w:val="00623F0F"/>
    <w:rsid w:val="00624282"/>
    <w:rsid w:val="0062467A"/>
    <w:rsid w:val="0062486D"/>
    <w:rsid w:val="00624A04"/>
    <w:rsid w:val="00624A5B"/>
    <w:rsid w:val="00624BD0"/>
    <w:rsid w:val="00624CBC"/>
    <w:rsid w:val="00624FDC"/>
    <w:rsid w:val="00624FF4"/>
    <w:rsid w:val="006256B7"/>
    <w:rsid w:val="00625C9F"/>
    <w:rsid w:val="00625CDA"/>
    <w:rsid w:val="00625E0C"/>
    <w:rsid w:val="006263C0"/>
    <w:rsid w:val="006266A3"/>
    <w:rsid w:val="00626A48"/>
    <w:rsid w:val="00627042"/>
    <w:rsid w:val="00627A60"/>
    <w:rsid w:val="00627B52"/>
    <w:rsid w:val="00627C76"/>
    <w:rsid w:val="006300AD"/>
    <w:rsid w:val="0063043B"/>
    <w:rsid w:val="0063108A"/>
    <w:rsid w:val="006311BA"/>
    <w:rsid w:val="0063142A"/>
    <w:rsid w:val="00631C5E"/>
    <w:rsid w:val="00631ECC"/>
    <w:rsid w:val="00631FED"/>
    <w:rsid w:val="00632463"/>
    <w:rsid w:val="00632486"/>
    <w:rsid w:val="0063340E"/>
    <w:rsid w:val="00633507"/>
    <w:rsid w:val="00633631"/>
    <w:rsid w:val="00633690"/>
    <w:rsid w:val="006336FC"/>
    <w:rsid w:val="006337D3"/>
    <w:rsid w:val="00633B27"/>
    <w:rsid w:val="00634271"/>
    <w:rsid w:val="006342CB"/>
    <w:rsid w:val="006343D8"/>
    <w:rsid w:val="00634E24"/>
    <w:rsid w:val="00634FD9"/>
    <w:rsid w:val="00635070"/>
    <w:rsid w:val="00635466"/>
    <w:rsid w:val="00635C2C"/>
    <w:rsid w:val="00635E2C"/>
    <w:rsid w:val="00635ED8"/>
    <w:rsid w:val="0063620F"/>
    <w:rsid w:val="006362CE"/>
    <w:rsid w:val="00636626"/>
    <w:rsid w:val="006367B5"/>
    <w:rsid w:val="0063688F"/>
    <w:rsid w:val="006376A7"/>
    <w:rsid w:val="00637868"/>
    <w:rsid w:val="00637D49"/>
    <w:rsid w:val="00640066"/>
    <w:rsid w:val="006403A4"/>
    <w:rsid w:val="006409E0"/>
    <w:rsid w:val="00641395"/>
    <w:rsid w:val="006415D9"/>
    <w:rsid w:val="006418D4"/>
    <w:rsid w:val="00641A67"/>
    <w:rsid w:val="00642126"/>
    <w:rsid w:val="006421AD"/>
    <w:rsid w:val="006427F5"/>
    <w:rsid w:val="00642D8C"/>
    <w:rsid w:val="00643033"/>
    <w:rsid w:val="0064409C"/>
    <w:rsid w:val="006440E9"/>
    <w:rsid w:val="00645A65"/>
    <w:rsid w:val="006461FE"/>
    <w:rsid w:val="006465AE"/>
    <w:rsid w:val="0064671D"/>
    <w:rsid w:val="00646A9D"/>
    <w:rsid w:val="00646F56"/>
    <w:rsid w:val="00646F95"/>
    <w:rsid w:val="00647599"/>
    <w:rsid w:val="00647D32"/>
    <w:rsid w:val="00647D34"/>
    <w:rsid w:val="00647D62"/>
    <w:rsid w:val="00647E5A"/>
    <w:rsid w:val="00650434"/>
    <w:rsid w:val="006508BA"/>
    <w:rsid w:val="006508BF"/>
    <w:rsid w:val="00650CAB"/>
    <w:rsid w:val="00650FE2"/>
    <w:rsid w:val="006512AA"/>
    <w:rsid w:val="006514CD"/>
    <w:rsid w:val="0065152D"/>
    <w:rsid w:val="0065174E"/>
    <w:rsid w:val="00652689"/>
    <w:rsid w:val="006528CE"/>
    <w:rsid w:val="00652E71"/>
    <w:rsid w:val="006535FA"/>
    <w:rsid w:val="0065393A"/>
    <w:rsid w:val="00653982"/>
    <w:rsid w:val="00653B34"/>
    <w:rsid w:val="00653D6C"/>
    <w:rsid w:val="00653F45"/>
    <w:rsid w:val="006543A7"/>
    <w:rsid w:val="006543ED"/>
    <w:rsid w:val="0065475F"/>
    <w:rsid w:val="0065479C"/>
    <w:rsid w:val="0065484B"/>
    <w:rsid w:val="006549DB"/>
    <w:rsid w:val="00654AEE"/>
    <w:rsid w:val="0065512C"/>
    <w:rsid w:val="00655B7E"/>
    <w:rsid w:val="0065617E"/>
    <w:rsid w:val="006561DB"/>
    <w:rsid w:val="00656446"/>
    <w:rsid w:val="00656750"/>
    <w:rsid w:val="00656CAA"/>
    <w:rsid w:val="006572A0"/>
    <w:rsid w:val="006572D1"/>
    <w:rsid w:val="006600C4"/>
    <w:rsid w:val="006602F3"/>
    <w:rsid w:val="00660522"/>
    <w:rsid w:val="00660A1D"/>
    <w:rsid w:val="00660E25"/>
    <w:rsid w:val="00661B85"/>
    <w:rsid w:val="00662076"/>
    <w:rsid w:val="00662710"/>
    <w:rsid w:val="00662D24"/>
    <w:rsid w:val="00662E36"/>
    <w:rsid w:val="00663450"/>
    <w:rsid w:val="0066368B"/>
    <w:rsid w:val="0066375A"/>
    <w:rsid w:val="00663A6B"/>
    <w:rsid w:val="00663C27"/>
    <w:rsid w:val="00663C3F"/>
    <w:rsid w:val="00663E01"/>
    <w:rsid w:val="0066401E"/>
    <w:rsid w:val="0066553C"/>
    <w:rsid w:val="00665653"/>
    <w:rsid w:val="0066565C"/>
    <w:rsid w:val="0066598D"/>
    <w:rsid w:val="00665AFD"/>
    <w:rsid w:val="00665D6D"/>
    <w:rsid w:val="006660A1"/>
    <w:rsid w:val="00666A66"/>
    <w:rsid w:val="00666DC1"/>
    <w:rsid w:val="0066712C"/>
    <w:rsid w:val="00667394"/>
    <w:rsid w:val="00667424"/>
    <w:rsid w:val="00667C56"/>
    <w:rsid w:val="006706AA"/>
    <w:rsid w:val="00670D83"/>
    <w:rsid w:val="006712D8"/>
    <w:rsid w:val="006714F7"/>
    <w:rsid w:val="006715F0"/>
    <w:rsid w:val="00671E7C"/>
    <w:rsid w:val="00672164"/>
    <w:rsid w:val="006723EE"/>
    <w:rsid w:val="0067242C"/>
    <w:rsid w:val="0067257F"/>
    <w:rsid w:val="00672944"/>
    <w:rsid w:val="0067298F"/>
    <w:rsid w:val="00672A44"/>
    <w:rsid w:val="00672F43"/>
    <w:rsid w:val="00673330"/>
    <w:rsid w:val="006735A5"/>
    <w:rsid w:val="00673BDB"/>
    <w:rsid w:val="006749CC"/>
    <w:rsid w:val="00674A96"/>
    <w:rsid w:val="0067557F"/>
    <w:rsid w:val="0067582A"/>
    <w:rsid w:val="006759F6"/>
    <w:rsid w:val="0067669D"/>
    <w:rsid w:val="006766B8"/>
    <w:rsid w:val="00676746"/>
    <w:rsid w:val="006768AF"/>
    <w:rsid w:val="00677767"/>
    <w:rsid w:val="0068067B"/>
    <w:rsid w:val="00680AA3"/>
    <w:rsid w:val="00680E4A"/>
    <w:rsid w:val="00680ECF"/>
    <w:rsid w:val="006810D2"/>
    <w:rsid w:val="00681441"/>
    <w:rsid w:val="0068171F"/>
    <w:rsid w:val="00681860"/>
    <w:rsid w:val="00681A6B"/>
    <w:rsid w:val="00681B49"/>
    <w:rsid w:val="0068205C"/>
    <w:rsid w:val="0068213E"/>
    <w:rsid w:val="006824AD"/>
    <w:rsid w:val="006824ED"/>
    <w:rsid w:val="00682A16"/>
    <w:rsid w:val="00682CE4"/>
    <w:rsid w:val="006838B3"/>
    <w:rsid w:val="00683A34"/>
    <w:rsid w:val="00683E66"/>
    <w:rsid w:val="006840A2"/>
    <w:rsid w:val="006843E2"/>
    <w:rsid w:val="006843FF"/>
    <w:rsid w:val="00684758"/>
    <w:rsid w:val="00684A6B"/>
    <w:rsid w:val="00685A11"/>
    <w:rsid w:val="00685CB3"/>
    <w:rsid w:val="00685D19"/>
    <w:rsid w:val="00686323"/>
    <w:rsid w:val="00686888"/>
    <w:rsid w:val="00686AA7"/>
    <w:rsid w:val="00686B41"/>
    <w:rsid w:val="00686FB2"/>
    <w:rsid w:val="00687BAF"/>
    <w:rsid w:val="00687C15"/>
    <w:rsid w:val="00687FDC"/>
    <w:rsid w:val="0069036D"/>
    <w:rsid w:val="00690751"/>
    <w:rsid w:val="00690801"/>
    <w:rsid w:val="00690F3D"/>
    <w:rsid w:val="00691C36"/>
    <w:rsid w:val="00691D86"/>
    <w:rsid w:val="00691FE3"/>
    <w:rsid w:val="00692194"/>
    <w:rsid w:val="0069240D"/>
    <w:rsid w:val="0069244B"/>
    <w:rsid w:val="006927E2"/>
    <w:rsid w:val="00692CE9"/>
    <w:rsid w:val="006930C0"/>
    <w:rsid w:val="00693170"/>
    <w:rsid w:val="00693254"/>
    <w:rsid w:val="00693260"/>
    <w:rsid w:val="00693F43"/>
    <w:rsid w:val="00694340"/>
    <w:rsid w:val="0069461E"/>
    <w:rsid w:val="00694E13"/>
    <w:rsid w:val="00695657"/>
    <w:rsid w:val="00695750"/>
    <w:rsid w:val="006959E2"/>
    <w:rsid w:val="00695C39"/>
    <w:rsid w:val="006960EF"/>
    <w:rsid w:val="00696552"/>
    <w:rsid w:val="0069666A"/>
    <w:rsid w:val="006968AE"/>
    <w:rsid w:val="006968C0"/>
    <w:rsid w:val="00696BA0"/>
    <w:rsid w:val="00697247"/>
    <w:rsid w:val="006979F3"/>
    <w:rsid w:val="00697B0C"/>
    <w:rsid w:val="00697FA4"/>
    <w:rsid w:val="006A0451"/>
    <w:rsid w:val="006A0560"/>
    <w:rsid w:val="006A0B0B"/>
    <w:rsid w:val="006A0DCC"/>
    <w:rsid w:val="006A13A4"/>
    <w:rsid w:val="006A14B0"/>
    <w:rsid w:val="006A1995"/>
    <w:rsid w:val="006A22B4"/>
    <w:rsid w:val="006A2427"/>
    <w:rsid w:val="006A2A7B"/>
    <w:rsid w:val="006A36BE"/>
    <w:rsid w:val="006A3FDC"/>
    <w:rsid w:val="006A435B"/>
    <w:rsid w:val="006A44B2"/>
    <w:rsid w:val="006A45B1"/>
    <w:rsid w:val="006A46AE"/>
    <w:rsid w:val="006A4B83"/>
    <w:rsid w:val="006A4C38"/>
    <w:rsid w:val="006A4D8C"/>
    <w:rsid w:val="006A4D98"/>
    <w:rsid w:val="006A505C"/>
    <w:rsid w:val="006A5381"/>
    <w:rsid w:val="006A5699"/>
    <w:rsid w:val="006A5744"/>
    <w:rsid w:val="006A58B5"/>
    <w:rsid w:val="006A593A"/>
    <w:rsid w:val="006A59C5"/>
    <w:rsid w:val="006A6041"/>
    <w:rsid w:val="006A60A2"/>
    <w:rsid w:val="006A6142"/>
    <w:rsid w:val="006A6445"/>
    <w:rsid w:val="006A6715"/>
    <w:rsid w:val="006A67F7"/>
    <w:rsid w:val="006A69D0"/>
    <w:rsid w:val="006A777D"/>
    <w:rsid w:val="006A7831"/>
    <w:rsid w:val="006B0151"/>
    <w:rsid w:val="006B0471"/>
    <w:rsid w:val="006B0E9B"/>
    <w:rsid w:val="006B105E"/>
    <w:rsid w:val="006B117D"/>
    <w:rsid w:val="006B186E"/>
    <w:rsid w:val="006B1A31"/>
    <w:rsid w:val="006B1AC6"/>
    <w:rsid w:val="006B1B66"/>
    <w:rsid w:val="006B1C53"/>
    <w:rsid w:val="006B1E9C"/>
    <w:rsid w:val="006B215E"/>
    <w:rsid w:val="006B285C"/>
    <w:rsid w:val="006B2A48"/>
    <w:rsid w:val="006B2C27"/>
    <w:rsid w:val="006B334E"/>
    <w:rsid w:val="006B3968"/>
    <w:rsid w:val="006B3976"/>
    <w:rsid w:val="006B4023"/>
    <w:rsid w:val="006B4245"/>
    <w:rsid w:val="006B480A"/>
    <w:rsid w:val="006B50F0"/>
    <w:rsid w:val="006B5C32"/>
    <w:rsid w:val="006B6427"/>
    <w:rsid w:val="006B6703"/>
    <w:rsid w:val="006B6CB7"/>
    <w:rsid w:val="006B7318"/>
    <w:rsid w:val="006B7390"/>
    <w:rsid w:val="006B78A4"/>
    <w:rsid w:val="006B7A8A"/>
    <w:rsid w:val="006C0056"/>
    <w:rsid w:val="006C00C5"/>
    <w:rsid w:val="006C0264"/>
    <w:rsid w:val="006C0658"/>
    <w:rsid w:val="006C12E3"/>
    <w:rsid w:val="006C1512"/>
    <w:rsid w:val="006C1525"/>
    <w:rsid w:val="006C1683"/>
    <w:rsid w:val="006C199A"/>
    <w:rsid w:val="006C1C37"/>
    <w:rsid w:val="006C2031"/>
    <w:rsid w:val="006C228C"/>
    <w:rsid w:val="006C22EA"/>
    <w:rsid w:val="006C2EAE"/>
    <w:rsid w:val="006C31B0"/>
    <w:rsid w:val="006C3AF9"/>
    <w:rsid w:val="006C3BC4"/>
    <w:rsid w:val="006C3EE8"/>
    <w:rsid w:val="006C3FC0"/>
    <w:rsid w:val="006C405D"/>
    <w:rsid w:val="006C4479"/>
    <w:rsid w:val="006C452E"/>
    <w:rsid w:val="006C4554"/>
    <w:rsid w:val="006C4D1B"/>
    <w:rsid w:val="006C4EC5"/>
    <w:rsid w:val="006C5205"/>
    <w:rsid w:val="006C5868"/>
    <w:rsid w:val="006C5BA2"/>
    <w:rsid w:val="006C62A0"/>
    <w:rsid w:val="006C67A9"/>
    <w:rsid w:val="006C69A8"/>
    <w:rsid w:val="006C7112"/>
    <w:rsid w:val="006C71B3"/>
    <w:rsid w:val="006C736B"/>
    <w:rsid w:val="006C7565"/>
    <w:rsid w:val="006C7AB6"/>
    <w:rsid w:val="006D082A"/>
    <w:rsid w:val="006D0C4A"/>
    <w:rsid w:val="006D0CD5"/>
    <w:rsid w:val="006D0F7C"/>
    <w:rsid w:val="006D1C32"/>
    <w:rsid w:val="006D1DF2"/>
    <w:rsid w:val="006D2288"/>
    <w:rsid w:val="006D2729"/>
    <w:rsid w:val="006D2C30"/>
    <w:rsid w:val="006D32C7"/>
    <w:rsid w:val="006D3571"/>
    <w:rsid w:val="006D35AD"/>
    <w:rsid w:val="006D376E"/>
    <w:rsid w:val="006D3A8C"/>
    <w:rsid w:val="006D3C3D"/>
    <w:rsid w:val="006D3E6B"/>
    <w:rsid w:val="006D3F01"/>
    <w:rsid w:val="006D4138"/>
    <w:rsid w:val="006D41BC"/>
    <w:rsid w:val="006D487B"/>
    <w:rsid w:val="006D49C2"/>
    <w:rsid w:val="006D4AD9"/>
    <w:rsid w:val="006D4C77"/>
    <w:rsid w:val="006D4DB1"/>
    <w:rsid w:val="006D4DC6"/>
    <w:rsid w:val="006D508D"/>
    <w:rsid w:val="006D5608"/>
    <w:rsid w:val="006D5CCD"/>
    <w:rsid w:val="006D6201"/>
    <w:rsid w:val="006D6599"/>
    <w:rsid w:val="006D6AAC"/>
    <w:rsid w:val="006D710F"/>
    <w:rsid w:val="006D7590"/>
    <w:rsid w:val="006D77F0"/>
    <w:rsid w:val="006D78EB"/>
    <w:rsid w:val="006D7BF5"/>
    <w:rsid w:val="006D7D97"/>
    <w:rsid w:val="006D7F22"/>
    <w:rsid w:val="006E0906"/>
    <w:rsid w:val="006E0C05"/>
    <w:rsid w:val="006E0CFA"/>
    <w:rsid w:val="006E1857"/>
    <w:rsid w:val="006E1C4C"/>
    <w:rsid w:val="006E1F07"/>
    <w:rsid w:val="006E2150"/>
    <w:rsid w:val="006E218E"/>
    <w:rsid w:val="006E21F5"/>
    <w:rsid w:val="006E2717"/>
    <w:rsid w:val="006E27C2"/>
    <w:rsid w:val="006E2C42"/>
    <w:rsid w:val="006E2D21"/>
    <w:rsid w:val="006E2D35"/>
    <w:rsid w:val="006E30C7"/>
    <w:rsid w:val="006E3270"/>
    <w:rsid w:val="006E327D"/>
    <w:rsid w:val="006E34F4"/>
    <w:rsid w:val="006E35F9"/>
    <w:rsid w:val="006E36AA"/>
    <w:rsid w:val="006E3818"/>
    <w:rsid w:val="006E39E2"/>
    <w:rsid w:val="006E3A77"/>
    <w:rsid w:val="006E461E"/>
    <w:rsid w:val="006E492A"/>
    <w:rsid w:val="006E4B90"/>
    <w:rsid w:val="006E50FE"/>
    <w:rsid w:val="006E51B5"/>
    <w:rsid w:val="006E5428"/>
    <w:rsid w:val="006E5447"/>
    <w:rsid w:val="006E569F"/>
    <w:rsid w:val="006E5C8C"/>
    <w:rsid w:val="006E5D00"/>
    <w:rsid w:val="006E5D81"/>
    <w:rsid w:val="006E6162"/>
    <w:rsid w:val="006E6F7E"/>
    <w:rsid w:val="006E7405"/>
    <w:rsid w:val="006E7AD6"/>
    <w:rsid w:val="006E7D4F"/>
    <w:rsid w:val="006E7DEA"/>
    <w:rsid w:val="006E7F9F"/>
    <w:rsid w:val="006F086F"/>
    <w:rsid w:val="006F0AC2"/>
    <w:rsid w:val="006F10C8"/>
    <w:rsid w:val="006F1186"/>
    <w:rsid w:val="006F129D"/>
    <w:rsid w:val="006F148D"/>
    <w:rsid w:val="006F14E5"/>
    <w:rsid w:val="006F155C"/>
    <w:rsid w:val="006F1988"/>
    <w:rsid w:val="006F1D62"/>
    <w:rsid w:val="006F2B31"/>
    <w:rsid w:val="006F2E8B"/>
    <w:rsid w:val="006F3127"/>
    <w:rsid w:val="006F3436"/>
    <w:rsid w:val="006F39A3"/>
    <w:rsid w:val="006F3A96"/>
    <w:rsid w:val="006F3A9F"/>
    <w:rsid w:val="006F3AA3"/>
    <w:rsid w:val="006F3C95"/>
    <w:rsid w:val="006F42D4"/>
    <w:rsid w:val="006F44F2"/>
    <w:rsid w:val="006F4948"/>
    <w:rsid w:val="006F4A07"/>
    <w:rsid w:val="006F503F"/>
    <w:rsid w:val="006F5056"/>
    <w:rsid w:val="006F56EC"/>
    <w:rsid w:val="006F58C2"/>
    <w:rsid w:val="006F5970"/>
    <w:rsid w:val="006F5FE2"/>
    <w:rsid w:val="006F6615"/>
    <w:rsid w:val="006F7896"/>
    <w:rsid w:val="006F7EE9"/>
    <w:rsid w:val="00700198"/>
    <w:rsid w:val="007001CE"/>
    <w:rsid w:val="0070079E"/>
    <w:rsid w:val="0070083C"/>
    <w:rsid w:val="007009FC"/>
    <w:rsid w:val="00700A1A"/>
    <w:rsid w:val="007016C5"/>
    <w:rsid w:val="00701B2C"/>
    <w:rsid w:val="00701E04"/>
    <w:rsid w:val="00701EA7"/>
    <w:rsid w:val="007021DE"/>
    <w:rsid w:val="0070246B"/>
    <w:rsid w:val="007027E6"/>
    <w:rsid w:val="007032FC"/>
    <w:rsid w:val="007037E8"/>
    <w:rsid w:val="00703B31"/>
    <w:rsid w:val="00703B4D"/>
    <w:rsid w:val="00703EDD"/>
    <w:rsid w:val="00704664"/>
    <w:rsid w:val="00704AF9"/>
    <w:rsid w:val="00704DF0"/>
    <w:rsid w:val="0070606C"/>
    <w:rsid w:val="00706187"/>
    <w:rsid w:val="00706237"/>
    <w:rsid w:val="00706DE9"/>
    <w:rsid w:val="007071EE"/>
    <w:rsid w:val="007079D5"/>
    <w:rsid w:val="00707A21"/>
    <w:rsid w:val="00707ACD"/>
    <w:rsid w:val="00707BEB"/>
    <w:rsid w:val="0071022B"/>
    <w:rsid w:val="00710E67"/>
    <w:rsid w:val="0071186F"/>
    <w:rsid w:val="00711A71"/>
    <w:rsid w:val="0071212B"/>
    <w:rsid w:val="0071214C"/>
    <w:rsid w:val="00712A80"/>
    <w:rsid w:val="00712F61"/>
    <w:rsid w:val="0071335E"/>
    <w:rsid w:val="007134A5"/>
    <w:rsid w:val="00713762"/>
    <w:rsid w:val="007147AE"/>
    <w:rsid w:val="007149D4"/>
    <w:rsid w:val="0071501B"/>
    <w:rsid w:val="00715024"/>
    <w:rsid w:val="00716138"/>
    <w:rsid w:val="007167DE"/>
    <w:rsid w:val="00716D04"/>
    <w:rsid w:val="00716E12"/>
    <w:rsid w:val="007175A6"/>
    <w:rsid w:val="007203BF"/>
    <w:rsid w:val="00721028"/>
    <w:rsid w:val="00721229"/>
    <w:rsid w:val="007214D5"/>
    <w:rsid w:val="00721523"/>
    <w:rsid w:val="007216E8"/>
    <w:rsid w:val="0072189C"/>
    <w:rsid w:val="00721FAA"/>
    <w:rsid w:val="0072213C"/>
    <w:rsid w:val="00722928"/>
    <w:rsid w:val="00722C82"/>
    <w:rsid w:val="00722FAE"/>
    <w:rsid w:val="0072339F"/>
    <w:rsid w:val="007236A8"/>
    <w:rsid w:val="0072383E"/>
    <w:rsid w:val="00723A54"/>
    <w:rsid w:val="00723BCE"/>
    <w:rsid w:val="00723FE3"/>
    <w:rsid w:val="007240F6"/>
    <w:rsid w:val="00724169"/>
    <w:rsid w:val="007243F2"/>
    <w:rsid w:val="00724716"/>
    <w:rsid w:val="00724808"/>
    <w:rsid w:val="0072490B"/>
    <w:rsid w:val="00725005"/>
    <w:rsid w:val="00725561"/>
    <w:rsid w:val="00725C3D"/>
    <w:rsid w:val="00726888"/>
    <w:rsid w:val="00726923"/>
    <w:rsid w:val="00726ACC"/>
    <w:rsid w:val="00726C2B"/>
    <w:rsid w:val="00726C82"/>
    <w:rsid w:val="00726D89"/>
    <w:rsid w:val="007277DE"/>
    <w:rsid w:val="00727F25"/>
    <w:rsid w:val="00730B1C"/>
    <w:rsid w:val="00730BA5"/>
    <w:rsid w:val="0073142F"/>
    <w:rsid w:val="00731853"/>
    <w:rsid w:val="00731BA9"/>
    <w:rsid w:val="00732085"/>
    <w:rsid w:val="007320D0"/>
    <w:rsid w:val="0073252D"/>
    <w:rsid w:val="00732779"/>
    <w:rsid w:val="00732ADB"/>
    <w:rsid w:val="00732D63"/>
    <w:rsid w:val="0073318A"/>
    <w:rsid w:val="007332AA"/>
    <w:rsid w:val="00733381"/>
    <w:rsid w:val="00733500"/>
    <w:rsid w:val="00733557"/>
    <w:rsid w:val="007335D5"/>
    <w:rsid w:val="00733929"/>
    <w:rsid w:val="00733F27"/>
    <w:rsid w:val="007340B7"/>
    <w:rsid w:val="0073435C"/>
    <w:rsid w:val="0073476C"/>
    <w:rsid w:val="00734E49"/>
    <w:rsid w:val="00734E78"/>
    <w:rsid w:val="00735231"/>
    <w:rsid w:val="00735364"/>
    <w:rsid w:val="00735390"/>
    <w:rsid w:val="00735E3F"/>
    <w:rsid w:val="00736340"/>
    <w:rsid w:val="007365CD"/>
    <w:rsid w:val="00736B1D"/>
    <w:rsid w:val="00737049"/>
    <w:rsid w:val="0073714C"/>
    <w:rsid w:val="00737247"/>
    <w:rsid w:val="00737463"/>
    <w:rsid w:val="00737B92"/>
    <w:rsid w:val="00737D73"/>
    <w:rsid w:val="00737E3C"/>
    <w:rsid w:val="00737EB3"/>
    <w:rsid w:val="00740215"/>
    <w:rsid w:val="007404D7"/>
    <w:rsid w:val="00740544"/>
    <w:rsid w:val="0074059D"/>
    <w:rsid w:val="00740C65"/>
    <w:rsid w:val="00740C8C"/>
    <w:rsid w:val="007410CD"/>
    <w:rsid w:val="007415BB"/>
    <w:rsid w:val="00741776"/>
    <w:rsid w:val="007426B4"/>
    <w:rsid w:val="007427D7"/>
    <w:rsid w:val="007428D2"/>
    <w:rsid w:val="00743054"/>
    <w:rsid w:val="007431D6"/>
    <w:rsid w:val="00743285"/>
    <w:rsid w:val="00743733"/>
    <w:rsid w:val="00743E77"/>
    <w:rsid w:val="00743F89"/>
    <w:rsid w:val="007441C8"/>
    <w:rsid w:val="007442EE"/>
    <w:rsid w:val="007444EE"/>
    <w:rsid w:val="0074453D"/>
    <w:rsid w:val="0074464D"/>
    <w:rsid w:val="0074466D"/>
    <w:rsid w:val="0074487E"/>
    <w:rsid w:val="00744B77"/>
    <w:rsid w:val="00744CC5"/>
    <w:rsid w:val="007450D0"/>
    <w:rsid w:val="0074562A"/>
    <w:rsid w:val="00745992"/>
    <w:rsid w:val="00745A26"/>
    <w:rsid w:val="00745A4E"/>
    <w:rsid w:val="00745B0B"/>
    <w:rsid w:val="00745CB8"/>
    <w:rsid w:val="00746297"/>
    <w:rsid w:val="007466A1"/>
    <w:rsid w:val="00746952"/>
    <w:rsid w:val="00747088"/>
    <w:rsid w:val="007476F5"/>
    <w:rsid w:val="00747784"/>
    <w:rsid w:val="00747A5D"/>
    <w:rsid w:val="00747DCE"/>
    <w:rsid w:val="007500B8"/>
    <w:rsid w:val="0075090B"/>
    <w:rsid w:val="0075094B"/>
    <w:rsid w:val="00750969"/>
    <w:rsid w:val="00750970"/>
    <w:rsid w:val="00750A65"/>
    <w:rsid w:val="00750C42"/>
    <w:rsid w:val="007513A7"/>
    <w:rsid w:val="00751473"/>
    <w:rsid w:val="007514EC"/>
    <w:rsid w:val="0075166D"/>
    <w:rsid w:val="007517A8"/>
    <w:rsid w:val="007517FE"/>
    <w:rsid w:val="00751BAF"/>
    <w:rsid w:val="00751C45"/>
    <w:rsid w:val="0075215D"/>
    <w:rsid w:val="00752542"/>
    <w:rsid w:val="00752553"/>
    <w:rsid w:val="0075261E"/>
    <w:rsid w:val="00752C2C"/>
    <w:rsid w:val="0075307D"/>
    <w:rsid w:val="007533BD"/>
    <w:rsid w:val="00753CBE"/>
    <w:rsid w:val="00753E84"/>
    <w:rsid w:val="00753F62"/>
    <w:rsid w:val="00754044"/>
    <w:rsid w:val="00754362"/>
    <w:rsid w:val="007549B0"/>
    <w:rsid w:val="00754A9E"/>
    <w:rsid w:val="007553F2"/>
    <w:rsid w:val="00755A86"/>
    <w:rsid w:val="007563E8"/>
    <w:rsid w:val="007564C5"/>
    <w:rsid w:val="00757020"/>
    <w:rsid w:val="00757235"/>
    <w:rsid w:val="007572AA"/>
    <w:rsid w:val="007572B5"/>
    <w:rsid w:val="00757542"/>
    <w:rsid w:val="0076035E"/>
    <w:rsid w:val="00760C95"/>
    <w:rsid w:val="00761029"/>
    <w:rsid w:val="00761500"/>
    <w:rsid w:val="00761577"/>
    <w:rsid w:val="00761A00"/>
    <w:rsid w:val="00761A1B"/>
    <w:rsid w:val="00761B6D"/>
    <w:rsid w:val="00761D61"/>
    <w:rsid w:val="0076287A"/>
    <w:rsid w:val="00762D36"/>
    <w:rsid w:val="00762DCA"/>
    <w:rsid w:val="00762E39"/>
    <w:rsid w:val="00762E65"/>
    <w:rsid w:val="00762F35"/>
    <w:rsid w:val="00763125"/>
    <w:rsid w:val="00763D9C"/>
    <w:rsid w:val="00764063"/>
    <w:rsid w:val="00764264"/>
    <w:rsid w:val="0076453B"/>
    <w:rsid w:val="00764B0A"/>
    <w:rsid w:val="0076586A"/>
    <w:rsid w:val="007658BE"/>
    <w:rsid w:val="00765985"/>
    <w:rsid w:val="007659EA"/>
    <w:rsid w:val="00765D14"/>
    <w:rsid w:val="00765E95"/>
    <w:rsid w:val="007660EA"/>
    <w:rsid w:val="00766876"/>
    <w:rsid w:val="0076709F"/>
    <w:rsid w:val="0076759A"/>
    <w:rsid w:val="00767C12"/>
    <w:rsid w:val="00770335"/>
    <w:rsid w:val="00770591"/>
    <w:rsid w:val="007706A1"/>
    <w:rsid w:val="007708A5"/>
    <w:rsid w:val="00770C8A"/>
    <w:rsid w:val="00771149"/>
    <w:rsid w:val="00771199"/>
    <w:rsid w:val="00771819"/>
    <w:rsid w:val="00771A8A"/>
    <w:rsid w:val="00771CEB"/>
    <w:rsid w:val="0077205D"/>
    <w:rsid w:val="00772197"/>
    <w:rsid w:val="00772206"/>
    <w:rsid w:val="0077242F"/>
    <w:rsid w:val="007724C7"/>
    <w:rsid w:val="0077292C"/>
    <w:rsid w:val="00772B0A"/>
    <w:rsid w:val="0077316E"/>
    <w:rsid w:val="0077319E"/>
    <w:rsid w:val="0077370B"/>
    <w:rsid w:val="00773B67"/>
    <w:rsid w:val="00774157"/>
    <w:rsid w:val="0077494F"/>
    <w:rsid w:val="007749DC"/>
    <w:rsid w:val="00774B22"/>
    <w:rsid w:val="00774D82"/>
    <w:rsid w:val="007752A3"/>
    <w:rsid w:val="0077576F"/>
    <w:rsid w:val="00775881"/>
    <w:rsid w:val="00775F6B"/>
    <w:rsid w:val="00776270"/>
    <w:rsid w:val="00776A0E"/>
    <w:rsid w:val="00776C27"/>
    <w:rsid w:val="007777FF"/>
    <w:rsid w:val="00777C0B"/>
    <w:rsid w:val="00777DE2"/>
    <w:rsid w:val="00777ECD"/>
    <w:rsid w:val="00780129"/>
    <w:rsid w:val="00780196"/>
    <w:rsid w:val="007804DF"/>
    <w:rsid w:val="00780C6B"/>
    <w:rsid w:val="00781120"/>
    <w:rsid w:val="0078124D"/>
    <w:rsid w:val="007821BE"/>
    <w:rsid w:val="0078234A"/>
    <w:rsid w:val="00783741"/>
    <w:rsid w:val="00783B43"/>
    <w:rsid w:val="00783F16"/>
    <w:rsid w:val="007843A5"/>
    <w:rsid w:val="0078455F"/>
    <w:rsid w:val="00784B55"/>
    <w:rsid w:val="00784C78"/>
    <w:rsid w:val="00784CF2"/>
    <w:rsid w:val="00785E7A"/>
    <w:rsid w:val="00785F3E"/>
    <w:rsid w:val="007860D8"/>
    <w:rsid w:val="007864B3"/>
    <w:rsid w:val="00786655"/>
    <w:rsid w:val="0078676E"/>
    <w:rsid w:val="00786B5C"/>
    <w:rsid w:val="00786D38"/>
    <w:rsid w:val="00787177"/>
    <w:rsid w:val="007874E8"/>
    <w:rsid w:val="007874FE"/>
    <w:rsid w:val="00787999"/>
    <w:rsid w:val="00787B8A"/>
    <w:rsid w:val="007902EF"/>
    <w:rsid w:val="00790575"/>
    <w:rsid w:val="0079078E"/>
    <w:rsid w:val="00790800"/>
    <w:rsid w:val="00791649"/>
    <w:rsid w:val="00791967"/>
    <w:rsid w:val="00791E78"/>
    <w:rsid w:val="00791FB2"/>
    <w:rsid w:val="007922FF"/>
    <w:rsid w:val="0079248A"/>
    <w:rsid w:val="00792BFF"/>
    <w:rsid w:val="00792D30"/>
    <w:rsid w:val="0079346E"/>
    <w:rsid w:val="007934C3"/>
    <w:rsid w:val="00793AD8"/>
    <w:rsid w:val="00793B6D"/>
    <w:rsid w:val="00793D07"/>
    <w:rsid w:val="00793D67"/>
    <w:rsid w:val="007940AB"/>
    <w:rsid w:val="007940FF"/>
    <w:rsid w:val="00794454"/>
    <w:rsid w:val="00794980"/>
    <w:rsid w:val="007949C8"/>
    <w:rsid w:val="00794BD7"/>
    <w:rsid w:val="00794C78"/>
    <w:rsid w:val="007950AE"/>
    <w:rsid w:val="00795351"/>
    <w:rsid w:val="007954E0"/>
    <w:rsid w:val="007958CB"/>
    <w:rsid w:val="00795B65"/>
    <w:rsid w:val="00795E7C"/>
    <w:rsid w:val="00795E7D"/>
    <w:rsid w:val="0079622F"/>
    <w:rsid w:val="007962F8"/>
    <w:rsid w:val="007963B8"/>
    <w:rsid w:val="0079657F"/>
    <w:rsid w:val="007A0803"/>
    <w:rsid w:val="007A0D04"/>
    <w:rsid w:val="007A0E45"/>
    <w:rsid w:val="007A0FDB"/>
    <w:rsid w:val="007A1234"/>
    <w:rsid w:val="007A1727"/>
    <w:rsid w:val="007A191E"/>
    <w:rsid w:val="007A1AC0"/>
    <w:rsid w:val="007A1AF6"/>
    <w:rsid w:val="007A1B99"/>
    <w:rsid w:val="007A1D5B"/>
    <w:rsid w:val="007A1E2C"/>
    <w:rsid w:val="007A1FEE"/>
    <w:rsid w:val="007A24C3"/>
    <w:rsid w:val="007A26E0"/>
    <w:rsid w:val="007A2745"/>
    <w:rsid w:val="007A2F49"/>
    <w:rsid w:val="007A37F7"/>
    <w:rsid w:val="007A3A23"/>
    <w:rsid w:val="007A3C0E"/>
    <w:rsid w:val="007A3C37"/>
    <w:rsid w:val="007A4305"/>
    <w:rsid w:val="007A453C"/>
    <w:rsid w:val="007A4703"/>
    <w:rsid w:val="007A4F60"/>
    <w:rsid w:val="007A525D"/>
    <w:rsid w:val="007A5647"/>
    <w:rsid w:val="007A5721"/>
    <w:rsid w:val="007A579C"/>
    <w:rsid w:val="007A58AD"/>
    <w:rsid w:val="007A5D61"/>
    <w:rsid w:val="007A6443"/>
    <w:rsid w:val="007A6873"/>
    <w:rsid w:val="007A68B9"/>
    <w:rsid w:val="007A6CEB"/>
    <w:rsid w:val="007A74F7"/>
    <w:rsid w:val="007A77BC"/>
    <w:rsid w:val="007A7CAC"/>
    <w:rsid w:val="007B02AD"/>
    <w:rsid w:val="007B03B0"/>
    <w:rsid w:val="007B13FD"/>
    <w:rsid w:val="007B1410"/>
    <w:rsid w:val="007B1447"/>
    <w:rsid w:val="007B21F5"/>
    <w:rsid w:val="007B29C3"/>
    <w:rsid w:val="007B2AFF"/>
    <w:rsid w:val="007B382E"/>
    <w:rsid w:val="007B38B1"/>
    <w:rsid w:val="007B3AA9"/>
    <w:rsid w:val="007B3B73"/>
    <w:rsid w:val="007B3B8D"/>
    <w:rsid w:val="007B3E78"/>
    <w:rsid w:val="007B4574"/>
    <w:rsid w:val="007B459A"/>
    <w:rsid w:val="007B460C"/>
    <w:rsid w:val="007B46B0"/>
    <w:rsid w:val="007B4B84"/>
    <w:rsid w:val="007B4DE6"/>
    <w:rsid w:val="007B4F94"/>
    <w:rsid w:val="007B5C2A"/>
    <w:rsid w:val="007B5DE7"/>
    <w:rsid w:val="007B60B9"/>
    <w:rsid w:val="007B62D6"/>
    <w:rsid w:val="007B6A98"/>
    <w:rsid w:val="007B6C69"/>
    <w:rsid w:val="007B6D9A"/>
    <w:rsid w:val="007B6E09"/>
    <w:rsid w:val="007B7062"/>
    <w:rsid w:val="007B7084"/>
    <w:rsid w:val="007B7282"/>
    <w:rsid w:val="007B77A5"/>
    <w:rsid w:val="007B77F0"/>
    <w:rsid w:val="007B7813"/>
    <w:rsid w:val="007B79B2"/>
    <w:rsid w:val="007B7D26"/>
    <w:rsid w:val="007B7DA1"/>
    <w:rsid w:val="007C004E"/>
    <w:rsid w:val="007C05BA"/>
    <w:rsid w:val="007C0DF2"/>
    <w:rsid w:val="007C0F36"/>
    <w:rsid w:val="007C1134"/>
    <w:rsid w:val="007C1753"/>
    <w:rsid w:val="007C1BC5"/>
    <w:rsid w:val="007C1EFE"/>
    <w:rsid w:val="007C20BF"/>
    <w:rsid w:val="007C24AB"/>
    <w:rsid w:val="007C24B2"/>
    <w:rsid w:val="007C2B8D"/>
    <w:rsid w:val="007C32D2"/>
    <w:rsid w:val="007C3359"/>
    <w:rsid w:val="007C339F"/>
    <w:rsid w:val="007C35A0"/>
    <w:rsid w:val="007C38DC"/>
    <w:rsid w:val="007C3A14"/>
    <w:rsid w:val="007C3B24"/>
    <w:rsid w:val="007C4445"/>
    <w:rsid w:val="007C4602"/>
    <w:rsid w:val="007C4B51"/>
    <w:rsid w:val="007C51AB"/>
    <w:rsid w:val="007C5239"/>
    <w:rsid w:val="007C53DD"/>
    <w:rsid w:val="007C580A"/>
    <w:rsid w:val="007C591B"/>
    <w:rsid w:val="007C6883"/>
    <w:rsid w:val="007C6CEE"/>
    <w:rsid w:val="007C7163"/>
    <w:rsid w:val="007C72A4"/>
    <w:rsid w:val="007C73D7"/>
    <w:rsid w:val="007C752A"/>
    <w:rsid w:val="007C759D"/>
    <w:rsid w:val="007C76E8"/>
    <w:rsid w:val="007C7BE1"/>
    <w:rsid w:val="007C7FF9"/>
    <w:rsid w:val="007D0228"/>
    <w:rsid w:val="007D025A"/>
    <w:rsid w:val="007D0418"/>
    <w:rsid w:val="007D057E"/>
    <w:rsid w:val="007D0717"/>
    <w:rsid w:val="007D120A"/>
    <w:rsid w:val="007D18F9"/>
    <w:rsid w:val="007D193C"/>
    <w:rsid w:val="007D1A40"/>
    <w:rsid w:val="007D1B0A"/>
    <w:rsid w:val="007D1E55"/>
    <w:rsid w:val="007D1EEE"/>
    <w:rsid w:val="007D1EFE"/>
    <w:rsid w:val="007D29E2"/>
    <w:rsid w:val="007D2A14"/>
    <w:rsid w:val="007D2A28"/>
    <w:rsid w:val="007D2FB9"/>
    <w:rsid w:val="007D35F4"/>
    <w:rsid w:val="007D38F9"/>
    <w:rsid w:val="007D3F0C"/>
    <w:rsid w:val="007D42B9"/>
    <w:rsid w:val="007D4A54"/>
    <w:rsid w:val="007D4B86"/>
    <w:rsid w:val="007D4DDA"/>
    <w:rsid w:val="007D4F9E"/>
    <w:rsid w:val="007D5766"/>
    <w:rsid w:val="007D588E"/>
    <w:rsid w:val="007D5AEF"/>
    <w:rsid w:val="007D5D7C"/>
    <w:rsid w:val="007D618C"/>
    <w:rsid w:val="007D66D0"/>
    <w:rsid w:val="007D6C1E"/>
    <w:rsid w:val="007D6F57"/>
    <w:rsid w:val="007D753A"/>
    <w:rsid w:val="007D7766"/>
    <w:rsid w:val="007E05F2"/>
    <w:rsid w:val="007E0674"/>
    <w:rsid w:val="007E081F"/>
    <w:rsid w:val="007E0F89"/>
    <w:rsid w:val="007E0FA0"/>
    <w:rsid w:val="007E105E"/>
    <w:rsid w:val="007E1701"/>
    <w:rsid w:val="007E173D"/>
    <w:rsid w:val="007E1B0C"/>
    <w:rsid w:val="007E1D56"/>
    <w:rsid w:val="007E1D86"/>
    <w:rsid w:val="007E20CB"/>
    <w:rsid w:val="007E235B"/>
    <w:rsid w:val="007E2521"/>
    <w:rsid w:val="007E26A6"/>
    <w:rsid w:val="007E26AF"/>
    <w:rsid w:val="007E2943"/>
    <w:rsid w:val="007E2ABE"/>
    <w:rsid w:val="007E2D84"/>
    <w:rsid w:val="007E34BB"/>
    <w:rsid w:val="007E3A08"/>
    <w:rsid w:val="007E3BE2"/>
    <w:rsid w:val="007E3D48"/>
    <w:rsid w:val="007E40A7"/>
    <w:rsid w:val="007E499E"/>
    <w:rsid w:val="007E50F6"/>
    <w:rsid w:val="007E514C"/>
    <w:rsid w:val="007E56F1"/>
    <w:rsid w:val="007E5E54"/>
    <w:rsid w:val="007E602A"/>
    <w:rsid w:val="007E6663"/>
    <w:rsid w:val="007E670A"/>
    <w:rsid w:val="007E6A79"/>
    <w:rsid w:val="007E6BC5"/>
    <w:rsid w:val="007E6EA0"/>
    <w:rsid w:val="007E72B0"/>
    <w:rsid w:val="007E75AA"/>
    <w:rsid w:val="007E7C47"/>
    <w:rsid w:val="007E7EA3"/>
    <w:rsid w:val="007F0369"/>
    <w:rsid w:val="007F089E"/>
    <w:rsid w:val="007F0A7A"/>
    <w:rsid w:val="007F0AFB"/>
    <w:rsid w:val="007F0B3E"/>
    <w:rsid w:val="007F0DC2"/>
    <w:rsid w:val="007F0FED"/>
    <w:rsid w:val="007F1561"/>
    <w:rsid w:val="007F18C7"/>
    <w:rsid w:val="007F18E0"/>
    <w:rsid w:val="007F1D29"/>
    <w:rsid w:val="007F2404"/>
    <w:rsid w:val="007F2A4D"/>
    <w:rsid w:val="007F383D"/>
    <w:rsid w:val="007F3969"/>
    <w:rsid w:val="007F39D1"/>
    <w:rsid w:val="007F3A6E"/>
    <w:rsid w:val="007F4197"/>
    <w:rsid w:val="007F4650"/>
    <w:rsid w:val="007F4C16"/>
    <w:rsid w:val="007F5550"/>
    <w:rsid w:val="007F55AA"/>
    <w:rsid w:val="007F5DAD"/>
    <w:rsid w:val="007F5E5F"/>
    <w:rsid w:val="007F5E6A"/>
    <w:rsid w:val="007F6104"/>
    <w:rsid w:val="007F63D5"/>
    <w:rsid w:val="007F63F8"/>
    <w:rsid w:val="007F66B2"/>
    <w:rsid w:val="007F681B"/>
    <w:rsid w:val="007F6A5A"/>
    <w:rsid w:val="007F6BD2"/>
    <w:rsid w:val="007F6C2C"/>
    <w:rsid w:val="007F6CAF"/>
    <w:rsid w:val="007F71AD"/>
    <w:rsid w:val="007F78ED"/>
    <w:rsid w:val="007F7C5C"/>
    <w:rsid w:val="007F7F87"/>
    <w:rsid w:val="0080005F"/>
    <w:rsid w:val="008011EF"/>
    <w:rsid w:val="0080181E"/>
    <w:rsid w:val="00801BAD"/>
    <w:rsid w:val="00801BFA"/>
    <w:rsid w:val="00801ED0"/>
    <w:rsid w:val="00801F79"/>
    <w:rsid w:val="00802208"/>
    <w:rsid w:val="008024DE"/>
    <w:rsid w:val="008027FB"/>
    <w:rsid w:val="00802DBE"/>
    <w:rsid w:val="00803E54"/>
    <w:rsid w:val="00803E5A"/>
    <w:rsid w:val="00803F1A"/>
    <w:rsid w:val="008043A3"/>
    <w:rsid w:val="00804804"/>
    <w:rsid w:val="00804DC0"/>
    <w:rsid w:val="0080505A"/>
    <w:rsid w:val="00805346"/>
    <w:rsid w:val="00805506"/>
    <w:rsid w:val="00805562"/>
    <w:rsid w:val="008057FD"/>
    <w:rsid w:val="00806075"/>
    <w:rsid w:val="00806336"/>
    <w:rsid w:val="008064F5"/>
    <w:rsid w:val="00806A85"/>
    <w:rsid w:val="00806AD9"/>
    <w:rsid w:val="00806DF6"/>
    <w:rsid w:val="00806DFD"/>
    <w:rsid w:val="008072CC"/>
    <w:rsid w:val="008072D3"/>
    <w:rsid w:val="0080754C"/>
    <w:rsid w:val="00807F9E"/>
    <w:rsid w:val="00807FA0"/>
    <w:rsid w:val="00807FA4"/>
    <w:rsid w:val="00810133"/>
    <w:rsid w:val="0081041E"/>
    <w:rsid w:val="0081069F"/>
    <w:rsid w:val="00810DBC"/>
    <w:rsid w:val="00811010"/>
    <w:rsid w:val="008113D3"/>
    <w:rsid w:val="008117B8"/>
    <w:rsid w:val="00811BED"/>
    <w:rsid w:val="00811CA8"/>
    <w:rsid w:val="00811E38"/>
    <w:rsid w:val="00811F56"/>
    <w:rsid w:val="00812048"/>
    <w:rsid w:val="008121B0"/>
    <w:rsid w:val="00812299"/>
    <w:rsid w:val="00812413"/>
    <w:rsid w:val="00812569"/>
    <w:rsid w:val="008132B6"/>
    <w:rsid w:val="00813762"/>
    <w:rsid w:val="0081417E"/>
    <w:rsid w:val="00814251"/>
    <w:rsid w:val="008147AB"/>
    <w:rsid w:val="00814DFC"/>
    <w:rsid w:val="008152B2"/>
    <w:rsid w:val="008155A2"/>
    <w:rsid w:val="008157BD"/>
    <w:rsid w:val="0081608D"/>
    <w:rsid w:val="00816175"/>
    <w:rsid w:val="00816263"/>
    <w:rsid w:val="00816390"/>
    <w:rsid w:val="00816434"/>
    <w:rsid w:val="008164E0"/>
    <w:rsid w:val="008166BB"/>
    <w:rsid w:val="00816919"/>
    <w:rsid w:val="00816AB5"/>
    <w:rsid w:val="00816B12"/>
    <w:rsid w:val="00816D60"/>
    <w:rsid w:val="008171BC"/>
    <w:rsid w:val="0081723D"/>
    <w:rsid w:val="0081736F"/>
    <w:rsid w:val="00817650"/>
    <w:rsid w:val="0081776E"/>
    <w:rsid w:val="00817A45"/>
    <w:rsid w:val="00817BA9"/>
    <w:rsid w:val="00817DE7"/>
    <w:rsid w:val="00817ED0"/>
    <w:rsid w:val="008201C1"/>
    <w:rsid w:val="008203FA"/>
    <w:rsid w:val="008207A1"/>
    <w:rsid w:val="00820984"/>
    <w:rsid w:val="00820A3F"/>
    <w:rsid w:val="0082115F"/>
    <w:rsid w:val="008218AA"/>
    <w:rsid w:val="00821991"/>
    <w:rsid w:val="00821A56"/>
    <w:rsid w:val="00821B72"/>
    <w:rsid w:val="00821B9C"/>
    <w:rsid w:val="008221E7"/>
    <w:rsid w:val="008223B0"/>
    <w:rsid w:val="00822A21"/>
    <w:rsid w:val="00822C9A"/>
    <w:rsid w:val="008230B2"/>
    <w:rsid w:val="00823522"/>
    <w:rsid w:val="00823941"/>
    <w:rsid w:val="0082403B"/>
    <w:rsid w:val="008241B2"/>
    <w:rsid w:val="00824BE4"/>
    <w:rsid w:val="008252E1"/>
    <w:rsid w:val="0082554D"/>
    <w:rsid w:val="0082562C"/>
    <w:rsid w:val="008257DE"/>
    <w:rsid w:val="00825AF9"/>
    <w:rsid w:val="0082612C"/>
    <w:rsid w:val="00826268"/>
    <w:rsid w:val="0082685F"/>
    <w:rsid w:val="00826924"/>
    <w:rsid w:val="00826C41"/>
    <w:rsid w:val="00827378"/>
    <w:rsid w:val="00827546"/>
    <w:rsid w:val="00827AB9"/>
    <w:rsid w:val="00827BA4"/>
    <w:rsid w:val="00827BE4"/>
    <w:rsid w:val="00827E5C"/>
    <w:rsid w:val="008301A5"/>
    <w:rsid w:val="00830EC3"/>
    <w:rsid w:val="00830F93"/>
    <w:rsid w:val="00831309"/>
    <w:rsid w:val="0083136E"/>
    <w:rsid w:val="0083199F"/>
    <w:rsid w:val="00831B94"/>
    <w:rsid w:val="00831BBB"/>
    <w:rsid w:val="00831E3C"/>
    <w:rsid w:val="008321DB"/>
    <w:rsid w:val="008321E5"/>
    <w:rsid w:val="008322AC"/>
    <w:rsid w:val="008332A5"/>
    <w:rsid w:val="008337BE"/>
    <w:rsid w:val="00833C70"/>
    <w:rsid w:val="00833EA6"/>
    <w:rsid w:val="00833F05"/>
    <w:rsid w:val="0083422B"/>
    <w:rsid w:val="0083500A"/>
    <w:rsid w:val="00835439"/>
    <w:rsid w:val="008358A5"/>
    <w:rsid w:val="00835D3E"/>
    <w:rsid w:val="00835EC3"/>
    <w:rsid w:val="008364AC"/>
    <w:rsid w:val="00837598"/>
    <w:rsid w:val="008407A5"/>
    <w:rsid w:val="008407C4"/>
    <w:rsid w:val="00840A54"/>
    <w:rsid w:val="00841091"/>
    <w:rsid w:val="008410A4"/>
    <w:rsid w:val="0084112F"/>
    <w:rsid w:val="00841369"/>
    <w:rsid w:val="008416D6"/>
    <w:rsid w:val="008418ED"/>
    <w:rsid w:val="00841C94"/>
    <w:rsid w:val="00841DC6"/>
    <w:rsid w:val="00841E6E"/>
    <w:rsid w:val="008420BA"/>
    <w:rsid w:val="008427FE"/>
    <w:rsid w:val="0084292F"/>
    <w:rsid w:val="0084311D"/>
    <w:rsid w:val="008431F4"/>
    <w:rsid w:val="0084334B"/>
    <w:rsid w:val="008433AD"/>
    <w:rsid w:val="008433D3"/>
    <w:rsid w:val="00843432"/>
    <w:rsid w:val="00844942"/>
    <w:rsid w:val="00844C04"/>
    <w:rsid w:val="00844E3F"/>
    <w:rsid w:val="00844E4A"/>
    <w:rsid w:val="008452B2"/>
    <w:rsid w:val="00845708"/>
    <w:rsid w:val="0084598E"/>
    <w:rsid w:val="00845A1A"/>
    <w:rsid w:val="00845B29"/>
    <w:rsid w:val="00845CC0"/>
    <w:rsid w:val="00845D90"/>
    <w:rsid w:val="00845F19"/>
    <w:rsid w:val="00846117"/>
    <w:rsid w:val="00846594"/>
    <w:rsid w:val="00846677"/>
    <w:rsid w:val="00846823"/>
    <w:rsid w:val="0084684A"/>
    <w:rsid w:val="00846FF1"/>
    <w:rsid w:val="00847B18"/>
    <w:rsid w:val="00847CA7"/>
    <w:rsid w:val="00847D00"/>
    <w:rsid w:val="0085002F"/>
    <w:rsid w:val="008505A7"/>
    <w:rsid w:val="008505C3"/>
    <w:rsid w:val="0085094C"/>
    <w:rsid w:val="00850AAA"/>
    <w:rsid w:val="00850B91"/>
    <w:rsid w:val="00850C61"/>
    <w:rsid w:val="00850D22"/>
    <w:rsid w:val="00850D26"/>
    <w:rsid w:val="00850FC6"/>
    <w:rsid w:val="00851019"/>
    <w:rsid w:val="008510E3"/>
    <w:rsid w:val="008514ED"/>
    <w:rsid w:val="008515BE"/>
    <w:rsid w:val="008516D5"/>
    <w:rsid w:val="008519B9"/>
    <w:rsid w:val="00851B40"/>
    <w:rsid w:val="00851FC1"/>
    <w:rsid w:val="00852342"/>
    <w:rsid w:val="008527CA"/>
    <w:rsid w:val="0085308D"/>
    <w:rsid w:val="00853BF5"/>
    <w:rsid w:val="00853EF3"/>
    <w:rsid w:val="0085436C"/>
    <w:rsid w:val="008544CD"/>
    <w:rsid w:val="008544D7"/>
    <w:rsid w:val="00854E12"/>
    <w:rsid w:val="00854E8B"/>
    <w:rsid w:val="00855334"/>
    <w:rsid w:val="00855745"/>
    <w:rsid w:val="00856B1E"/>
    <w:rsid w:val="00856B58"/>
    <w:rsid w:val="00856DFF"/>
    <w:rsid w:val="00856F3B"/>
    <w:rsid w:val="0085710A"/>
    <w:rsid w:val="008578FE"/>
    <w:rsid w:val="00857D5C"/>
    <w:rsid w:val="008601D0"/>
    <w:rsid w:val="008606F2"/>
    <w:rsid w:val="0086073A"/>
    <w:rsid w:val="008609BB"/>
    <w:rsid w:val="00860FF4"/>
    <w:rsid w:val="00861A0C"/>
    <w:rsid w:val="00861AA1"/>
    <w:rsid w:val="00861BE7"/>
    <w:rsid w:val="00861E30"/>
    <w:rsid w:val="00862117"/>
    <w:rsid w:val="00862A22"/>
    <w:rsid w:val="00862B1A"/>
    <w:rsid w:val="00863008"/>
    <w:rsid w:val="00863148"/>
    <w:rsid w:val="0086350F"/>
    <w:rsid w:val="00863576"/>
    <w:rsid w:val="00863593"/>
    <w:rsid w:val="008635A2"/>
    <w:rsid w:val="008638E8"/>
    <w:rsid w:val="00863F72"/>
    <w:rsid w:val="00864281"/>
    <w:rsid w:val="008646BF"/>
    <w:rsid w:val="00864B67"/>
    <w:rsid w:val="00864D98"/>
    <w:rsid w:val="00864DD8"/>
    <w:rsid w:val="00864DE8"/>
    <w:rsid w:val="0086514A"/>
    <w:rsid w:val="0086579E"/>
    <w:rsid w:val="00866192"/>
    <w:rsid w:val="00866520"/>
    <w:rsid w:val="008666AA"/>
    <w:rsid w:val="0086694B"/>
    <w:rsid w:val="008669E0"/>
    <w:rsid w:val="00866A96"/>
    <w:rsid w:val="00866B93"/>
    <w:rsid w:val="00866DB8"/>
    <w:rsid w:val="00867039"/>
    <w:rsid w:val="00867091"/>
    <w:rsid w:val="00867225"/>
    <w:rsid w:val="00867415"/>
    <w:rsid w:val="0086746B"/>
    <w:rsid w:val="0086767A"/>
    <w:rsid w:val="008676F9"/>
    <w:rsid w:val="0086779B"/>
    <w:rsid w:val="008677BD"/>
    <w:rsid w:val="0086782D"/>
    <w:rsid w:val="0086792F"/>
    <w:rsid w:val="00867A6F"/>
    <w:rsid w:val="00867BA8"/>
    <w:rsid w:val="00867C3C"/>
    <w:rsid w:val="00867F74"/>
    <w:rsid w:val="008703CD"/>
    <w:rsid w:val="00870B30"/>
    <w:rsid w:val="00870F33"/>
    <w:rsid w:val="00872230"/>
    <w:rsid w:val="00872493"/>
    <w:rsid w:val="00872857"/>
    <w:rsid w:val="00872B34"/>
    <w:rsid w:val="008734B0"/>
    <w:rsid w:val="00873866"/>
    <w:rsid w:val="00873A7D"/>
    <w:rsid w:val="00874A26"/>
    <w:rsid w:val="00874CCB"/>
    <w:rsid w:val="00875011"/>
    <w:rsid w:val="00875299"/>
    <w:rsid w:val="00875443"/>
    <w:rsid w:val="008755D1"/>
    <w:rsid w:val="008759C7"/>
    <w:rsid w:val="008759E4"/>
    <w:rsid w:val="00875AC8"/>
    <w:rsid w:val="00875B2D"/>
    <w:rsid w:val="00875C2D"/>
    <w:rsid w:val="008760B7"/>
    <w:rsid w:val="0087611C"/>
    <w:rsid w:val="00876180"/>
    <w:rsid w:val="008762C4"/>
    <w:rsid w:val="00876470"/>
    <w:rsid w:val="008764D6"/>
    <w:rsid w:val="00876576"/>
    <w:rsid w:val="00876EDB"/>
    <w:rsid w:val="0087709D"/>
    <w:rsid w:val="00877263"/>
    <w:rsid w:val="0087745E"/>
    <w:rsid w:val="00877894"/>
    <w:rsid w:val="00877EB2"/>
    <w:rsid w:val="00877EEE"/>
    <w:rsid w:val="0088070F"/>
    <w:rsid w:val="00880CF4"/>
    <w:rsid w:val="00880EE3"/>
    <w:rsid w:val="0088116B"/>
    <w:rsid w:val="0088133C"/>
    <w:rsid w:val="008813D1"/>
    <w:rsid w:val="008814D9"/>
    <w:rsid w:val="008817D9"/>
    <w:rsid w:val="00881E0F"/>
    <w:rsid w:val="008828FB"/>
    <w:rsid w:val="00882E0B"/>
    <w:rsid w:val="00882E8C"/>
    <w:rsid w:val="0088313A"/>
    <w:rsid w:val="0088362D"/>
    <w:rsid w:val="00883CB8"/>
    <w:rsid w:val="0088420E"/>
    <w:rsid w:val="0088465F"/>
    <w:rsid w:val="00884CA4"/>
    <w:rsid w:val="008851B2"/>
    <w:rsid w:val="00885730"/>
    <w:rsid w:val="008859F8"/>
    <w:rsid w:val="00885A8F"/>
    <w:rsid w:val="00885A9C"/>
    <w:rsid w:val="00885D1D"/>
    <w:rsid w:val="0088658B"/>
    <w:rsid w:val="0088662B"/>
    <w:rsid w:val="008868DA"/>
    <w:rsid w:val="008869C2"/>
    <w:rsid w:val="00887030"/>
    <w:rsid w:val="0088751B"/>
    <w:rsid w:val="008876CA"/>
    <w:rsid w:val="00887936"/>
    <w:rsid w:val="00887ECF"/>
    <w:rsid w:val="00890243"/>
    <w:rsid w:val="00890721"/>
    <w:rsid w:val="00890DA6"/>
    <w:rsid w:val="00891405"/>
    <w:rsid w:val="00891472"/>
    <w:rsid w:val="00891508"/>
    <w:rsid w:val="00891943"/>
    <w:rsid w:val="00892387"/>
    <w:rsid w:val="00892767"/>
    <w:rsid w:val="008928C5"/>
    <w:rsid w:val="00892AD7"/>
    <w:rsid w:val="00892E80"/>
    <w:rsid w:val="00893010"/>
    <w:rsid w:val="008930AA"/>
    <w:rsid w:val="0089319C"/>
    <w:rsid w:val="008931F4"/>
    <w:rsid w:val="00893227"/>
    <w:rsid w:val="008932E9"/>
    <w:rsid w:val="00893788"/>
    <w:rsid w:val="00893987"/>
    <w:rsid w:val="0089419B"/>
    <w:rsid w:val="00894858"/>
    <w:rsid w:val="00894B27"/>
    <w:rsid w:val="00894E9A"/>
    <w:rsid w:val="0089525E"/>
    <w:rsid w:val="00895291"/>
    <w:rsid w:val="0089549A"/>
    <w:rsid w:val="00895650"/>
    <w:rsid w:val="00895DE4"/>
    <w:rsid w:val="0089615B"/>
    <w:rsid w:val="00896280"/>
    <w:rsid w:val="0089631A"/>
    <w:rsid w:val="00896FE6"/>
    <w:rsid w:val="0089703C"/>
    <w:rsid w:val="008972D6"/>
    <w:rsid w:val="00897647"/>
    <w:rsid w:val="0089771A"/>
    <w:rsid w:val="00897EA5"/>
    <w:rsid w:val="00897F44"/>
    <w:rsid w:val="008A0084"/>
    <w:rsid w:val="008A036E"/>
    <w:rsid w:val="008A07EF"/>
    <w:rsid w:val="008A0EDC"/>
    <w:rsid w:val="008A0F32"/>
    <w:rsid w:val="008A15BD"/>
    <w:rsid w:val="008A1BE3"/>
    <w:rsid w:val="008A1CAA"/>
    <w:rsid w:val="008A2007"/>
    <w:rsid w:val="008A206D"/>
    <w:rsid w:val="008A2230"/>
    <w:rsid w:val="008A23C6"/>
    <w:rsid w:val="008A2554"/>
    <w:rsid w:val="008A25F6"/>
    <w:rsid w:val="008A2F9C"/>
    <w:rsid w:val="008A339C"/>
    <w:rsid w:val="008A42CE"/>
    <w:rsid w:val="008A42E2"/>
    <w:rsid w:val="008A4423"/>
    <w:rsid w:val="008A4485"/>
    <w:rsid w:val="008A449F"/>
    <w:rsid w:val="008A50E7"/>
    <w:rsid w:val="008A54F1"/>
    <w:rsid w:val="008A5758"/>
    <w:rsid w:val="008A5D6A"/>
    <w:rsid w:val="008A5FF6"/>
    <w:rsid w:val="008A6539"/>
    <w:rsid w:val="008A66B3"/>
    <w:rsid w:val="008A6BCA"/>
    <w:rsid w:val="008A78DC"/>
    <w:rsid w:val="008A7F10"/>
    <w:rsid w:val="008B00BA"/>
    <w:rsid w:val="008B01CE"/>
    <w:rsid w:val="008B070B"/>
    <w:rsid w:val="008B0991"/>
    <w:rsid w:val="008B0FC6"/>
    <w:rsid w:val="008B2002"/>
    <w:rsid w:val="008B2132"/>
    <w:rsid w:val="008B255D"/>
    <w:rsid w:val="008B2636"/>
    <w:rsid w:val="008B28BC"/>
    <w:rsid w:val="008B29A6"/>
    <w:rsid w:val="008B2F1A"/>
    <w:rsid w:val="008B2F91"/>
    <w:rsid w:val="008B3247"/>
    <w:rsid w:val="008B3947"/>
    <w:rsid w:val="008B3C0B"/>
    <w:rsid w:val="008B3E4E"/>
    <w:rsid w:val="008B40A8"/>
    <w:rsid w:val="008B446B"/>
    <w:rsid w:val="008B4890"/>
    <w:rsid w:val="008B5018"/>
    <w:rsid w:val="008B52F1"/>
    <w:rsid w:val="008B5574"/>
    <w:rsid w:val="008B55D7"/>
    <w:rsid w:val="008B57B4"/>
    <w:rsid w:val="008B5C59"/>
    <w:rsid w:val="008B5E76"/>
    <w:rsid w:val="008B5E77"/>
    <w:rsid w:val="008B6133"/>
    <w:rsid w:val="008B69DD"/>
    <w:rsid w:val="008B6BEA"/>
    <w:rsid w:val="008B6D5E"/>
    <w:rsid w:val="008B7117"/>
    <w:rsid w:val="008B7328"/>
    <w:rsid w:val="008B7E6B"/>
    <w:rsid w:val="008C055B"/>
    <w:rsid w:val="008C1337"/>
    <w:rsid w:val="008C1A3C"/>
    <w:rsid w:val="008C1F7B"/>
    <w:rsid w:val="008C223E"/>
    <w:rsid w:val="008C25CB"/>
    <w:rsid w:val="008C293B"/>
    <w:rsid w:val="008C3094"/>
    <w:rsid w:val="008C3165"/>
    <w:rsid w:val="008C316A"/>
    <w:rsid w:val="008C31BC"/>
    <w:rsid w:val="008C33B1"/>
    <w:rsid w:val="008C36D0"/>
    <w:rsid w:val="008C3B30"/>
    <w:rsid w:val="008C3C73"/>
    <w:rsid w:val="008C456E"/>
    <w:rsid w:val="008C4627"/>
    <w:rsid w:val="008C498B"/>
    <w:rsid w:val="008C4DF7"/>
    <w:rsid w:val="008C4EE4"/>
    <w:rsid w:val="008C5184"/>
    <w:rsid w:val="008C5231"/>
    <w:rsid w:val="008C5308"/>
    <w:rsid w:val="008C539D"/>
    <w:rsid w:val="008C5D5E"/>
    <w:rsid w:val="008C6175"/>
    <w:rsid w:val="008C647E"/>
    <w:rsid w:val="008C64AD"/>
    <w:rsid w:val="008C6B29"/>
    <w:rsid w:val="008C6BF5"/>
    <w:rsid w:val="008C6D9A"/>
    <w:rsid w:val="008C70EB"/>
    <w:rsid w:val="008C712C"/>
    <w:rsid w:val="008C72DF"/>
    <w:rsid w:val="008C78A6"/>
    <w:rsid w:val="008D03B3"/>
    <w:rsid w:val="008D0655"/>
    <w:rsid w:val="008D0757"/>
    <w:rsid w:val="008D0B11"/>
    <w:rsid w:val="008D0B44"/>
    <w:rsid w:val="008D0BBB"/>
    <w:rsid w:val="008D0DC8"/>
    <w:rsid w:val="008D105D"/>
    <w:rsid w:val="008D1389"/>
    <w:rsid w:val="008D15C4"/>
    <w:rsid w:val="008D1A9E"/>
    <w:rsid w:val="008D2307"/>
    <w:rsid w:val="008D291B"/>
    <w:rsid w:val="008D3226"/>
    <w:rsid w:val="008D3999"/>
    <w:rsid w:val="008D3C11"/>
    <w:rsid w:val="008D40A5"/>
    <w:rsid w:val="008D40F6"/>
    <w:rsid w:val="008D41B0"/>
    <w:rsid w:val="008D425A"/>
    <w:rsid w:val="008D459C"/>
    <w:rsid w:val="008D4782"/>
    <w:rsid w:val="008D4A17"/>
    <w:rsid w:val="008D4A6F"/>
    <w:rsid w:val="008D4F73"/>
    <w:rsid w:val="008D538F"/>
    <w:rsid w:val="008D552A"/>
    <w:rsid w:val="008D574C"/>
    <w:rsid w:val="008D58E4"/>
    <w:rsid w:val="008D6092"/>
    <w:rsid w:val="008D6A2F"/>
    <w:rsid w:val="008D6F6E"/>
    <w:rsid w:val="008D7020"/>
    <w:rsid w:val="008D726D"/>
    <w:rsid w:val="008D7280"/>
    <w:rsid w:val="008D77F2"/>
    <w:rsid w:val="008D7C2F"/>
    <w:rsid w:val="008D7D09"/>
    <w:rsid w:val="008E037E"/>
    <w:rsid w:val="008E0C16"/>
    <w:rsid w:val="008E0F48"/>
    <w:rsid w:val="008E1662"/>
    <w:rsid w:val="008E1AF0"/>
    <w:rsid w:val="008E1D25"/>
    <w:rsid w:val="008E1FD0"/>
    <w:rsid w:val="008E20A2"/>
    <w:rsid w:val="008E2215"/>
    <w:rsid w:val="008E2B9D"/>
    <w:rsid w:val="008E35EC"/>
    <w:rsid w:val="008E3DC3"/>
    <w:rsid w:val="008E3FAF"/>
    <w:rsid w:val="008E460A"/>
    <w:rsid w:val="008E4BA4"/>
    <w:rsid w:val="008E4CEC"/>
    <w:rsid w:val="008E51D3"/>
    <w:rsid w:val="008E51FC"/>
    <w:rsid w:val="008E5735"/>
    <w:rsid w:val="008E5AE8"/>
    <w:rsid w:val="008E5C49"/>
    <w:rsid w:val="008E5F98"/>
    <w:rsid w:val="008E608A"/>
    <w:rsid w:val="008E65CA"/>
    <w:rsid w:val="008E6C29"/>
    <w:rsid w:val="008E7176"/>
    <w:rsid w:val="008E7207"/>
    <w:rsid w:val="008E728C"/>
    <w:rsid w:val="008E7741"/>
    <w:rsid w:val="008E780C"/>
    <w:rsid w:val="008E7932"/>
    <w:rsid w:val="008E7966"/>
    <w:rsid w:val="008E7EB4"/>
    <w:rsid w:val="008F0572"/>
    <w:rsid w:val="008F0DE7"/>
    <w:rsid w:val="008F1255"/>
    <w:rsid w:val="008F2120"/>
    <w:rsid w:val="008F2722"/>
    <w:rsid w:val="008F28CD"/>
    <w:rsid w:val="008F2AB9"/>
    <w:rsid w:val="008F2E08"/>
    <w:rsid w:val="008F3001"/>
    <w:rsid w:val="008F30CF"/>
    <w:rsid w:val="008F30F4"/>
    <w:rsid w:val="008F372A"/>
    <w:rsid w:val="008F390C"/>
    <w:rsid w:val="008F3AF3"/>
    <w:rsid w:val="008F5086"/>
    <w:rsid w:val="008F55B4"/>
    <w:rsid w:val="008F5A1D"/>
    <w:rsid w:val="008F6158"/>
    <w:rsid w:val="008F6503"/>
    <w:rsid w:val="008F679B"/>
    <w:rsid w:val="008F6865"/>
    <w:rsid w:val="008F6A81"/>
    <w:rsid w:val="008F6CE8"/>
    <w:rsid w:val="008F7093"/>
    <w:rsid w:val="008F748C"/>
    <w:rsid w:val="008F775D"/>
    <w:rsid w:val="008F7B2D"/>
    <w:rsid w:val="008F7B5B"/>
    <w:rsid w:val="008F7ECB"/>
    <w:rsid w:val="008F7F4B"/>
    <w:rsid w:val="0090007E"/>
    <w:rsid w:val="009003CD"/>
    <w:rsid w:val="00900475"/>
    <w:rsid w:val="00900788"/>
    <w:rsid w:val="009007CC"/>
    <w:rsid w:val="00900876"/>
    <w:rsid w:val="0090166C"/>
    <w:rsid w:val="00901A5B"/>
    <w:rsid w:val="009020FE"/>
    <w:rsid w:val="00902533"/>
    <w:rsid w:val="00902A9A"/>
    <w:rsid w:val="00902AD2"/>
    <w:rsid w:val="00903A84"/>
    <w:rsid w:val="00903A9D"/>
    <w:rsid w:val="00903FF9"/>
    <w:rsid w:val="0090403D"/>
    <w:rsid w:val="00904066"/>
    <w:rsid w:val="0090498C"/>
    <w:rsid w:val="00904DD5"/>
    <w:rsid w:val="00904E7D"/>
    <w:rsid w:val="009050CC"/>
    <w:rsid w:val="009053BB"/>
    <w:rsid w:val="00905621"/>
    <w:rsid w:val="00905BDE"/>
    <w:rsid w:val="00905F82"/>
    <w:rsid w:val="0090606A"/>
    <w:rsid w:val="0090645C"/>
    <w:rsid w:val="0090679C"/>
    <w:rsid w:val="0090683D"/>
    <w:rsid w:val="00906AE7"/>
    <w:rsid w:val="00906B1D"/>
    <w:rsid w:val="00906C5D"/>
    <w:rsid w:val="00907938"/>
    <w:rsid w:val="009100D7"/>
    <w:rsid w:val="00910241"/>
    <w:rsid w:val="0091048D"/>
    <w:rsid w:val="00911446"/>
    <w:rsid w:val="0091164B"/>
    <w:rsid w:val="00911D4C"/>
    <w:rsid w:val="00911FBD"/>
    <w:rsid w:val="0091273E"/>
    <w:rsid w:val="00912FB4"/>
    <w:rsid w:val="00913AC6"/>
    <w:rsid w:val="00913B1B"/>
    <w:rsid w:val="00913B47"/>
    <w:rsid w:val="00913C49"/>
    <w:rsid w:val="0091405A"/>
    <w:rsid w:val="009141EB"/>
    <w:rsid w:val="00914BF8"/>
    <w:rsid w:val="00914EC4"/>
    <w:rsid w:val="009153CC"/>
    <w:rsid w:val="009154EB"/>
    <w:rsid w:val="00915A2E"/>
    <w:rsid w:val="00916006"/>
    <w:rsid w:val="009160DB"/>
    <w:rsid w:val="00916339"/>
    <w:rsid w:val="00916358"/>
    <w:rsid w:val="0091648C"/>
    <w:rsid w:val="009164FC"/>
    <w:rsid w:val="00916A0C"/>
    <w:rsid w:val="00916A9A"/>
    <w:rsid w:val="00916FA4"/>
    <w:rsid w:val="00917190"/>
    <w:rsid w:val="009173E5"/>
    <w:rsid w:val="009175BC"/>
    <w:rsid w:val="00917B55"/>
    <w:rsid w:val="00917FB3"/>
    <w:rsid w:val="00917FC2"/>
    <w:rsid w:val="009205FA"/>
    <w:rsid w:val="009209D2"/>
    <w:rsid w:val="00921022"/>
    <w:rsid w:val="0092108B"/>
    <w:rsid w:val="009220C9"/>
    <w:rsid w:val="00922D04"/>
    <w:rsid w:val="00923460"/>
    <w:rsid w:val="00923A35"/>
    <w:rsid w:val="00924085"/>
    <w:rsid w:val="0092488A"/>
    <w:rsid w:val="00925709"/>
    <w:rsid w:val="00925930"/>
    <w:rsid w:val="00925A28"/>
    <w:rsid w:val="00925A57"/>
    <w:rsid w:val="00925B40"/>
    <w:rsid w:val="00925D27"/>
    <w:rsid w:val="00925E0A"/>
    <w:rsid w:val="0092699E"/>
    <w:rsid w:val="00926B72"/>
    <w:rsid w:val="00926BD7"/>
    <w:rsid w:val="00926C6C"/>
    <w:rsid w:val="00926CDE"/>
    <w:rsid w:val="009272BC"/>
    <w:rsid w:val="00927337"/>
    <w:rsid w:val="00927568"/>
    <w:rsid w:val="0092765D"/>
    <w:rsid w:val="00927BB4"/>
    <w:rsid w:val="00927D21"/>
    <w:rsid w:val="00927E23"/>
    <w:rsid w:val="009304F1"/>
    <w:rsid w:val="00930872"/>
    <w:rsid w:val="0093098D"/>
    <w:rsid w:val="00930CFF"/>
    <w:rsid w:val="00931261"/>
    <w:rsid w:val="00931364"/>
    <w:rsid w:val="0093136D"/>
    <w:rsid w:val="0093141F"/>
    <w:rsid w:val="0093151C"/>
    <w:rsid w:val="00931C6B"/>
    <w:rsid w:val="0093206A"/>
    <w:rsid w:val="009321BC"/>
    <w:rsid w:val="00932511"/>
    <w:rsid w:val="00932562"/>
    <w:rsid w:val="00932C11"/>
    <w:rsid w:val="00932CDF"/>
    <w:rsid w:val="009331B3"/>
    <w:rsid w:val="009331D4"/>
    <w:rsid w:val="009331F0"/>
    <w:rsid w:val="0093379E"/>
    <w:rsid w:val="00933DF7"/>
    <w:rsid w:val="009345D6"/>
    <w:rsid w:val="00934981"/>
    <w:rsid w:val="00934EAE"/>
    <w:rsid w:val="00935082"/>
    <w:rsid w:val="009355C9"/>
    <w:rsid w:val="00935F2A"/>
    <w:rsid w:val="009362E6"/>
    <w:rsid w:val="00936845"/>
    <w:rsid w:val="00936A64"/>
    <w:rsid w:val="00936AF1"/>
    <w:rsid w:val="009376DA"/>
    <w:rsid w:val="009377D4"/>
    <w:rsid w:val="00937874"/>
    <w:rsid w:val="00937BA2"/>
    <w:rsid w:val="00937D90"/>
    <w:rsid w:val="009403F5"/>
    <w:rsid w:val="009405EF"/>
    <w:rsid w:val="00940648"/>
    <w:rsid w:val="00940816"/>
    <w:rsid w:val="0094084B"/>
    <w:rsid w:val="00940B0D"/>
    <w:rsid w:val="00940B5F"/>
    <w:rsid w:val="00940C26"/>
    <w:rsid w:val="00940C3D"/>
    <w:rsid w:val="0094139A"/>
    <w:rsid w:val="00941D70"/>
    <w:rsid w:val="00941DDB"/>
    <w:rsid w:val="00942105"/>
    <w:rsid w:val="00942787"/>
    <w:rsid w:val="009427C0"/>
    <w:rsid w:val="00942841"/>
    <w:rsid w:val="00942876"/>
    <w:rsid w:val="009429EE"/>
    <w:rsid w:val="00942CAC"/>
    <w:rsid w:val="009438BE"/>
    <w:rsid w:val="00943D3F"/>
    <w:rsid w:val="00944487"/>
    <w:rsid w:val="00944662"/>
    <w:rsid w:val="00944869"/>
    <w:rsid w:val="009448BC"/>
    <w:rsid w:val="00944D4C"/>
    <w:rsid w:val="00944FA3"/>
    <w:rsid w:val="0094524A"/>
    <w:rsid w:val="00945883"/>
    <w:rsid w:val="00945951"/>
    <w:rsid w:val="00945E2F"/>
    <w:rsid w:val="00946953"/>
    <w:rsid w:val="00946958"/>
    <w:rsid w:val="0094771D"/>
    <w:rsid w:val="009477A1"/>
    <w:rsid w:val="00947867"/>
    <w:rsid w:val="009479B0"/>
    <w:rsid w:val="00947B10"/>
    <w:rsid w:val="00947B7D"/>
    <w:rsid w:val="00947FAA"/>
    <w:rsid w:val="0095008C"/>
    <w:rsid w:val="00950577"/>
    <w:rsid w:val="00950A23"/>
    <w:rsid w:val="00951085"/>
    <w:rsid w:val="00951362"/>
    <w:rsid w:val="0095169E"/>
    <w:rsid w:val="00951DFC"/>
    <w:rsid w:val="009522CC"/>
    <w:rsid w:val="00952555"/>
    <w:rsid w:val="00953B73"/>
    <w:rsid w:val="00953BE8"/>
    <w:rsid w:val="00953C3C"/>
    <w:rsid w:val="0095402C"/>
    <w:rsid w:val="00954D40"/>
    <w:rsid w:val="00954FD6"/>
    <w:rsid w:val="009552EF"/>
    <w:rsid w:val="00956026"/>
    <w:rsid w:val="00956106"/>
    <w:rsid w:val="00956731"/>
    <w:rsid w:val="009569A1"/>
    <w:rsid w:val="00956BDD"/>
    <w:rsid w:val="00956DC2"/>
    <w:rsid w:val="009570DA"/>
    <w:rsid w:val="00957204"/>
    <w:rsid w:val="0095731B"/>
    <w:rsid w:val="00957866"/>
    <w:rsid w:val="0095788F"/>
    <w:rsid w:val="00957C7B"/>
    <w:rsid w:val="00957E07"/>
    <w:rsid w:val="00957E56"/>
    <w:rsid w:val="00957E6B"/>
    <w:rsid w:val="00960E2D"/>
    <w:rsid w:val="00960FA0"/>
    <w:rsid w:val="009611E8"/>
    <w:rsid w:val="00961483"/>
    <w:rsid w:val="00961B6B"/>
    <w:rsid w:val="00961C9E"/>
    <w:rsid w:val="009620CD"/>
    <w:rsid w:val="0096234B"/>
    <w:rsid w:val="0096287E"/>
    <w:rsid w:val="00962C46"/>
    <w:rsid w:val="00962D7C"/>
    <w:rsid w:val="00962E6E"/>
    <w:rsid w:val="00962F84"/>
    <w:rsid w:val="0096347D"/>
    <w:rsid w:val="00963834"/>
    <w:rsid w:val="00963C9C"/>
    <w:rsid w:val="009641AE"/>
    <w:rsid w:val="0096471A"/>
    <w:rsid w:val="009650B8"/>
    <w:rsid w:val="0096536C"/>
    <w:rsid w:val="00965D09"/>
    <w:rsid w:val="00965FA0"/>
    <w:rsid w:val="009661DC"/>
    <w:rsid w:val="009666EC"/>
    <w:rsid w:val="00966E50"/>
    <w:rsid w:val="009677CC"/>
    <w:rsid w:val="00967B13"/>
    <w:rsid w:val="00970534"/>
    <w:rsid w:val="0097058F"/>
    <w:rsid w:val="009707EE"/>
    <w:rsid w:val="00970A93"/>
    <w:rsid w:val="00971A2E"/>
    <w:rsid w:val="00971A9E"/>
    <w:rsid w:val="00971B5E"/>
    <w:rsid w:val="0097206A"/>
    <w:rsid w:val="009728C6"/>
    <w:rsid w:val="00972B2C"/>
    <w:rsid w:val="00972EFA"/>
    <w:rsid w:val="0097326D"/>
    <w:rsid w:val="009732AB"/>
    <w:rsid w:val="0097356C"/>
    <w:rsid w:val="00973D84"/>
    <w:rsid w:val="00973DA9"/>
    <w:rsid w:val="00974366"/>
    <w:rsid w:val="009746C5"/>
    <w:rsid w:val="00974C44"/>
    <w:rsid w:val="00974E5F"/>
    <w:rsid w:val="009753C2"/>
    <w:rsid w:val="0097573C"/>
    <w:rsid w:val="00975A64"/>
    <w:rsid w:val="00975B90"/>
    <w:rsid w:val="00975DCF"/>
    <w:rsid w:val="00975DE3"/>
    <w:rsid w:val="00976BD6"/>
    <w:rsid w:val="00976CE2"/>
    <w:rsid w:val="00976DA6"/>
    <w:rsid w:val="009771B4"/>
    <w:rsid w:val="00977693"/>
    <w:rsid w:val="00977BA8"/>
    <w:rsid w:val="00977F9F"/>
    <w:rsid w:val="00980688"/>
    <w:rsid w:val="00980C10"/>
    <w:rsid w:val="009815F7"/>
    <w:rsid w:val="009818FD"/>
    <w:rsid w:val="00981BE0"/>
    <w:rsid w:val="00981C40"/>
    <w:rsid w:val="00982584"/>
    <w:rsid w:val="00982B14"/>
    <w:rsid w:val="00983118"/>
    <w:rsid w:val="00983285"/>
    <w:rsid w:val="009836E3"/>
    <w:rsid w:val="00983A81"/>
    <w:rsid w:val="00983DE7"/>
    <w:rsid w:val="00983F9C"/>
    <w:rsid w:val="00984210"/>
    <w:rsid w:val="009846D2"/>
    <w:rsid w:val="00984E90"/>
    <w:rsid w:val="00985042"/>
    <w:rsid w:val="009851D5"/>
    <w:rsid w:val="009855B6"/>
    <w:rsid w:val="009856DE"/>
    <w:rsid w:val="009858CF"/>
    <w:rsid w:val="00985CFC"/>
    <w:rsid w:val="00985DB8"/>
    <w:rsid w:val="00986168"/>
    <w:rsid w:val="009864EB"/>
    <w:rsid w:val="00986F16"/>
    <w:rsid w:val="00986F8E"/>
    <w:rsid w:val="0098728E"/>
    <w:rsid w:val="009872DF"/>
    <w:rsid w:val="0098797B"/>
    <w:rsid w:val="00987AC0"/>
    <w:rsid w:val="00987D3B"/>
    <w:rsid w:val="00987DD6"/>
    <w:rsid w:val="0099004B"/>
    <w:rsid w:val="009901A0"/>
    <w:rsid w:val="0099035C"/>
    <w:rsid w:val="00990ADD"/>
    <w:rsid w:val="00990C5E"/>
    <w:rsid w:val="00991352"/>
    <w:rsid w:val="009917C1"/>
    <w:rsid w:val="00991C48"/>
    <w:rsid w:val="00991E6C"/>
    <w:rsid w:val="009920B1"/>
    <w:rsid w:val="00992329"/>
    <w:rsid w:val="009925A2"/>
    <w:rsid w:val="00992F13"/>
    <w:rsid w:val="00992F21"/>
    <w:rsid w:val="0099396C"/>
    <w:rsid w:val="009939FD"/>
    <w:rsid w:val="00993EE2"/>
    <w:rsid w:val="0099458A"/>
    <w:rsid w:val="00994780"/>
    <w:rsid w:val="00994BE6"/>
    <w:rsid w:val="00994DDE"/>
    <w:rsid w:val="0099542C"/>
    <w:rsid w:val="00995942"/>
    <w:rsid w:val="00995A9D"/>
    <w:rsid w:val="00995B89"/>
    <w:rsid w:val="00995D0B"/>
    <w:rsid w:val="00995EA8"/>
    <w:rsid w:val="00995ED1"/>
    <w:rsid w:val="0099619D"/>
    <w:rsid w:val="0099686F"/>
    <w:rsid w:val="00996A6A"/>
    <w:rsid w:val="00996F2F"/>
    <w:rsid w:val="00997E7C"/>
    <w:rsid w:val="009A0284"/>
    <w:rsid w:val="009A07E0"/>
    <w:rsid w:val="009A08FE"/>
    <w:rsid w:val="009A157D"/>
    <w:rsid w:val="009A16BE"/>
    <w:rsid w:val="009A1A19"/>
    <w:rsid w:val="009A27A1"/>
    <w:rsid w:val="009A3A62"/>
    <w:rsid w:val="009A3C6B"/>
    <w:rsid w:val="009A3F4A"/>
    <w:rsid w:val="009A4498"/>
    <w:rsid w:val="009A48A8"/>
    <w:rsid w:val="009A4B0E"/>
    <w:rsid w:val="009A50E7"/>
    <w:rsid w:val="009A586D"/>
    <w:rsid w:val="009A5A7E"/>
    <w:rsid w:val="009A5CB4"/>
    <w:rsid w:val="009A5E95"/>
    <w:rsid w:val="009A5EC9"/>
    <w:rsid w:val="009A615B"/>
    <w:rsid w:val="009A6465"/>
    <w:rsid w:val="009A6566"/>
    <w:rsid w:val="009A666E"/>
    <w:rsid w:val="009A6AF6"/>
    <w:rsid w:val="009A6C08"/>
    <w:rsid w:val="009A6DA8"/>
    <w:rsid w:val="009A74B3"/>
    <w:rsid w:val="009A74E5"/>
    <w:rsid w:val="009A7510"/>
    <w:rsid w:val="009A755E"/>
    <w:rsid w:val="009A7914"/>
    <w:rsid w:val="009A7A06"/>
    <w:rsid w:val="009B026F"/>
    <w:rsid w:val="009B0275"/>
    <w:rsid w:val="009B03B1"/>
    <w:rsid w:val="009B0C86"/>
    <w:rsid w:val="009B0D1F"/>
    <w:rsid w:val="009B1016"/>
    <w:rsid w:val="009B1027"/>
    <w:rsid w:val="009B1119"/>
    <w:rsid w:val="009B1467"/>
    <w:rsid w:val="009B1507"/>
    <w:rsid w:val="009B152C"/>
    <w:rsid w:val="009B1609"/>
    <w:rsid w:val="009B191F"/>
    <w:rsid w:val="009B1C22"/>
    <w:rsid w:val="009B1D87"/>
    <w:rsid w:val="009B1E99"/>
    <w:rsid w:val="009B22EA"/>
    <w:rsid w:val="009B30AE"/>
    <w:rsid w:val="009B31F4"/>
    <w:rsid w:val="009B3299"/>
    <w:rsid w:val="009B32CB"/>
    <w:rsid w:val="009B36EA"/>
    <w:rsid w:val="009B3EF9"/>
    <w:rsid w:val="009B41A6"/>
    <w:rsid w:val="009B43A6"/>
    <w:rsid w:val="009B465A"/>
    <w:rsid w:val="009B476C"/>
    <w:rsid w:val="009B4A6B"/>
    <w:rsid w:val="009B4AFC"/>
    <w:rsid w:val="009B4B7F"/>
    <w:rsid w:val="009B4BCF"/>
    <w:rsid w:val="009B4F80"/>
    <w:rsid w:val="009B5767"/>
    <w:rsid w:val="009B5910"/>
    <w:rsid w:val="009B6A00"/>
    <w:rsid w:val="009B7471"/>
    <w:rsid w:val="009B75E2"/>
    <w:rsid w:val="009B7795"/>
    <w:rsid w:val="009B77C5"/>
    <w:rsid w:val="009B7A79"/>
    <w:rsid w:val="009B7BD4"/>
    <w:rsid w:val="009B7D2D"/>
    <w:rsid w:val="009C0039"/>
    <w:rsid w:val="009C0A20"/>
    <w:rsid w:val="009C0A95"/>
    <w:rsid w:val="009C0C86"/>
    <w:rsid w:val="009C0F28"/>
    <w:rsid w:val="009C12A2"/>
    <w:rsid w:val="009C18CB"/>
    <w:rsid w:val="009C2BEA"/>
    <w:rsid w:val="009C2E8E"/>
    <w:rsid w:val="009C31BB"/>
    <w:rsid w:val="009C320B"/>
    <w:rsid w:val="009C385F"/>
    <w:rsid w:val="009C4229"/>
    <w:rsid w:val="009C434E"/>
    <w:rsid w:val="009C470F"/>
    <w:rsid w:val="009C4C5C"/>
    <w:rsid w:val="009C4D7E"/>
    <w:rsid w:val="009C4D89"/>
    <w:rsid w:val="009C4F0E"/>
    <w:rsid w:val="009C55E8"/>
    <w:rsid w:val="009C57B6"/>
    <w:rsid w:val="009C5ADD"/>
    <w:rsid w:val="009C5D1B"/>
    <w:rsid w:val="009C5D3B"/>
    <w:rsid w:val="009C5F1A"/>
    <w:rsid w:val="009C6197"/>
    <w:rsid w:val="009C62B4"/>
    <w:rsid w:val="009C66EB"/>
    <w:rsid w:val="009C69C1"/>
    <w:rsid w:val="009C6AD3"/>
    <w:rsid w:val="009C6C75"/>
    <w:rsid w:val="009C6D95"/>
    <w:rsid w:val="009C6E8E"/>
    <w:rsid w:val="009C70B3"/>
    <w:rsid w:val="009C7A65"/>
    <w:rsid w:val="009D0087"/>
    <w:rsid w:val="009D00CA"/>
    <w:rsid w:val="009D024F"/>
    <w:rsid w:val="009D07B9"/>
    <w:rsid w:val="009D09A8"/>
    <w:rsid w:val="009D0DF7"/>
    <w:rsid w:val="009D1083"/>
    <w:rsid w:val="009D1626"/>
    <w:rsid w:val="009D1A2C"/>
    <w:rsid w:val="009D1EE0"/>
    <w:rsid w:val="009D2C72"/>
    <w:rsid w:val="009D30DE"/>
    <w:rsid w:val="009D3888"/>
    <w:rsid w:val="009D3C55"/>
    <w:rsid w:val="009D3D57"/>
    <w:rsid w:val="009D3F84"/>
    <w:rsid w:val="009D4074"/>
    <w:rsid w:val="009D40A5"/>
    <w:rsid w:val="009D40BB"/>
    <w:rsid w:val="009D4616"/>
    <w:rsid w:val="009D5331"/>
    <w:rsid w:val="009D566D"/>
    <w:rsid w:val="009D584D"/>
    <w:rsid w:val="009D588E"/>
    <w:rsid w:val="009D5970"/>
    <w:rsid w:val="009D5ABA"/>
    <w:rsid w:val="009D5DBC"/>
    <w:rsid w:val="009D6E08"/>
    <w:rsid w:val="009D705F"/>
    <w:rsid w:val="009D72E3"/>
    <w:rsid w:val="009D7395"/>
    <w:rsid w:val="009D7423"/>
    <w:rsid w:val="009D7BCD"/>
    <w:rsid w:val="009E0062"/>
    <w:rsid w:val="009E038E"/>
    <w:rsid w:val="009E0529"/>
    <w:rsid w:val="009E06A9"/>
    <w:rsid w:val="009E0C5E"/>
    <w:rsid w:val="009E0F13"/>
    <w:rsid w:val="009E1232"/>
    <w:rsid w:val="009E12BC"/>
    <w:rsid w:val="009E15E2"/>
    <w:rsid w:val="009E1F19"/>
    <w:rsid w:val="009E20BD"/>
    <w:rsid w:val="009E21B7"/>
    <w:rsid w:val="009E2EA0"/>
    <w:rsid w:val="009E3354"/>
    <w:rsid w:val="009E38AD"/>
    <w:rsid w:val="009E395C"/>
    <w:rsid w:val="009E3A03"/>
    <w:rsid w:val="009E3BA4"/>
    <w:rsid w:val="009E3C43"/>
    <w:rsid w:val="009E3E1B"/>
    <w:rsid w:val="009E401B"/>
    <w:rsid w:val="009E430D"/>
    <w:rsid w:val="009E46CE"/>
    <w:rsid w:val="009E489D"/>
    <w:rsid w:val="009E4982"/>
    <w:rsid w:val="009E4AAB"/>
    <w:rsid w:val="009E4E0E"/>
    <w:rsid w:val="009E4EA0"/>
    <w:rsid w:val="009E532B"/>
    <w:rsid w:val="009E5F17"/>
    <w:rsid w:val="009E607F"/>
    <w:rsid w:val="009E6743"/>
    <w:rsid w:val="009E6A50"/>
    <w:rsid w:val="009E7032"/>
    <w:rsid w:val="009E73A2"/>
    <w:rsid w:val="009E74FA"/>
    <w:rsid w:val="009E756B"/>
    <w:rsid w:val="009E7D11"/>
    <w:rsid w:val="009F07E8"/>
    <w:rsid w:val="009F1A10"/>
    <w:rsid w:val="009F200C"/>
    <w:rsid w:val="009F2C8C"/>
    <w:rsid w:val="009F3C85"/>
    <w:rsid w:val="009F4106"/>
    <w:rsid w:val="009F4335"/>
    <w:rsid w:val="009F4748"/>
    <w:rsid w:val="009F4D0A"/>
    <w:rsid w:val="009F5864"/>
    <w:rsid w:val="009F6236"/>
    <w:rsid w:val="009F63E0"/>
    <w:rsid w:val="009F66DC"/>
    <w:rsid w:val="009F6787"/>
    <w:rsid w:val="009F7515"/>
    <w:rsid w:val="009F75C1"/>
    <w:rsid w:val="009F75F1"/>
    <w:rsid w:val="009F7668"/>
    <w:rsid w:val="009F76B2"/>
    <w:rsid w:val="009F77FD"/>
    <w:rsid w:val="009F7C49"/>
    <w:rsid w:val="009F7E91"/>
    <w:rsid w:val="00A0016E"/>
    <w:rsid w:val="00A00256"/>
    <w:rsid w:val="00A005C1"/>
    <w:rsid w:val="00A00BDE"/>
    <w:rsid w:val="00A00F3D"/>
    <w:rsid w:val="00A01385"/>
    <w:rsid w:val="00A0195A"/>
    <w:rsid w:val="00A021D8"/>
    <w:rsid w:val="00A02280"/>
    <w:rsid w:val="00A026AF"/>
    <w:rsid w:val="00A02BE9"/>
    <w:rsid w:val="00A02CCD"/>
    <w:rsid w:val="00A03036"/>
    <w:rsid w:val="00A03326"/>
    <w:rsid w:val="00A03678"/>
    <w:rsid w:val="00A03717"/>
    <w:rsid w:val="00A03AF6"/>
    <w:rsid w:val="00A03AFD"/>
    <w:rsid w:val="00A03B5B"/>
    <w:rsid w:val="00A04220"/>
    <w:rsid w:val="00A042F2"/>
    <w:rsid w:val="00A042FC"/>
    <w:rsid w:val="00A04D2A"/>
    <w:rsid w:val="00A04FB8"/>
    <w:rsid w:val="00A0526F"/>
    <w:rsid w:val="00A052CA"/>
    <w:rsid w:val="00A05395"/>
    <w:rsid w:val="00A0544E"/>
    <w:rsid w:val="00A056A0"/>
    <w:rsid w:val="00A058CB"/>
    <w:rsid w:val="00A061DF"/>
    <w:rsid w:val="00A07206"/>
    <w:rsid w:val="00A07293"/>
    <w:rsid w:val="00A07472"/>
    <w:rsid w:val="00A0758D"/>
    <w:rsid w:val="00A07607"/>
    <w:rsid w:val="00A07619"/>
    <w:rsid w:val="00A07C3E"/>
    <w:rsid w:val="00A07F00"/>
    <w:rsid w:val="00A07F71"/>
    <w:rsid w:val="00A10513"/>
    <w:rsid w:val="00A105EA"/>
    <w:rsid w:val="00A10B66"/>
    <w:rsid w:val="00A11230"/>
    <w:rsid w:val="00A114CA"/>
    <w:rsid w:val="00A114DD"/>
    <w:rsid w:val="00A116B8"/>
    <w:rsid w:val="00A121EB"/>
    <w:rsid w:val="00A12EAF"/>
    <w:rsid w:val="00A12F7A"/>
    <w:rsid w:val="00A13367"/>
    <w:rsid w:val="00A1389E"/>
    <w:rsid w:val="00A138AE"/>
    <w:rsid w:val="00A13E63"/>
    <w:rsid w:val="00A14000"/>
    <w:rsid w:val="00A140F1"/>
    <w:rsid w:val="00A14139"/>
    <w:rsid w:val="00A14213"/>
    <w:rsid w:val="00A14668"/>
    <w:rsid w:val="00A149C7"/>
    <w:rsid w:val="00A14F61"/>
    <w:rsid w:val="00A159EB"/>
    <w:rsid w:val="00A15DED"/>
    <w:rsid w:val="00A16936"/>
    <w:rsid w:val="00A169D4"/>
    <w:rsid w:val="00A16C76"/>
    <w:rsid w:val="00A16CE8"/>
    <w:rsid w:val="00A17044"/>
    <w:rsid w:val="00A172C9"/>
    <w:rsid w:val="00A1747C"/>
    <w:rsid w:val="00A17E9E"/>
    <w:rsid w:val="00A17EAD"/>
    <w:rsid w:val="00A20075"/>
    <w:rsid w:val="00A203E3"/>
    <w:rsid w:val="00A20410"/>
    <w:rsid w:val="00A20AD8"/>
    <w:rsid w:val="00A20C8E"/>
    <w:rsid w:val="00A20D2E"/>
    <w:rsid w:val="00A21156"/>
    <w:rsid w:val="00A2121C"/>
    <w:rsid w:val="00A21507"/>
    <w:rsid w:val="00A21B30"/>
    <w:rsid w:val="00A2207E"/>
    <w:rsid w:val="00A2232A"/>
    <w:rsid w:val="00A2236C"/>
    <w:rsid w:val="00A227A8"/>
    <w:rsid w:val="00A22B41"/>
    <w:rsid w:val="00A22B8F"/>
    <w:rsid w:val="00A2316B"/>
    <w:rsid w:val="00A233FB"/>
    <w:rsid w:val="00A23459"/>
    <w:rsid w:val="00A236DE"/>
    <w:rsid w:val="00A23895"/>
    <w:rsid w:val="00A23A4F"/>
    <w:rsid w:val="00A23D4F"/>
    <w:rsid w:val="00A23E02"/>
    <w:rsid w:val="00A23F82"/>
    <w:rsid w:val="00A2447B"/>
    <w:rsid w:val="00A24554"/>
    <w:rsid w:val="00A247AB"/>
    <w:rsid w:val="00A2493C"/>
    <w:rsid w:val="00A24F43"/>
    <w:rsid w:val="00A2502A"/>
    <w:rsid w:val="00A25802"/>
    <w:rsid w:val="00A2602A"/>
    <w:rsid w:val="00A265F6"/>
    <w:rsid w:val="00A27320"/>
    <w:rsid w:val="00A276A3"/>
    <w:rsid w:val="00A30C49"/>
    <w:rsid w:val="00A30E5C"/>
    <w:rsid w:val="00A317C7"/>
    <w:rsid w:val="00A31D0A"/>
    <w:rsid w:val="00A321AA"/>
    <w:rsid w:val="00A32217"/>
    <w:rsid w:val="00A3229A"/>
    <w:rsid w:val="00A328CC"/>
    <w:rsid w:val="00A32B2B"/>
    <w:rsid w:val="00A32B77"/>
    <w:rsid w:val="00A32D81"/>
    <w:rsid w:val="00A335B5"/>
    <w:rsid w:val="00A33673"/>
    <w:rsid w:val="00A336B8"/>
    <w:rsid w:val="00A3374F"/>
    <w:rsid w:val="00A33B22"/>
    <w:rsid w:val="00A34037"/>
    <w:rsid w:val="00A3413F"/>
    <w:rsid w:val="00A3418B"/>
    <w:rsid w:val="00A34379"/>
    <w:rsid w:val="00A34956"/>
    <w:rsid w:val="00A349AC"/>
    <w:rsid w:val="00A34E54"/>
    <w:rsid w:val="00A34EF6"/>
    <w:rsid w:val="00A35743"/>
    <w:rsid w:val="00A357D7"/>
    <w:rsid w:val="00A358C4"/>
    <w:rsid w:val="00A36350"/>
    <w:rsid w:val="00A36468"/>
    <w:rsid w:val="00A3647D"/>
    <w:rsid w:val="00A36E2E"/>
    <w:rsid w:val="00A4012B"/>
    <w:rsid w:val="00A40202"/>
    <w:rsid w:val="00A4041B"/>
    <w:rsid w:val="00A40578"/>
    <w:rsid w:val="00A40875"/>
    <w:rsid w:val="00A40B7C"/>
    <w:rsid w:val="00A40C4F"/>
    <w:rsid w:val="00A4154D"/>
    <w:rsid w:val="00A417C8"/>
    <w:rsid w:val="00A41C11"/>
    <w:rsid w:val="00A41C6D"/>
    <w:rsid w:val="00A41CEA"/>
    <w:rsid w:val="00A41EB1"/>
    <w:rsid w:val="00A41FD7"/>
    <w:rsid w:val="00A421F4"/>
    <w:rsid w:val="00A42202"/>
    <w:rsid w:val="00A42509"/>
    <w:rsid w:val="00A425F9"/>
    <w:rsid w:val="00A42AB7"/>
    <w:rsid w:val="00A4334B"/>
    <w:rsid w:val="00A434A3"/>
    <w:rsid w:val="00A43528"/>
    <w:rsid w:val="00A43A3D"/>
    <w:rsid w:val="00A43B2B"/>
    <w:rsid w:val="00A43E43"/>
    <w:rsid w:val="00A440A8"/>
    <w:rsid w:val="00A44186"/>
    <w:rsid w:val="00A443C0"/>
    <w:rsid w:val="00A44A40"/>
    <w:rsid w:val="00A44A5F"/>
    <w:rsid w:val="00A44CE1"/>
    <w:rsid w:val="00A44DB1"/>
    <w:rsid w:val="00A44E2C"/>
    <w:rsid w:val="00A44EB0"/>
    <w:rsid w:val="00A45323"/>
    <w:rsid w:val="00A454FC"/>
    <w:rsid w:val="00A455C5"/>
    <w:rsid w:val="00A45848"/>
    <w:rsid w:val="00A459F6"/>
    <w:rsid w:val="00A45B59"/>
    <w:rsid w:val="00A45BDF"/>
    <w:rsid w:val="00A45D4C"/>
    <w:rsid w:val="00A4633D"/>
    <w:rsid w:val="00A46F08"/>
    <w:rsid w:val="00A47068"/>
    <w:rsid w:val="00A47203"/>
    <w:rsid w:val="00A476C6"/>
    <w:rsid w:val="00A4794E"/>
    <w:rsid w:val="00A47E16"/>
    <w:rsid w:val="00A50B27"/>
    <w:rsid w:val="00A50C2E"/>
    <w:rsid w:val="00A51111"/>
    <w:rsid w:val="00A51148"/>
    <w:rsid w:val="00A5127D"/>
    <w:rsid w:val="00A51550"/>
    <w:rsid w:val="00A519C0"/>
    <w:rsid w:val="00A52238"/>
    <w:rsid w:val="00A5236F"/>
    <w:rsid w:val="00A527C4"/>
    <w:rsid w:val="00A52A2C"/>
    <w:rsid w:val="00A53434"/>
    <w:rsid w:val="00A53856"/>
    <w:rsid w:val="00A5389B"/>
    <w:rsid w:val="00A541BD"/>
    <w:rsid w:val="00A54225"/>
    <w:rsid w:val="00A54D72"/>
    <w:rsid w:val="00A54DC3"/>
    <w:rsid w:val="00A54F15"/>
    <w:rsid w:val="00A54F54"/>
    <w:rsid w:val="00A553A6"/>
    <w:rsid w:val="00A556AB"/>
    <w:rsid w:val="00A55BCD"/>
    <w:rsid w:val="00A55FAF"/>
    <w:rsid w:val="00A55FCA"/>
    <w:rsid w:val="00A56834"/>
    <w:rsid w:val="00A56A6E"/>
    <w:rsid w:val="00A56A7D"/>
    <w:rsid w:val="00A56DD6"/>
    <w:rsid w:val="00A56F89"/>
    <w:rsid w:val="00A5715D"/>
    <w:rsid w:val="00A572B7"/>
    <w:rsid w:val="00A57593"/>
    <w:rsid w:val="00A57A8E"/>
    <w:rsid w:val="00A57D2F"/>
    <w:rsid w:val="00A57D85"/>
    <w:rsid w:val="00A57EE0"/>
    <w:rsid w:val="00A614EC"/>
    <w:rsid w:val="00A617F9"/>
    <w:rsid w:val="00A61D4F"/>
    <w:rsid w:val="00A61DA4"/>
    <w:rsid w:val="00A61DE4"/>
    <w:rsid w:val="00A622DC"/>
    <w:rsid w:val="00A62621"/>
    <w:rsid w:val="00A62675"/>
    <w:rsid w:val="00A63A3A"/>
    <w:rsid w:val="00A63B9F"/>
    <w:rsid w:val="00A63E7F"/>
    <w:rsid w:val="00A63F85"/>
    <w:rsid w:val="00A641A1"/>
    <w:rsid w:val="00A64365"/>
    <w:rsid w:val="00A64C12"/>
    <w:rsid w:val="00A64CD0"/>
    <w:rsid w:val="00A64D4C"/>
    <w:rsid w:val="00A64FCC"/>
    <w:rsid w:val="00A65A98"/>
    <w:rsid w:val="00A65B56"/>
    <w:rsid w:val="00A6699D"/>
    <w:rsid w:val="00A66EFB"/>
    <w:rsid w:val="00A67072"/>
    <w:rsid w:val="00A6747B"/>
    <w:rsid w:val="00A678C1"/>
    <w:rsid w:val="00A67E86"/>
    <w:rsid w:val="00A702AE"/>
    <w:rsid w:val="00A707CC"/>
    <w:rsid w:val="00A708C6"/>
    <w:rsid w:val="00A71011"/>
    <w:rsid w:val="00A7159D"/>
    <w:rsid w:val="00A715BC"/>
    <w:rsid w:val="00A71FC5"/>
    <w:rsid w:val="00A72276"/>
    <w:rsid w:val="00A72961"/>
    <w:rsid w:val="00A72D66"/>
    <w:rsid w:val="00A72DBE"/>
    <w:rsid w:val="00A73600"/>
    <w:rsid w:val="00A73662"/>
    <w:rsid w:val="00A7389A"/>
    <w:rsid w:val="00A73A6E"/>
    <w:rsid w:val="00A741C8"/>
    <w:rsid w:val="00A741F2"/>
    <w:rsid w:val="00A7433C"/>
    <w:rsid w:val="00A743FD"/>
    <w:rsid w:val="00A74753"/>
    <w:rsid w:val="00A748EA"/>
    <w:rsid w:val="00A74A15"/>
    <w:rsid w:val="00A74A43"/>
    <w:rsid w:val="00A752D3"/>
    <w:rsid w:val="00A7560A"/>
    <w:rsid w:val="00A75E17"/>
    <w:rsid w:val="00A75F00"/>
    <w:rsid w:val="00A76627"/>
    <w:rsid w:val="00A77338"/>
    <w:rsid w:val="00A776D0"/>
    <w:rsid w:val="00A80083"/>
    <w:rsid w:val="00A807DE"/>
    <w:rsid w:val="00A80983"/>
    <w:rsid w:val="00A80A24"/>
    <w:rsid w:val="00A80C26"/>
    <w:rsid w:val="00A80C34"/>
    <w:rsid w:val="00A81028"/>
    <w:rsid w:val="00A812DB"/>
    <w:rsid w:val="00A812EF"/>
    <w:rsid w:val="00A81586"/>
    <w:rsid w:val="00A81606"/>
    <w:rsid w:val="00A819E5"/>
    <w:rsid w:val="00A81A94"/>
    <w:rsid w:val="00A81DF5"/>
    <w:rsid w:val="00A82BFF"/>
    <w:rsid w:val="00A82C1B"/>
    <w:rsid w:val="00A83520"/>
    <w:rsid w:val="00A83969"/>
    <w:rsid w:val="00A83BA3"/>
    <w:rsid w:val="00A83BD4"/>
    <w:rsid w:val="00A840CD"/>
    <w:rsid w:val="00A841DE"/>
    <w:rsid w:val="00A845CB"/>
    <w:rsid w:val="00A84859"/>
    <w:rsid w:val="00A84BE1"/>
    <w:rsid w:val="00A85059"/>
    <w:rsid w:val="00A85581"/>
    <w:rsid w:val="00A85732"/>
    <w:rsid w:val="00A85F2F"/>
    <w:rsid w:val="00A8609A"/>
    <w:rsid w:val="00A867B3"/>
    <w:rsid w:val="00A86850"/>
    <w:rsid w:val="00A86C10"/>
    <w:rsid w:val="00A86D20"/>
    <w:rsid w:val="00A8702E"/>
    <w:rsid w:val="00A874A9"/>
    <w:rsid w:val="00A87EF6"/>
    <w:rsid w:val="00A90057"/>
    <w:rsid w:val="00A90245"/>
    <w:rsid w:val="00A907F5"/>
    <w:rsid w:val="00A90CE2"/>
    <w:rsid w:val="00A910A4"/>
    <w:rsid w:val="00A9121B"/>
    <w:rsid w:val="00A912A0"/>
    <w:rsid w:val="00A91848"/>
    <w:rsid w:val="00A921CB"/>
    <w:rsid w:val="00A92309"/>
    <w:rsid w:val="00A926B1"/>
    <w:rsid w:val="00A9289E"/>
    <w:rsid w:val="00A92D71"/>
    <w:rsid w:val="00A931BA"/>
    <w:rsid w:val="00A933BD"/>
    <w:rsid w:val="00A93968"/>
    <w:rsid w:val="00A93C4F"/>
    <w:rsid w:val="00A93CAA"/>
    <w:rsid w:val="00A93FD9"/>
    <w:rsid w:val="00A941B0"/>
    <w:rsid w:val="00A94B18"/>
    <w:rsid w:val="00A94F3A"/>
    <w:rsid w:val="00A95074"/>
    <w:rsid w:val="00A9567D"/>
    <w:rsid w:val="00A95BA8"/>
    <w:rsid w:val="00A95D1F"/>
    <w:rsid w:val="00A96182"/>
    <w:rsid w:val="00A96A2B"/>
    <w:rsid w:val="00A9705C"/>
    <w:rsid w:val="00A97605"/>
    <w:rsid w:val="00A97B25"/>
    <w:rsid w:val="00A97BE7"/>
    <w:rsid w:val="00A97CD2"/>
    <w:rsid w:val="00A97D84"/>
    <w:rsid w:val="00A97E77"/>
    <w:rsid w:val="00AA0097"/>
    <w:rsid w:val="00AA02BE"/>
    <w:rsid w:val="00AA02EA"/>
    <w:rsid w:val="00AA06AA"/>
    <w:rsid w:val="00AA06E2"/>
    <w:rsid w:val="00AA0A0F"/>
    <w:rsid w:val="00AA0BEC"/>
    <w:rsid w:val="00AA0DD8"/>
    <w:rsid w:val="00AA0E43"/>
    <w:rsid w:val="00AA10E0"/>
    <w:rsid w:val="00AA14B4"/>
    <w:rsid w:val="00AA19E7"/>
    <w:rsid w:val="00AA1A94"/>
    <w:rsid w:val="00AA1D78"/>
    <w:rsid w:val="00AA22AC"/>
    <w:rsid w:val="00AA22F9"/>
    <w:rsid w:val="00AA2563"/>
    <w:rsid w:val="00AA2E3B"/>
    <w:rsid w:val="00AA3542"/>
    <w:rsid w:val="00AA387C"/>
    <w:rsid w:val="00AA3E3D"/>
    <w:rsid w:val="00AA4013"/>
    <w:rsid w:val="00AA421F"/>
    <w:rsid w:val="00AA43EC"/>
    <w:rsid w:val="00AA446C"/>
    <w:rsid w:val="00AA4641"/>
    <w:rsid w:val="00AA4F37"/>
    <w:rsid w:val="00AA4F47"/>
    <w:rsid w:val="00AA567C"/>
    <w:rsid w:val="00AA5922"/>
    <w:rsid w:val="00AA5C1E"/>
    <w:rsid w:val="00AA5F1F"/>
    <w:rsid w:val="00AA5FA5"/>
    <w:rsid w:val="00AA6B92"/>
    <w:rsid w:val="00AA6FDF"/>
    <w:rsid w:val="00AA7110"/>
    <w:rsid w:val="00AA7129"/>
    <w:rsid w:val="00AA789B"/>
    <w:rsid w:val="00AA7DD7"/>
    <w:rsid w:val="00AB02BA"/>
    <w:rsid w:val="00AB0A4A"/>
    <w:rsid w:val="00AB0EA9"/>
    <w:rsid w:val="00AB127B"/>
    <w:rsid w:val="00AB1818"/>
    <w:rsid w:val="00AB1983"/>
    <w:rsid w:val="00AB2079"/>
    <w:rsid w:val="00AB2112"/>
    <w:rsid w:val="00AB28CA"/>
    <w:rsid w:val="00AB2945"/>
    <w:rsid w:val="00AB3093"/>
    <w:rsid w:val="00AB3144"/>
    <w:rsid w:val="00AB31FD"/>
    <w:rsid w:val="00AB32E7"/>
    <w:rsid w:val="00AB33FF"/>
    <w:rsid w:val="00AB368C"/>
    <w:rsid w:val="00AB39B2"/>
    <w:rsid w:val="00AB411B"/>
    <w:rsid w:val="00AB4330"/>
    <w:rsid w:val="00AB436C"/>
    <w:rsid w:val="00AB44CD"/>
    <w:rsid w:val="00AB46F8"/>
    <w:rsid w:val="00AB4786"/>
    <w:rsid w:val="00AB4F57"/>
    <w:rsid w:val="00AB4FD3"/>
    <w:rsid w:val="00AB53F5"/>
    <w:rsid w:val="00AB5BD2"/>
    <w:rsid w:val="00AB6286"/>
    <w:rsid w:val="00AB646A"/>
    <w:rsid w:val="00AB674E"/>
    <w:rsid w:val="00AB69A7"/>
    <w:rsid w:val="00AB69FF"/>
    <w:rsid w:val="00AB6BA9"/>
    <w:rsid w:val="00AB6C36"/>
    <w:rsid w:val="00AB6F11"/>
    <w:rsid w:val="00AB73C3"/>
    <w:rsid w:val="00AB74AF"/>
    <w:rsid w:val="00AB7589"/>
    <w:rsid w:val="00AB7878"/>
    <w:rsid w:val="00AB7ED0"/>
    <w:rsid w:val="00AC0AE9"/>
    <w:rsid w:val="00AC0E07"/>
    <w:rsid w:val="00AC0E29"/>
    <w:rsid w:val="00AC11A4"/>
    <w:rsid w:val="00AC1B6D"/>
    <w:rsid w:val="00AC1F95"/>
    <w:rsid w:val="00AC238C"/>
    <w:rsid w:val="00AC2F9E"/>
    <w:rsid w:val="00AC313B"/>
    <w:rsid w:val="00AC34C7"/>
    <w:rsid w:val="00AC3576"/>
    <w:rsid w:val="00AC36FD"/>
    <w:rsid w:val="00AC3C59"/>
    <w:rsid w:val="00AC3E66"/>
    <w:rsid w:val="00AC3F19"/>
    <w:rsid w:val="00AC41FD"/>
    <w:rsid w:val="00AC45EE"/>
    <w:rsid w:val="00AC46BD"/>
    <w:rsid w:val="00AC46C6"/>
    <w:rsid w:val="00AC4A08"/>
    <w:rsid w:val="00AC4B04"/>
    <w:rsid w:val="00AC4F44"/>
    <w:rsid w:val="00AC5342"/>
    <w:rsid w:val="00AC58BC"/>
    <w:rsid w:val="00AC58D8"/>
    <w:rsid w:val="00AC5A4C"/>
    <w:rsid w:val="00AC5C1D"/>
    <w:rsid w:val="00AC5C70"/>
    <w:rsid w:val="00AC5E54"/>
    <w:rsid w:val="00AC5ECF"/>
    <w:rsid w:val="00AC6207"/>
    <w:rsid w:val="00AC6302"/>
    <w:rsid w:val="00AC634A"/>
    <w:rsid w:val="00AC66B4"/>
    <w:rsid w:val="00AC6824"/>
    <w:rsid w:val="00AC68F4"/>
    <w:rsid w:val="00AC712C"/>
    <w:rsid w:val="00AC712F"/>
    <w:rsid w:val="00AC71C8"/>
    <w:rsid w:val="00AC77FC"/>
    <w:rsid w:val="00AC78E7"/>
    <w:rsid w:val="00AC7BAB"/>
    <w:rsid w:val="00AC7CA9"/>
    <w:rsid w:val="00AD072F"/>
    <w:rsid w:val="00AD1353"/>
    <w:rsid w:val="00AD163B"/>
    <w:rsid w:val="00AD1860"/>
    <w:rsid w:val="00AD1DB8"/>
    <w:rsid w:val="00AD1E15"/>
    <w:rsid w:val="00AD20DE"/>
    <w:rsid w:val="00AD2143"/>
    <w:rsid w:val="00AD21DD"/>
    <w:rsid w:val="00AD2225"/>
    <w:rsid w:val="00AD25F9"/>
    <w:rsid w:val="00AD2890"/>
    <w:rsid w:val="00AD28B1"/>
    <w:rsid w:val="00AD2EC1"/>
    <w:rsid w:val="00AD301E"/>
    <w:rsid w:val="00AD3171"/>
    <w:rsid w:val="00AD34B1"/>
    <w:rsid w:val="00AD3D8E"/>
    <w:rsid w:val="00AD418F"/>
    <w:rsid w:val="00AD4374"/>
    <w:rsid w:val="00AD439D"/>
    <w:rsid w:val="00AD4887"/>
    <w:rsid w:val="00AD4A5E"/>
    <w:rsid w:val="00AD4ACC"/>
    <w:rsid w:val="00AD4B8B"/>
    <w:rsid w:val="00AD535C"/>
    <w:rsid w:val="00AD575E"/>
    <w:rsid w:val="00AD59DD"/>
    <w:rsid w:val="00AD600D"/>
    <w:rsid w:val="00AD654E"/>
    <w:rsid w:val="00AD6696"/>
    <w:rsid w:val="00AD6727"/>
    <w:rsid w:val="00AD679F"/>
    <w:rsid w:val="00AD6AAF"/>
    <w:rsid w:val="00AD6E31"/>
    <w:rsid w:val="00AD6EB1"/>
    <w:rsid w:val="00AD7977"/>
    <w:rsid w:val="00AD7AAF"/>
    <w:rsid w:val="00AD7C13"/>
    <w:rsid w:val="00AD7D9B"/>
    <w:rsid w:val="00AE002E"/>
    <w:rsid w:val="00AE0C79"/>
    <w:rsid w:val="00AE13DF"/>
    <w:rsid w:val="00AE1708"/>
    <w:rsid w:val="00AE170E"/>
    <w:rsid w:val="00AE1745"/>
    <w:rsid w:val="00AE19BF"/>
    <w:rsid w:val="00AE19D6"/>
    <w:rsid w:val="00AE23E9"/>
    <w:rsid w:val="00AE2472"/>
    <w:rsid w:val="00AE28AB"/>
    <w:rsid w:val="00AE2D13"/>
    <w:rsid w:val="00AE2EE6"/>
    <w:rsid w:val="00AE303C"/>
    <w:rsid w:val="00AE3167"/>
    <w:rsid w:val="00AE3325"/>
    <w:rsid w:val="00AE3CAE"/>
    <w:rsid w:val="00AE4792"/>
    <w:rsid w:val="00AE5159"/>
    <w:rsid w:val="00AE529E"/>
    <w:rsid w:val="00AE56F7"/>
    <w:rsid w:val="00AE5AE8"/>
    <w:rsid w:val="00AE5CB1"/>
    <w:rsid w:val="00AE5DE2"/>
    <w:rsid w:val="00AE5E09"/>
    <w:rsid w:val="00AE5FA0"/>
    <w:rsid w:val="00AE62A7"/>
    <w:rsid w:val="00AE6378"/>
    <w:rsid w:val="00AE668C"/>
    <w:rsid w:val="00AE6D26"/>
    <w:rsid w:val="00AE6EBB"/>
    <w:rsid w:val="00AE738B"/>
    <w:rsid w:val="00AE7569"/>
    <w:rsid w:val="00AE759C"/>
    <w:rsid w:val="00AE7911"/>
    <w:rsid w:val="00AE7A39"/>
    <w:rsid w:val="00AE7B35"/>
    <w:rsid w:val="00AE7BBF"/>
    <w:rsid w:val="00AF0555"/>
    <w:rsid w:val="00AF090F"/>
    <w:rsid w:val="00AF10CB"/>
    <w:rsid w:val="00AF1945"/>
    <w:rsid w:val="00AF1B47"/>
    <w:rsid w:val="00AF1D15"/>
    <w:rsid w:val="00AF1E28"/>
    <w:rsid w:val="00AF1E6D"/>
    <w:rsid w:val="00AF29FF"/>
    <w:rsid w:val="00AF2BA2"/>
    <w:rsid w:val="00AF2DD8"/>
    <w:rsid w:val="00AF2FDE"/>
    <w:rsid w:val="00AF357A"/>
    <w:rsid w:val="00AF396E"/>
    <w:rsid w:val="00AF3BBF"/>
    <w:rsid w:val="00AF3E06"/>
    <w:rsid w:val="00AF4210"/>
    <w:rsid w:val="00AF469E"/>
    <w:rsid w:val="00AF46A6"/>
    <w:rsid w:val="00AF48DE"/>
    <w:rsid w:val="00AF4BB1"/>
    <w:rsid w:val="00AF4E6D"/>
    <w:rsid w:val="00AF5071"/>
    <w:rsid w:val="00AF529B"/>
    <w:rsid w:val="00AF5419"/>
    <w:rsid w:val="00AF541F"/>
    <w:rsid w:val="00AF575B"/>
    <w:rsid w:val="00AF5838"/>
    <w:rsid w:val="00AF5BAE"/>
    <w:rsid w:val="00AF5C08"/>
    <w:rsid w:val="00AF5CED"/>
    <w:rsid w:val="00AF612C"/>
    <w:rsid w:val="00AF63C0"/>
    <w:rsid w:val="00AF6448"/>
    <w:rsid w:val="00AF6452"/>
    <w:rsid w:val="00AF65C9"/>
    <w:rsid w:val="00AF6A57"/>
    <w:rsid w:val="00AF73EF"/>
    <w:rsid w:val="00AF7695"/>
    <w:rsid w:val="00AF76A8"/>
    <w:rsid w:val="00AF76EA"/>
    <w:rsid w:val="00AF79F9"/>
    <w:rsid w:val="00AF7D32"/>
    <w:rsid w:val="00B00149"/>
    <w:rsid w:val="00B005FA"/>
    <w:rsid w:val="00B00A7F"/>
    <w:rsid w:val="00B00FCB"/>
    <w:rsid w:val="00B0128C"/>
    <w:rsid w:val="00B014E3"/>
    <w:rsid w:val="00B01582"/>
    <w:rsid w:val="00B01643"/>
    <w:rsid w:val="00B018A7"/>
    <w:rsid w:val="00B0202C"/>
    <w:rsid w:val="00B02107"/>
    <w:rsid w:val="00B02B26"/>
    <w:rsid w:val="00B0325D"/>
    <w:rsid w:val="00B0325E"/>
    <w:rsid w:val="00B034A0"/>
    <w:rsid w:val="00B035E6"/>
    <w:rsid w:val="00B03650"/>
    <w:rsid w:val="00B038EB"/>
    <w:rsid w:val="00B03BF1"/>
    <w:rsid w:val="00B03D3A"/>
    <w:rsid w:val="00B04345"/>
    <w:rsid w:val="00B045F9"/>
    <w:rsid w:val="00B046D3"/>
    <w:rsid w:val="00B04885"/>
    <w:rsid w:val="00B04B07"/>
    <w:rsid w:val="00B050DA"/>
    <w:rsid w:val="00B05136"/>
    <w:rsid w:val="00B05516"/>
    <w:rsid w:val="00B05741"/>
    <w:rsid w:val="00B05A30"/>
    <w:rsid w:val="00B05A99"/>
    <w:rsid w:val="00B06347"/>
    <w:rsid w:val="00B06444"/>
    <w:rsid w:val="00B07220"/>
    <w:rsid w:val="00B074D0"/>
    <w:rsid w:val="00B079A7"/>
    <w:rsid w:val="00B07FA3"/>
    <w:rsid w:val="00B1014E"/>
    <w:rsid w:val="00B1028A"/>
    <w:rsid w:val="00B105FD"/>
    <w:rsid w:val="00B10E29"/>
    <w:rsid w:val="00B10F3C"/>
    <w:rsid w:val="00B11A42"/>
    <w:rsid w:val="00B11DC6"/>
    <w:rsid w:val="00B121EF"/>
    <w:rsid w:val="00B1255B"/>
    <w:rsid w:val="00B12CAE"/>
    <w:rsid w:val="00B12DEA"/>
    <w:rsid w:val="00B137DE"/>
    <w:rsid w:val="00B13C60"/>
    <w:rsid w:val="00B14213"/>
    <w:rsid w:val="00B144E0"/>
    <w:rsid w:val="00B1451E"/>
    <w:rsid w:val="00B14946"/>
    <w:rsid w:val="00B14E0E"/>
    <w:rsid w:val="00B1505D"/>
    <w:rsid w:val="00B15300"/>
    <w:rsid w:val="00B15322"/>
    <w:rsid w:val="00B1561A"/>
    <w:rsid w:val="00B15E42"/>
    <w:rsid w:val="00B16472"/>
    <w:rsid w:val="00B165FF"/>
    <w:rsid w:val="00B16900"/>
    <w:rsid w:val="00B169F2"/>
    <w:rsid w:val="00B17002"/>
    <w:rsid w:val="00B17512"/>
    <w:rsid w:val="00B20219"/>
    <w:rsid w:val="00B20284"/>
    <w:rsid w:val="00B20711"/>
    <w:rsid w:val="00B2104B"/>
    <w:rsid w:val="00B214D9"/>
    <w:rsid w:val="00B2184F"/>
    <w:rsid w:val="00B21A45"/>
    <w:rsid w:val="00B21C7B"/>
    <w:rsid w:val="00B21D0D"/>
    <w:rsid w:val="00B21D82"/>
    <w:rsid w:val="00B2224B"/>
    <w:rsid w:val="00B22B12"/>
    <w:rsid w:val="00B22F16"/>
    <w:rsid w:val="00B2362D"/>
    <w:rsid w:val="00B237B2"/>
    <w:rsid w:val="00B23AB3"/>
    <w:rsid w:val="00B23C7A"/>
    <w:rsid w:val="00B24988"/>
    <w:rsid w:val="00B24B28"/>
    <w:rsid w:val="00B24D25"/>
    <w:rsid w:val="00B2521C"/>
    <w:rsid w:val="00B25617"/>
    <w:rsid w:val="00B257DC"/>
    <w:rsid w:val="00B26474"/>
    <w:rsid w:val="00B2657D"/>
    <w:rsid w:val="00B265A1"/>
    <w:rsid w:val="00B267A1"/>
    <w:rsid w:val="00B2736D"/>
    <w:rsid w:val="00B27438"/>
    <w:rsid w:val="00B27602"/>
    <w:rsid w:val="00B279B7"/>
    <w:rsid w:val="00B27BA5"/>
    <w:rsid w:val="00B27DA7"/>
    <w:rsid w:val="00B27E08"/>
    <w:rsid w:val="00B27F7A"/>
    <w:rsid w:val="00B30040"/>
    <w:rsid w:val="00B309D0"/>
    <w:rsid w:val="00B310A4"/>
    <w:rsid w:val="00B3159E"/>
    <w:rsid w:val="00B31787"/>
    <w:rsid w:val="00B31819"/>
    <w:rsid w:val="00B31998"/>
    <w:rsid w:val="00B321D5"/>
    <w:rsid w:val="00B32299"/>
    <w:rsid w:val="00B322B2"/>
    <w:rsid w:val="00B32303"/>
    <w:rsid w:val="00B32337"/>
    <w:rsid w:val="00B32422"/>
    <w:rsid w:val="00B328C9"/>
    <w:rsid w:val="00B328D1"/>
    <w:rsid w:val="00B32EDF"/>
    <w:rsid w:val="00B32EFA"/>
    <w:rsid w:val="00B339C0"/>
    <w:rsid w:val="00B33B1C"/>
    <w:rsid w:val="00B33C59"/>
    <w:rsid w:val="00B33EDA"/>
    <w:rsid w:val="00B34482"/>
    <w:rsid w:val="00B347C7"/>
    <w:rsid w:val="00B34B32"/>
    <w:rsid w:val="00B34DE3"/>
    <w:rsid w:val="00B35044"/>
    <w:rsid w:val="00B35259"/>
    <w:rsid w:val="00B35DA2"/>
    <w:rsid w:val="00B37113"/>
    <w:rsid w:val="00B3752B"/>
    <w:rsid w:val="00B37544"/>
    <w:rsid w:val="00B375BE"/>
    <w:rsid w:val="00B375DC"/>
    <w:rsid w:val="00B37A08"/>
    <w:rsid w:val="00B40013"/>
    <w:rsid w:val="00B404A9"/>
    <w:rsid w:val="00B41284"/>
    <w:rsid w:val="00B4150F"/>
    <w:rsid w:val="00B4168D"/>
    <w:rsid w:val="00B4186F"/>
    <w:rsid w:val="00B41C65"/>
    <w:rsid w:val="00B41F1E"/>
    <w:rsid w:val="00B42162"/>
    <w:rsid w:val="00B423E6"/>
    <w:rsid w:val="00B425D1"/>
    <w:rsid w:val="00B425DF"/>
    <w:rsid w:val="00B427E0"/>
    <w:rsid w:val="00B42AB5"/>
    <w:rsid w:val="00B43173"/>
    <w:rsid w:val="00B432AB"/>
    <w:rsid w:val="00B43882"/>
    <w:rsid w:val="00B439BF"/>
    <w:rsid w:val="00B43D12"/>
    <w:rsid w:val="00B43EEE"/>
    <w:rsid w:val="00B43F17"/>
    <w:rsid w:val="00B441D6"/>
    <w:rsid w:val="00B44487"/>
    <w:rsid w:val="00B4484E"/>
    <w:rsid w:val="00B44ACF"/>
    <w:rsid w:val="00B44BEA"/>
    <w:rsid w:val="00B44F1C"/>
    <w:rsid w:val="00B4563B"/>
    <w:rsid w:val="00B45A57"/>
    <w:rsid w:val="00B45C9C"/>
    <w:rsid w:val="00B45FE1"/>
    <w:rsid w:val="00B4640B"/>
    <w:rsid w:val="00B4647B"/>
    <w:rsid w:val="00B465D4"/>
    <w:rsid w:val="00B46934"/>
    <w:rsid w:val="00B46991"/>
    <w:rsid w:val="00B46ACC"/>
    <w:rsid w:val="00B470C9"/>
    <w:rsid w:val="00B470DF"/>
    <w:rsid w:val="00B473CC"/>
    <w:rsid w:val="00B4743A"/>
    <w:rsid w:val="00B4773B"/>
    <w:rsid w:val="00B5011A"/>
    <w:rsid w:val="00B501F7"/>
    <w:rsid w:val="00B507BE"/>
    <w:rsid w:val="00B50888"/>
    <w:rsid w:val="00B50AA3"/>
    <w:rsid w:val="00B50DA7"/>
    <w:rsid w:val="00B50EB7"/>
    <w:rsid w:val="00B514D4"/>
    <w:rsid w:val="00B52667"/>
    <w:rsid w:val="00B53093"/>
    <w:rsid w:val="00B53205"/>
    <w:rsid w:val="00B5379C"/>
    <w:rsid w:val="00B538B8"/>
    <w:rsid w:val="00B53C92"/>
    <w:rsid w:val="00B53CA5"/>
    <w:rsid w:val="00B53CF6"/>
    <w:rsid w:val="00B53DFD"/>
    <w:rsid w:val="00B540B9"/>
    <w:rsid w:val="00B54128"/>
    <w:rsid w:val="00B5426A"/>
    <w:rsid w:val="00B5426B"/>
    <w:rsid w:val="00B54363"/>
    <w:rsid w:val="00B5456B"/>
    <w:rsid w:val="00B5540D"/>
    <w:rsid w:val="00B557E1"/>
    <w:rsid w:val="00B56356"/>
    <w:rsid w:val="00B567CA"/>
    <w:rsid w:val="00B56F79"/>
    <w:rsid w:val="00B573DE"/>
    <w:rsid w:val="00B57457"/>
    <w:rsid w:val="00B57C17"/>
    <w:rsid w:val="00B57CE8"/>
    <w:rsid w:val="00B57F35"/>
    <w:rsid w:val="00B60090"/>
    <w:rsid w:val="00B603E9"/>
    <w:rsid w:val="00B60442"/>
    <w:rsid w:val="00B60B26"/>
    <w:rsid w:val="00B612A0"/>
    <w:rsid w:val="00B61BE2"/>
    <w:rsid w:val="00B61D79"/>
    <w:rsid w:val="00B62271"/>
    <w:rsid w:val="00B6273A"/>
    <w:rsid w:val="00B629F7"/>
    <w:rsid w:val="00B629FF"/>
    <w:rsid w:val="00B62AC1"/>
    <w:rsid w:val="00B62B53"/>
    <w:rsid w:val="00B62C6A"/>
    <w:rsid w:val="00B63397"/>
    <w:rsid w:val="00B63742"/>
    <w:rsid w:val="00B63A0E"/>
    <w:rsid w:val="00B63D0A"/>
    <w:rsid w:val="00B641F8"/>
    <w:rsid w:val="00B6438C"/>
    <w:rsid w:val="00B64A5F"/>
    <w:rsid w:val="00B64F6E"/>
    <w:rsid w:val="00B65755"/>
    <w:rsid w:val="00B65822"/>
    <w:rsid w:val="00B65ABE"/>
    <w:rsid w:val="00B65D0C"/>
    <w:rsid w:val="00B660A6"/>
    <w:rsid w:val="00B665A1"/>
    <w:rsid w:val="00B666F4"/>
    <w:rsid w:val="00B66CB8"/>
    <w:rsid w:val="00B6707D"/>
    <w:rsid w:val="00B6719B"/>
    <w:rsid w:val="00B6720C"/>
    <w:rsid w:val="00B701E8"/>
    <w:rsid w:val="00B708C7"/>
    <w:rsid w:val="00B710AF"/>
    <w:rsid w:val="00B716D3"/>
    <w:rsid w:val="00B716DB"/>
    <w:rsid w:val="00B71D93"/>
    <w:rsid w:val="00B71EA6"/>
    <w:rsid w:val="00B7221B"/>
    <w:rsid w:val="00B72EC2"/>
    <w:rsid w:val="00B7325E"/>
    <w:rsid w:val="00B73549"/>
    <w:rsid w:val="00B73EC8"/>
    <w:rsid w:val="00B742B7"/>
    <w:rsid w:val="00B74D52"/>
    <w:rsid w:val="00B75186"/>
    <w:rsid w:val="00B75AF8"/>
    <w:rsid w:val="00B75C6A"/>
    <w:rsid w:val="00B75DED"/>
    <w:rsid w:val="00B763DF"/>
    <w:rsid w:val="00B766E0"/>
    <w:rsid w:val="00B76797"/>
    <w:rsid w:val="00B7690C"/>
    <w:rsid w:val="00B77579"/>
    <w:rsid w:val="00B8039B"/>
    <w:rsid w:val="00B80702"/>
    <w:rsid w:val="00B8074B"/>
    <w:rsid w:val="00B80A8B"/>
    <w:rsid w:val="00B80A91"/>
    <w:rsid w:val="00B80CB1"/>
    <w:rsid w:val="00B8114B"/>
    <w:rsid w:val="00B81587"/>
    <w:rsid w:val="00B81DBB"/>
    <w:rsid w:val="00B820E0"/>
    <w:rsid w:val="00B833A7"/>
    <w:rsid w:val="00B8363B"/>
    <w:rsid w:val="00B8370B"/>
    <w:rsid w:val="00B83AF2"/>
    <w:rsid w:val="00B83C95"/>
    <w:rsid w:val="00B84084"/>
    <w:rsid w:val="00B848E3"/>
    <w:rsid w:val="00B84C38"/>
    <w:rsid w:val="00B85E0B"/>
    <w:rsid w:val="00B85F51"/>
    <w:rsid w:val="00B862FE"/>
    <w:rsid w:val="00B86869"/>
    <w:rsid w:val="00B8698C"/>
    <w:rsid w:val="00B86C81"/>
    <w:rsid w:val="00B87002"/>
    <w:rsid w:val="00B873FB"/>
    <w:rsid w:val="00B874B3"/>
    <w:rsid w:val="00B87594"/>
    <w:rsid w:val="00B87611"/>
    <w:rsid w:val="00B87942"/>
    <w:rsid w:val="00B87E8A"/>
    <w:rsid w:val="00B87F1C"/>
    <w:rsid w:val="00B904AA"/>
    <w:rsid w:val="00B90E26"/>
    <w:rsid w:val="00B90EE5"/>
    <w:rsid w:val="00B90F93"/>
    <w:rsid w:val="00B9110E"/>
    <w:rsid w:val="00B91230"/>
    <w:rsid w:val="00B91341"/>
    <w:rsid w:val="00B91642"/>
    <w:rsid w:val="00B9177F"/>
    <w:rsid w:val="00B926AA"/>
    <w:rsid w:val="00B92B8E"/>
    <w:rsid w:val="00B92F7C"/>
    <w:rsid w:val="00B936CE"/>
    <w:rsid w:val="00B937EF"/>
    <w:rsid w:val="00B93C62"/>
    <w:rsid w:val="00B93D48"/>
    <w:rsid w:val="00B93E56"/>
    <w:rsid w:val="00B94060"/>
    <w:rsid w:val="00B94155"/>
    <w:rsid w:val="00B9466F"/>
    <w:rsid w:val="00B9490A"/>
    <w:rsid w:val="00B94A03"/>
    <w:rsid w:val="00B94E02"/>
    <w:rsid w:val="00B94E9F"/>
    <w:rsid w:val="00B95221"/>
    <w:rsid w:val="00B95298"/>
    <w:rsid w:val="00B9534A"/>
    <w:rsid w:val="00B95517"/>
    <w:rsid w:val="00B95625"/>
    <w:rsid w:val="00B958BE"/>
    <w:rsid w:val="00B959B0"/>
    <w:rsid w:val="00B95C9F"/>
    <w:rsid w:val="00B96112"/>
    <w:rsid w:val="00B9614F"/>
    <w:rsid w:val="00B9657E"/>
    <w:rsid w:val="00B97023"/>
    <w:rsid w:val="00B97925"/>
    <w:rsid w:val="00B97AB2"/>
    <w:rsid w:val="00B97B6D"/>
    <w:rsid w:val="00B97CF3"/>
    <w:rsid w:val="00B97D5B"/>
    <w:rsid w:val="00BA028F"/>
    <w:rsid w:val="00BA036B"/>
    <w:rsid w:val="00BA0449"/>
    <w:rsid w:val="00BA0561"/>
    <w:rsid w:val="00BA147D"/>
    <w:rsid w:val="00BA149D"/>
    <w:rsid w:val="00BA1991"/>
    <w:rsid w:val="00BA1E3A"/>
    <w:rsid w:val="00BA23B2"/>
    <w:rsid w:val="00BA241B"/>
    <w:rsid w:val="00BA247C"/>
    <w:rsid w:val="00BA2713"/>
    <w:rsid w:val="00BA2A67"/>
    <w:rsid w:val="00BA30C6"/>
    <w:rsid w:val="00BA3606"/>
    <w:rsid w:val="00BA3837"/>
    <w:rsid w:val="00BA3CBE"/>
    <w:rsid w:val="00BA3D8D"/>
    <w:rsid w:val="00BA41EE"/>
    <w:rsid w:val="00BA4687"/>
    <w:rsid w:val="00BA4CBD"/>
    <w:rsid w:val="00BA53F2"/>
    <w:rsid w:val="00BA5BFE"/>
    <w:rsid w:val="00BA5C37"/>
    <w:rsid w:val="00BA6040"/>
    <w:rsid w:val="00BA6086"/>
    <w:rsid w:val="00BA60D0"/>
    <w:rsid w:val="00BA683E"/>
    <w:rsid w:val="00BA6E47"/>
    <w:rsid w:val="00BA70A1"/>
    <w:rsid w:val="00BA7623"/>
    <w:rsid w:val="00BA7742"/>
    <w:rsid w:val="00BB04C7"/>
    <w:rsid w:val="00BB0F1A"/>
    <w:rsid w:val="00BB10B9"/>
    <w:rsid w:val="00BB117B"/>
    <w:rsid w:val="00BB1FE2"/>
    <w:rsid w:val="00BB2014"/>
    <w:rsid w:val="00BB2CB1"/>
    <w:rsid w:val="00BB31BB"/>
    <w:rsid w:val="00BB33D0"/>
    <w:rsid w:val="00BB34AB"/>
    <w:rsid w:val="00BB3510"/>
    <w:rsid w:val="00BB3791"/>
    <w:rsid w:val="00BB3801"/>
    <w:rsid w:val="00BB3DE4"/>
    <w:rsid w:val="00BB40B0"/>
    <w:rsid w:val="00BB417F"/>
    <w:rsid w:val="00BB4E4D"/>
    <w:rsid w:val="00BB4F9B"/>
    <w:rsid w:val="00BB501F"/>
    <w:rsid w:val="00BB5638"/>
    <w:rsid w:val="00BB5668"/>
    <w:rsid w:val="00BB56AF"/>
    <w:rsid w:val="00BB5A26"/>
    <w:rsid w:val="00BB5BAF"/>
    <w:rsid w:val="00BB5BBD"/>
    <w:rsid w:val="00BB5BD0"/>
    <w:rsid w:val="00BB6127"/>
    <w:rsid w:val="00BB6328"/>
    <w:rsid w:val="00BB680B"/>
    <w:rsid w:val="00BB787F"/>
    <w:rsid w:val="00BB7A49"/>
    <w:rsid w:val="00BC0251"/>
    <w:rsid w:val="00BC03E1"/>
    <w:rsid w:val="00BC061A"/>
    <w:rsid w:val="00BC0C20"/>
    <w:rsid w:val="00BC0D6E"/>
    <w:rsid w:val="00BC1127"/>
    <w:rsid w:val="00BC1426"/>
    <w:rsid w:val="00BC169B"/>
    <w:rsid w:val="00BC1998"/>
    <w:rsid w:val="00BC1C90"/>
    <w:rsid w:val="00BC2A75"/>
    <w:rsid w:val="00BC2BE6"/>
    <w:rsid w:val="00BC2C55"/>
    <w:rsid w:val="00BC31CA"/>
    <w:rsid w:val="00BC343E"/>
    <w:rsid w:val="00BC348E"/>
    <w:rsid w:val="00BC3527"/>
    <w:rsid w:val="00BC3B29"/>
    <w:rsid w:val="00BC404E"/>
    <w:rsid w:val="00BC410E"/>
    <w:rsid w:val="00BC4394"/>
    <w:rsid w:val="00BC4462"/>
    <w:rsid w:val="00BC4612"/>
    <w:rsid w:val="00BC48FC"/>
    <w:rsid w:val="00BC4A6C"/>
    <w:rsid w:val="00BC5228"/>
    <w:rsid w:val="00BC5543"/>
    <w:rsid w:val="00BC5E50"/>
    <w:rsid w:val="00BC62AC"/>
    <w:rsid w:val="00BC649E"/>
    <w:rsid w:val="00BC66CF"/>
    <w:rsid w:val="00BC694E"/>
    <w:rsid w:val="00BC762F"/>
    <w:rsid w:val="00BC7AAA"/>
    <w:rsid w:val="00BC7B46"/>
    <w:rsid w:val="00BD030C"/>
    <w:rsid w:val="00BD06B3"/>
    <w:rsid w:val="00BD0FC2"/>
    <w:rsid w:val="00BD1136"/>
    <w:rsid w:val="00BD12C2"/>
    <w:rsid w:val="00BD1571"/>
    <w:rsid w:val="00BD19DB"/>
    <w:rsid w:val="00BD1F55"/>
    <w:rsid w:val="00BD24A0"/>
    <w:rsid w:val="00BD25A6"/>
    <w:rsid w:val="00BD2641"/>
    <w:rsid w:val="00BD2895"/>
    <w:rsid w:val="00BD294E"/>
    <w:rsid w:val="00BD2E05"/>
    <w:rsid w:val="00BD3374"/>
    <w:rsid w:val="00BD3386"/>
    <w:rsid w:val="00BD33AA"/>
    <w:rsid w:val="00BD381D"/>
    <w:rsid w:val="00BD3D37"/>
    <w:rsid w:val="00BD416E"/>
    <w:rsid w:val="00BD42D3"/>
    <w:rsid w:val="00BD4A52"/>
    <w:rsid w:val="00BD4B4E"/>
    <w:rsid w:val="00BD4DB5"/>
    <w:rsid w:val="00BD5680"/>
    <w:rsid w:val="00BD5828"/>
    <w:rsid w:val="00BD58ED"/>
    <w:rsid w:val="00BD637B"/>
    <w:rsid w:val="00BD63E2"/>
    <w:rsid w:val="00BD6CDA"/>
    <w:rsid w:val="00BD6F78"/>
    <w:rsid w:val="00BD7554"/>
    <w:rsid w:val="00BD7662"/>
    <w:rsid w:val="00BD78B5"/>
    <w:rsid w:val="00BD7A8C"/>
    <w:rsid w:val="00BE0232"/>
    <w:rsid w:val="00BE0356"/>
    <w:rsid w:val="00BE0964"/>
    <w:rsid w:val="00BE0E52"/>
    <w:rsid w:val="00BE0EA1"/>
    <w:rsid w:val="00BE13C6"/>
    <w:rsid w:val="00BE1611"/>
    <w:rsid w:val="00BE1A33"/>
    <w:rsid w:val="00BE1A6F"/>
    <w:rsid w:val="00BE1C33"/>
    <w:rsid w:val="00BE1C98"/>
    <w:rsid w:val="00BE21AB"/>
    <w:rsid w:val="00BE29F6"/>
    <w:rsid w:val="00BE2AD2"/>
    <w:rsid w:val="00BE2EB4"/>
    <w:rsid w:val="00BE3166"/>
    <w:rsid w:val="00BE36CB"/>
    <w:rsid w:val="00BE3E31"/>
    <w:rsid w:val="00BE3F81"/>
    <w:rsid w:val="00BE4F8C"/>
    <w:rsid w:val="00BE50A7"/>
    <w:rsid w:val="00BE531A"/>
    <w:rsid w:val="00BE5393"/>
    <w:rsid w:val="00BE544D"/>
    <w:rsid w:val="00BE5DC6"/>
    <w:rsid w:val="00BE6137"/>
    <w:rsid w:val="00BE62AF"/>
    <w:rsid w:val="00BE69CA"/>
    <w:rsid w:val="00BE6FC8"/>
    <w:rsid w:val="00BE7462"/>
    <w:rsid w:val="00BE76AA"/>
    <w:rsid w:val="00BE7854"/>
    <w:rsid w:val="00BE7C91"/>
    <w:rsid w:val="00BF068B"/>
    <w:rsid w:val="00BF0A71"/>
    <w:rsid w:val="00BF1036"/>
    <w:rsid w:val="00BF1143"/>
    <w:rsid w:val="00BF1405"/>
    <w:rsid w:val="00BF14F0"/>
    <w:rsid w:val="00BF173F"/>
    <w:rsid w:val="00BF17BE"/>
    <w:rsid w:val="00BF1857"/>
    <w:rsid w:val="00BF1C3F"/>
    <w:rsid w:val="00BF1EC7"/>
    <w:rsid w:val="00BF1F99"/>
    <w:rsid w:val="00BF2173"/>
    <w:rsid w:val="00BF2202"/>
    <w:rsid w:val="00BF2764"/>
    <w:rsid w:val="00BF2C03"/>
    <w:rsid w:val="00BF2C92"/>
    <w:rsid w:val="00BF36B9"/>
    <w:rsid w:val="00BF39DA"/>
    <w:rsid w:val="00BF4387"/>
    <w:rsid w:val="00BF5171"/>
    <w:rsid w:val="00BF563E"/>
    <w:rsid w:val="00BF5999"/>
    <w:rsid w:val="00BF5B85"/>
    <w:rsid w:val="00BF5BD8"/>
    <w:rsid w:val="00BF5D39"/>
    <w:rsid w:val="00BF5E0E"/>
    <w:rsid w:val="00BF5F76"/>
    <w:rsid w:val="00BF649E"/>
    <w:rsid w:val="00BF64A8"/>
    <w:rsid w:val="00BF67A6"/>
    <w:rsid w:val="00BF6C68"/>
    <w:rsid w:val="00BF6C8A"/>
    <w:rsid w:val="00BF6CF0"/>
    <w:rsid w:val="00BF6EBC"/>
    <w:rsid w:val="00BF72E4"/>
    <w:rsid w:val="00BF7504"/>
    <w:rsid w:val="00C00512"/>
    <w:rsid w:val="00C00AF9"/>
    <w:rsid w:val="00C00BD9"/>
    <w:rsid w:val="00C01354"/>
    <w:rsid w:val="00C0148F"/>
    <w:rsid w:val="00C01B22"/>
    <w:rsid w:val="00C02585"/>
    <w:rsid w:val="00C02745"/>
    <w:rsid w:val="00C030EB"/>
    <w:rsid w:val="00C030FC"/>
    <w:rsid w:val="00C03413"/>
    <w:rsid w:val="00C035E9"/>
    <w:rsid w:val="00C036EC"/>
    <w:rsid w:val="00C03D61"/>
    <w:rsid w:val="00C03D7E"/>
    <w:rsid w:val="00C040C3"/>
    <w:rsid w:val="00C043E7"/>
    <w:rsid w:val="00C04B74"/>
    <w:rsid w:val="00C05018"/>
    <w:rsid w:val="00C05240"/>
    <w:rsid w:val="00C0565D"/>
    <w:rsid w:val="00C05A94"/>
    <w:rsid w:val="00C05DEF"/>
    <w:rsid w:val="00C05DF5"/>
    <w:rsid w:val="00C066DD"/>
    <w:rsid w:val="00C068D9"/>
    <w:rsid w:val="00C06C69"/>
    <w:rsid w:val="00C06D79"/>
    <w:rsid w:val="00C07EBF"/>
    <w:rsid w:val="00C1019B"/>
    <w:rsid w:val="00C101FB"/>
    <w:rsid w:val="00C10236"/>
    <w:rsid w:val="00C108A4"/>
    <w:rsid w:val="00C1099E"/>
    <w:rsid w:val="00C110C1"/>
    <w:rsid w:val="00C11292"/>
    <w:rsid w:val="00C1171E"/>
    <w:rsid w:val="00C127BE"/>
    <w:rsid w:val="00C12ACC"/>
    <w:rsid w:val="00C12D34"/>
    <w:rsid w:val="00C12DDB"/>
    <w:rsid w:val="00C12E29"/>
    <w:rsid w:val="00C1367A"/>
    <w:rsid w:val="00C14380"/>
    <w:rsid w:val="00C145DE"/>
    <w:rsid w:val="00C14713"/>
    <w:rsid w:val="00C1495F"/>
    <w:rsid w:val="00C14CD6"/>
    <w:rsid w:val="00C1586B"/>
    <w:rsid w:val="00C15A62"/>
    <w:rsid w:val="00C16060"/>
    <w:rsid w:val="00C162A3"/>
    <w:rsid w:val="00C16379"/>
    <w:rsid w:val="00C1640B"/>
    <w:rsid w:val="00C16473"/>
    <w:rsid w:val="00C16591"/>
    <w:rsid w:val="00C16CDD"/>
    <w:rsid w:val="00C17829"/>
    <w:rsid w:val="00C17B8B"/>
    <w:rsid w:val="00C17F0C"/>
    <w:rsid w:val="00C200E7"/>
    <w:rsid w:val="00C205C2"/>
    <w:rsid w:val="00C20658"/>
    <w:rsid w:val="00C20699"/>
    <w:rsid w:val="00C20927"/>
    <w:rsid w:val="00C211AA"/>
    <w:rsid w:val="00C21551"/>
    <w:rsid w:val="00C21CD0"/>
    <w:rsid w:val="00C21CFB"/>
    <w:rsid w:val="00C2218C"/>
    <w:rsid w:val="00C221CE"/>
    <w:rsid w:val="00C2269F"/>
    <w:rsid w:val="00C227E8"/>
    <w:rsid w:val="00C22D7B"/>
    <w:rsid w:val="00C22FDD"/>
    <w:rsid w:val="00C234C7"/>
    <w:rsid w:val="00C23524"/>
    <w:rsid w:val="00C235D5"/>
    <w:rsid w:val="00C2373D"/>
    <w:rsid w:val="00C23859"/>
    <w:rsid w:val="00C23910"/>
    <w:rsid w:val="00C23B8E"/>
    <w:rsid w:val="00C23CC3"/>
    <w:rsid w:val="00C242E5"/>
    <w:rsid w:val="00C24A52"/>
    <w:rsid w:val="00C24B16"/>
    <w:rsid w:val="00C24D60"/>
    <w:rsid w:val="00C24D75"/>
    <w:rsid w:val="00C250D2"/>
    <w:rsid w:val="00C25A36"/>
    <w:rsid w:val="00C25BAB"/>
    <w:rsid w:val="00C26627"/>
    <w:rsid w:val="00C26848"/>
    <w:rsid w:val="00C269F3"/>
    <w:rsid w:val="00C26A44"/>
    <w:rsid w:val="00C26BF8"/>
    <w:rsid w:val="00C276FB"/>
    <w:rsid w:val="00C278CC"/>
    <w:rsid w:val="00C279DE"/>
    <w:rsid w:val="00C27B97"/>
    <w:rsid w:val="00C27CF7"/>
    <w:rsid w:val="00C3013B"/>
    <w:rsid w:val="00C30B6F"/>
    <w:rsid w:val="00C30FE4"/>
    <w:rsid w:val="00C31251"/>
    <w:rsid w:val="00C3134D"/>
    <w:rsid w:val="00C31536"/>
    <w:rsid w:val="00C31631"/>
    <w:rsid w:val="00C32368"/>
    <w:rsid w:val="00C323A3"/>
    <w:rsid w:val="00C32473"/>
    <w:rsid w:val="00C32943"/>
    <w:rsid w:val="00C329A5"/>
    <w:rsid w:val="00C32CF9"/>
    <w:rsid w:val="00C32E0F"/>
    <w:rsid w:val="00C333FB"/>
    <w:rsid w:val="00C335F0"/>
    <w:rsid w:val="00C33DC5"/>
    <w:rsid w:val="00C34EA0"/>
    <w:rsid w:val="00C35163"/>
    <w:rsid w:val="00C3536D"/>
    <w:rsid w:val="00C356A5"/>
    <w:rsid w:val="00C359D5"/>
    <w:rsid w:val="00C35AF1"/>
    <w:rsid w:val="00C35CAC"/>
    <w:rsid w:val="00C35D51"/>
    <w:rsid w:val="00C35F6B"/>
    <w:rsid w:val="00C366FD"/>
    <w:rsid w:val="00C36789"/>
    <w:rsid w:val="00C367B5"/>
    <w:rsid w:val="00C367D0"/>
    <w:rsid w:val="00C36806"/>
    <w:rsid w:val="00C36A5D"/>
    <w:rsid w:val="00C36DA4"/>
    <w:rsid w:val="00C36E49"/>
    <w:rsid w:val="00C372A6"/>
    <w:rsid w:val="00C3750A"/>
    <w:rsid w:val="00C37CB3"/>
    <w:rsid w:val="00C37F9C"/>
    <w:rsid w:val="00C4004C"/>
    <w:rsid w:val="00C40320"/>
    <w:rsid w:val="00C405C2"/>
    <w:rsid w:val="00C4079B"/>
    <w:rsid w:val="00C4087B"/>
    <w:rsid w:val="00C4089D"/>
    <w:rsid w:val="00C408A9"/>
    <w:rsid w:val="00C409F4"/>
    <w:rsid w:val="00C40E56"/>
    <w:rsid w:val="00C41018"/>
    <w:rsid w:val="00C4121B"/>
    <w:rsid w:val="00C41422"/>
    <w:rsid w:val="00C416C6"/>
    <w:rsid w:val="00C4195C"/>
    <w:rsid w:val="00C41A1C"/>
    <w:rsid w:val="00C41EE1"/>
    <w:rsid w:val="00C42066"/>
    <w:rsid w:val="00C4286B"/>
    <w:rsid w:val="00C42B54"/>
    <w:rsid w:val="00C42CA2"/>
    <w:rsid w:val="00C42E8F"/>
    <w:rsid w:val="00C445EF"/>
    <w:rsid w:val="00C44A1D"/>
    <w:rsid w:val="00C44C42"/>
    <w:rsid w:val="00C44EB9"/>
    <w:rsid w:val="00C44F77"/>
    <w:rsid w:val="00C44FDC"/>
    <w:rsid w:val="00C450A8"/>
    <w:rsid w:val="00C4569B"/>
    <w:rsid w:val="00C459DB"/>
    <w:rsid w:val="00C45B65"/>
    <w:rsid w:val="00C45C0E"/>
    <w:rsid w:val="00C46167"/>
    <w:rsid w:val="00C46270"/>
    <w:rsid w:val="00C46688"/>
    <w:rsid w:val="00C46882"/>
    <w:rsid w:val="00C46BA9"/>
    <w:rsid w:val="00C46BBA"/>
    <w:rsid w:val="00C476F7"/>
    <w:rsid w:val="00C47A4E"/>
    <w:rsid w:val="00C47AC9"/>
    <w:rsid w:val="00C47BE4"/>
    <w:rsid w:val="00C47C93"/>
    <w:rsid w:val="00C47D88"/>
    <w:rsid w:val="00C47F2C"/>
    <w:rsid w:val="00C50FA0"/>
    <w:rsid w:val="00C5122B"/>
    <w:rsid w:val="00C512E7"/>
    <w:rsid w:val="00C51A12"/>
    <w:rsid w:val="00C51A4D"/>
    <w:rsid w:val="00C51C8A"/>
    <w:rsid w:val="00C52278"/>
    <w:rsid w:val="00C523D2"/>
    <w:rsid w:val="00C5279F"/>
    <w:rsid w:val="00C529EE"/>
    <w:rsid w:val="00C52A33"/>
    <w:rsid w:val="00C531CE"/>
    <w:rsid w:val="00C53352"/>
    <w:rsid w:val="00C53370"/>
    <w:rsid w:val="00C53916"/>
    <w:rsid w:val="00C539A7"/>
    <w:rsid w:val="00C53AC3"/>
    <w:rsid w:val="00C53C21"/>
    <w:rsid w:val="00C53D85"/>
    <w:rsid w:val="00C53F00"/>
    <w:rsid w:val="00C53F23"/>
    <w:rsid w:val="00C53F45"/>
    <w:rsid w:val="00C5401D"/>
    <w:rsid w:val="00C5416D"/>
    <w:rsid w:val="00C5448B"/>
    <w:rsid w:val="00C54518"/>
    <w:rsid w:val="00C5494E"/>
    <w:rsid w:val="00C54BBE"/>
    <w:rsid w:val="00C550B7"/>
    <w:rsid w:val="00C55230"/>
    <w:rsid w:val="00C5542E"/>
    <w:rsid w:val="00C55A5B"/>
    <w:rsid w:val="00C5616C"/>
    <w:rsid w:val="00C5632A"/>
    <w:rsid w:val="00C563B6"/>
    <w:rsid w:val="00C5685D"/>
    <w:rsid w:val="00C56E54"/>
    <w:rsid w:val="00C57303"/>
    <w:rsid w:val="00C5786D"/>
    <w:rsid w:val="00C57ACF"/>
    <w:rsid w:val="00C57B02"/>
    <w:rsid w:val="00C57EB2"/>
    <w:rsid w:val="00C6018B"/>
    <w:rsid w:val="00C601D0"/>
    <w:rsid w:val="00C601E1"/>
    <w:rsid w:val="00C60A34"/>
    <w:rsid w:val="00C60ED3"/>
    <w:rsid w:val="00C611BF"/>
    <w:rsid w:val="00C614AD"/>
    <w:rsid w:val="00C618B6"/>
    <w:rsid w:val="00C61943"/>
    <w:rsid w:val="00C61965"/>
    <w:rsid w:val="00C61BF5"/>
    <w:rsid w:val="00C62026"/>
    <w:rsid w:val="00C621E3"/>
    <w:rsid w:val="00C62525"/>
    <w:rsid w:val="00C62C4A"/>
    <w:rsid w:val="00C63289"/>
    <w:rsid w:val="00C63496"/>
    <w:rsid w:val="00C6368F"/>
    <w:rsid w:val="00C638CE"/>
    <w:rsid w:val="00C64CEB"/>
    <w:rsid w:val="00C64CF8"/>
    <w:rsid w:val="00C64E44"/>
    <w:rsid w:val="00C6599F"/>
    <w:rsid w:val="00C65BE2"/>
    <w:rsid w:val="00C65F50"/>
    <w:rsid w:val="00C66017"/>
    <w:rsid w:val="00C670DA"/>
    <w:rsid w:val="00C67995"/>
    <w:rsid w:val="00C701FD"/>
    <w:rsid w:val="00C702C4"/>
    <w:rsid w:val="00C704CD"/>
    <w:rsid w:val="00C71502"/>
    <w:rsid w:val="00C715B1"/>
    <w:rsid w:val="00C72A8C"/>
    <w:rsid w:val="00C72FBA"/>
    <w:rsid w:val="00C731D8"/>
    <w:rsid w:val="00C73761"/>
    <w:rsid w:val="00C73775"/>
    <w:rsid w:val="00C73B81"/>
    <w:rsid w:val="00C73DD1"/>
    <w:rsid w:val="00C74072"/>
    <w:rsid w:val="00C74324"/>
    <w:rsid w:val="00C74903"/>
    <w:rsid w:val="00C74D36"/>
    <w:rsid w:val="00C75497"/>
    <w:rsid w:val="00C76394"/>
    <w:rsid w:val="00C764EF"/>
    <w:rsid w:val="00C76847"/>
    <w:rsid w:val="00C76BF0"/>
    <w:rsid w:val="00C76CDE"/>
    <w:rsid w:val="00C77B0E"/>
    <w:rsid w:val="00C77E06"/>
    <w:rsid w:val="00C80AC0"/>
    <w:rsid w:val="00C80E69"/>
    <w:rsid w:val="00C81034"/>
    <w:rsid w:val="00C812AE"/>
    <w:rsid w:val="00C81419"/>
    <w:rsid w:val="00C81534"/>
    <w:rsid w:val="00C8169D"/>
    <w:rsid w:val="00C824BB"/>
    <w:rsid w:val="00C8286A"/>
    <w:rsid w:val="00C82B80"/>
    <w:rsid w:val="00C842B1"/>
    <w:rsid w:val="00C84DF4"/>
    <w:rsid w:val="00C85945"/>
    <w:rsid w:val="00C85C27"/>
    <w:rsid w:val="00C86AF9"/>
    <w:rsid w:val="00C86B96"/>
    <w:rsid w:val="00C86CC5"/>
    <w:rsid w:val="00C8781D"/>
    <w:rsid w:val="00C87A97"/>
    <w:rsid w:val="00C87ABA"/>
    <w:rsid w:val="00C87B88"/>
    <w:rsid w:val="00C87CB6"/>
    <w:rsid w:val="00C903A3"/>
    <w:rsid w:val="00C90B67"/>
    <w:rsid w:val="00C90BD9"/>
    <w:rsid w:val="00C90C72"/>
    <w:rsid w:val="00C90E1C"/>
    <w:rsid w:val="00C910B4"/>
    <w:rsid w:val="00C9165D"/>
    <w:rsid w:val="00C91866"/>
    <w:rsid w:val="00C91E10"/>
    <w:rsid w:val="00C91EB0"/>
    <w:rsid w:val="00C92A74"/>
    <w:rsid w:val="00C92C84"/>
    <w:rsid w:val="00C9347C"/>
    <w:rsid w:val="00C9384C"/>
    <w:rsid w:val="00C938EC"/>
    <w:rsid w:val="00C93CD3"/>
    <w:rsid w:val="00C94921"/>
    <w:rsid w:val="00C94DC4"/>
    <w:rsid w:val="00C95350"/>
    <w:rsid w:val="00C95A4F"/>
    <w:rsid w:val="00C95C3C"/>
    <w:rsid w:val="00C95CA8"/>
    <w:rsid w:val="00C95D12"/>
    <w:rsid w:val="00C95F8A"/>
    <w:rsid w:val="00C95FB3"/>
    <w:rsid w:val="00C960CC"/>
    <w:rsid w:val="00C963B7"/>
    <w:rsid w:val="00C969C1"/>
    <w:rsid w:val="00C96CF1"/>
    <w:rsid w:val="00C96EC1"/>
    <w:rsid w:val="00C974FD"/>
    <w:rsid w:val="00C976F4"/>
    <w:rsid w:val="00C97770"/>
    <w:rsid w:val="00C97773"/>
    <w:rsid w:val="00C9789A"/>
    <w:rsid w:val="00C97F12"/>
    <w:rsid w:val="00CA039C"/>
    <w:rsid w:val="00CA0927"/>
    <w:rsid w:val="00CA0985"/>
    <w:rsid w:val="00CA13E9"/>
    <w:rsid w:val="00CA1BEA"/>
    <w:rsid w:val="00CA1CE7"/>
    <w:rsid w:val="00CA1FC5"/>
    <w:rsid w:val="00CA2692"/>
    <w:rsid w:val="00CA2694"/>
    <w:rsid w:val="00CA2E65"/>
    <w:rsid w:val="00CA3016"/>
    <w:rsid w:val="00CA303B"/>
    <w:rsid w:val="00CA334F"/>
    <w:rsid w:val="00CA39DB"/>
    <w:rsid w:val="00CA432A"/>
    <w:rsid w:val="00CA4556"/>
    <w:rsid w:val="00CA45E5"/>
    <w:rsid w:val="00CA4931"/>
    <w:rsid w:val="00CA4B4D"/>
    <w:rsid w:val="00CA4F05"/>
    <w:rsid w:val="00CA56CF"/>
    <w:rsid w:val="00CA60D1"/>
    <w:rsid w:val="00CA62DD"/>
    <w:rsid w:val="00CA638C"/>
    <w:rsid w:val="00CA642D"/>
    <w:rsid w:val="00CA672A"/>
    <w:rsid w:val="00CA6AED"/>
    <w:rsid w:val="00CA6CBE"/>
    <w:rsid w:val="00CA70BC"/>
    <w:rsid w:val="00CA717A"/>
    <w:rsid w:val="00CA7210"/>
    <w:rsid w:val="00CA7CD6"/>
    <w:rsid w:val="00CB0176"/>
    <w:rsid w:val="00CB0743"/>
    <w:rsid w:val="00CB0FC8"/>
    <w:rsid w:val="00CB1110"/>
    <w:rsid w:val="00CB1437"/>
    <w:rsid w:val="00CB157F"/>
    <w:rsid w:val="00CB17DD"/>
    <w:rsid w:val="00CB18CB"/>
    <w:rsid w:val="00CB1A55"/>
    <w:rsid w:val="00CB1A7A"/>
    <w:rsid w:val="00CB1E34"/>
    <w:rsid w:val="00CB27C5"/>
    <w:rsid w:val="00CB2B12"/>
    <w:rsid w:val="00CB2D5C"/>
    <w:rsid w:val="00CB34B4"/>
    <w:rsid w:val="00CB3677"/>
    <w:rsid w:val="00CB402F"/>
    <w:rsid w:val="00CB440F"/>
    <w:rsid w:val="00CB4484"/>
    <w:rsid w:val="00CB44B2"/>
    <w:rsid w:val="00CB44DF"/>
    <w:rsid w:val="00CB48A4"/>
    <w:rsid w:val="00CB51C5"/>
    <w:rsid w:val="00CB54CC"/>
    <w:rsid w:val="00CB5AAB"/>
    <w:rsid w:val="00CB5AB3"/>
    <w:rsid w:val="00CB5E04"/>
    <w:rsid w:val="00CB5ECB"/>
    <w:rsid w:val="00CB5FDD"/>
    <w:rsid w:val="00CB62B4"/>
    <w:rsid w:val="00CB6402"/>
    <w:rsid w:val="00CB6488"/>
    <w:rsid w:val="00CB664D"/>
    <w:rsid w:val="00CB6673"/>
    <w:rsid w:val="00CB6AC9"/>
    <w:rsid w:val="00CB6C4F"/>
    <w:rsid w:val="00CB6C5B"/>
    <w:rsid w:val="00CB6EDE"/>
    <w:rsid w:val="00CB76A8"/>
    <w:rsid w:val="00CB7FDF"/>
    <w:rsid w:val="00CC079A"/>
    <w:rsid w:val="00CC0ED6"/>
    <w:rsid w:val="00CC129D"/>
    <w:rsid w:val="00CC12B3"/>
    <w:rsid w:val="00CC148A"/>
    <w:rsid w:val="00CC1902"/>
    <w:rsid w:val="00CC1BD6"/>
    <w:rsid w:val="00CC1EA0"/>
    <w:rsid w:val="00CC21E6"/>
    <w:rsid w:val="00CC22D9"/>
    <w:rsid w:val="00CC2359"/>
    <w:rsid w:val="00CC261D"/>
    <w:rsid w:val="00CC2B12"/>
    <w:rsid w:val="00CC2EEA"/>
    <w:rsid w:val="00CC3159"/>
    <w:rsid w:val="00CC3A0A"/>
    <w:rsid w:val="00CC3EAD"/>
    <w:rsid w:val="00CC45BF"/>
    <w:rsid w:val="00CC48B2"/>
    <w:rsid w:val="00CC49B2"/>
    <w:rsid w:val="00CC49FB"/>
    <w:rsid w:val="00CC4C9D"/>
    <w:rsid w:val="00CC4D11"/>
    <w:rsid w:val="00CC53BB"/>
    <w:rsid w:val="00CC557F"/>
    <w:rsid w:val="00CC56B0"/>
    <w:rsid w:val="00CC592E"/>
    <w:rsid w:val="00CC60E4"/>
    <w:rsid w:val="00CC6533"/>
    <w:rsid w:val="00CC66FA"/>
    <w:rsid w:val="00CC6C19"/>
    <w:rsid w:val="00CC6D61"/>
    <w:rsid w:val="00CC7192"/>
    <w:rsid w:val="00CC73E6"/>
    <w:rsid w:val="00CC7592"/>
    <w:rsid w:val="00CC7B74"/>
    <w:rsid w:val="00CD0138"/>
    <w:rsid w:val="00CD06AE"/>
    <w:rsid w:val="00CD1389"/>
    <w:rsid w:val="00CD1932"/>
    <w:rsid w:val="00CD1934"/>
    <w:rsid w:val="00CD1B76"/>
    <w:rsid w:val="00CD20DE"/>
    <w:rsid w:val="00CD29E6"/>
    <w:rsid w:val="00CD2DB3"/>
    <w:rsid w:val="00CD3009"/>
    <w:rsid w:val="00CD3518"/>
    <w:rsid w:val="00CD3D1B"/>
    <w:rsid w:val="00CD3D79"/>
    <w:rsid w:val="00CD4333"/>
    <w:rsid w:val="00CD4682"/>
    <w:rsid w:val="00CD46BB"/>
    <w:rsid w:val="00CD4BA6"/>
    <w:rsid w:val="00CD4BB6"/>
    <w:rsid w:val="00CD4D9D"/>
    <w:rsid w:val="00CD5A08"/>
    <w:rsid w:val="00CD5A2E"/>
    <w:rsid w:val="00CD5A60"/>
    <w:rsid w:val="00CD5B0D"/>
    <w:rsid w:val="00CD5D74"/>
    <w:rsid w:val="00CD6019"/>
    <w:rsid w:val="00CD60E8"/>
    <w:rsid w:val="00CD6773"/>
    <w:rsid w:val="00CD6F8D"/>
    <w:rsid w:val="00CD7765"/>
    <w:rsid w:val="00CD7B81"/>
    <w:rsid w:val="00CE0490"/>
    <w:rsid w:val="00CE0C1C"/>
    <w:rsid w:val="00CE142F"/>
    <w:rsid w:val="00CE1912"/>
    <w:rsid w:val="00CE1C5F"/>
    <w:rsid w:val="00CE2108"/>
    <w:rsid w:val="00CE2702"/>
    <w:rsid w:val="00CE277D"/>
    <w:rsid w:val="00CE2C8F"/>
    <w:rsid w:val="00CE2D02"/>
    <w:rsid w:val="00CE2E84"/>
    <w:rsid w:val="00CE2F92"/>
    <w:rsid w:val="00CE3433"/>
    <w:rsid w:val="00CE3495"/>
    <w:rsid w:val="00CE351F"/>
    <w:rsid w:val="00CE4B1D"/>
    <w:rsid w:val="00CE4ED6"/>
    <w:rsid w:val="00CE51A6"/>
    <w:rsid w:val="00CE5224"/>
    <w:rsid w:val="00CE53FB"/>
    <w:rsid w:val="00CE56AA"/>
    <w:rsid w:val="00CE5730"/>
    <w:rsid w:val="00CE59C2"/>
    <w:rsid w:val="00CE61E4"/>
    <w:rsid w:val="00CE6C66"/>
    <w:rsid w:val="00CE6DE7"/>
    <w:rsid w:val="00CE7552"/>
    <w:rsid w:val="00CE75BE"/>
    <w:rsid w:val="00CE7AE6"/>
    <w:rsid w:val="00CE7FD5"/>
    <w:rsid w:val="00CF0159"/>
    <w:rsid w:val="00CF0181"/>
    <w:rsid w:val="00CF0951"/>
    <w:rsid w:val="00CF0B13"/>
    <w:rsid w:val="00CF1B9B"/>
    <w:rsid w:val="00CF2B72"/>
    <w:rsid w:val="00CF2D49"/>
    <w:rsid w:val="00CF2DC5"/>
    <w:rsid w:val="00CF2F0E"/>
    <w:rsid w:val="00CF3468"/>
    <w:rsid w:val="00CF3995"/>
    <w:rsid w:val="00CF3B0A"/>
    <w:rsid w:val="00CF3B2B"/>
    <w:rsid w:val="00CF3C5E"/>
    <w:rsid w:val="00CF40C7"/>
    <w:rsid w:val="00CF4313"/>
    <w:rsid w:val="00CF4332"/>
    <w:rsid w:val="00CF444F"/>
    <w:rsid w:val="00CF4872"/>
    <w:rsid w:val="00CF4883"/>
    <w:rsid w:val="00CF4D85"/>
    <w:rsid w:val="00CF57CB"/>
    <w:rsid w:val="00CF5B35"/>
    <w:rsid w:val="00CF5CB5"/>
    <w:rsid w:val="00CF5D79"/>
    <w:rsid w:val="00CF608B"/>
    <w:rsid w:val="00CF6374"/>
    <w:rsid w:val="00CF6548"/>
    <w:rsid w:val="00CF669C"/>
    <w:rsid w:val="00CF68CF"/>
    <w:rsid w:val="00CF6D09"/>
    <w:rsid w:val="00CF7006"/>
    <w:rsid w:val="00CF7052"/>
    <w:rsid w:val="00CF7548"/>
    <w:rsid w:val="00CF7579"/>
    <w:rsid w:val="00CF763C"/>
    <w:rsid w:val="00CF78B5"/>
    <w:rsid w:val="00CF791E"/>
    <w:rsid w:val="00CF79B6"/>
    <w:rsid w:val="00D00827"/>
    <w:rsid w:val="00D0098C"/>
    <w:rsid w:val="00D00EA6"/>
    <w:rsid w:val="00D02565"/>
    <w:rsid w:val="00D02754"/>
    <w:rsid w:val="00D02ED1"/>
    <w:rsid w:val="00D02FB1"/>
    <w:rsid w:val="00D03456"/>
    <w:rsid w:val="00D03508"/>
    <w:rsid w:val="00D03C44"/>
    <w:rsid w:val="00D03DC5"/>
    <w:rsid w:val="00D0426F"/>
    <w:rsid w:val="00D04396"/>
    <w:rsid w:val="00D0460F"/>
    <w:rsid w:val="00D047D1"/>
    <w:rsid w:val="00D048A2"/>
    <w:rsid w:val="00D04A42"/>
    <w:rsid w:val="00D04F1F"/>
    <w:rsid w:val="00D058B3"/>
    <w:rsid w:val="00D058F8"/>
    <w:rsid w:val="00D05942"/>
    <w:rsid w:val="00D05B6F"/>
    <w:rsid w:val="00D06105"/>
    <w:rsid w:val="00D06181"/>
    <w:rsid w:val="00D0627D"/>
    <w:rsid w:val="00D065B0"/>
    <w:rsid w:val="00D06681"/>
    <w:rsid w:val="00D06A89"/>
    <w:rsid w:val="00D06B7C"/>
    <w:rsid w:val="00D06C50"/>
    <w:rsid w:val="00D06C89"/>
    <w:rsid w:val="00D0731F"/>
    <w:rsid w:val="00D07345"/>
    <w:rsid w:val="00D074D5"/>
    <w:rsid w:val="00D07AD3"/>
    <w:rsid w:val="00D100C7"/>
    <w:rsid w:val="00D100E6"/>
    <w:rsid w:val="00D1044D"/>
    <w:rsid w:val="00D10707"/>
    <w:rsid w:val="00D108DC"/>
    <w:rsid w:val="00D10E2E"/>
    <w:rsid w:val="00D11042"/>
    <w:rsid w:val="00D112A4"/>
    <w:rsid w:val="00D11374"/>
    <w:rsid w:val="00D1144B"/>
    <w:rsid w:val="00D1182F"/>
    <w:rsid w:val="00D11AD3"/>
    <w:rsid w:val="00D12051"/>
    <w:rsid w:val="00D1260D"/>
    <w:rsid w:val="00D12DDF"/>
    <w:rsid w:val="00D12E0C"/>
    <w:rsid w:val="00D132CB"/>
    <w:rsid w:val="00D137B1"/>
    <w:rsid w:val="00D13A4B"/>
    <w:rsid w:val="00D13CE1"/>
    <w:rsid w:val="00D13FEB"/>
    <w:rsid w:val="00D143BA"/>
    <w:rsid w:val="00D144C4"/>
    <w:rsid w:val="00D145AE"/>
    <w:rsid w:val="00D14952"/>
    <w:rsid w:val="00D14989"/>
    <w:rsid w:val="00D14C31"/>
    <w:rsid w:val="00D15142"/>
    <w:rsid w:val="00D15668"/>
    <w:rsid w:val="00D15A89"/>
    <w:rsid w:val="00D15B29"/>
    <w:rsid w:val="00D15BDA"/>
    <w:rsid w:val="00D16882"/>
    <w:rsid w:val="00D16E14"/>
    <w:rsid w:val="00D176AA"/>
    <w:rsid w:val="00D17B7B"/>
    <w:rsid w:val="00D2019C"/>
    <w:rsid w:val="00D21812"/>
    <w:rsid w:val="00D21D90"/>
    <w:rsid w:val="00D220BB"/>
    <w:rsid w:val="00D221F4"/>
    <w:rsid w:val="00D222E2"/>
    <w:rsid w:val="00D224A5"/>
    <w:rsid w:val="00D2259F"/>
    <w:rsid w:val="00D22820"/>
    <w:rsid w:val="00D229C5"/>
    <w:rsid w:val="00D235E1"/>
    <w:rsid w:val="00D23962"/>
    <w:rsid w:val="00D23C65"/>
    <w:rsid w:val="00D2418D"/>
    <w:rsid w:val="00D241A3"/>
    <w:rsid w:val="00D24307"/>
    <w:rsid w:val="00D2482A"/>
    <w:rsid w:val="00D248B2"/>
    <w:rsid w:val="00D24BC8"/>
    <w:rsid w:val="00D24E9F"/>
    <w:rsid w:val="00D2565B"/>
    <w:rsid w:val="00D25A7B"/>
    <w:rsid w:val="00D25F65"/>
    <w:rsid w:val="00D26345"/>
    <w:rsid w:val="00D26C0C"/>
    <w:rsid w:val="00D27051"/>
    <w:rsid w:val="00D27299"/>
    <w:rsid w:val="00D27304"/>
    <w:rsid w:val="00D277CB"/>
    <w:rsid w:val="00D2785D"/>
    <w:rsid w:val="00D27C01"/>
    <w:rsid w:val="00D300F0"/>
    <w:rsid w:val="00D3017C"/>
    <w:rsid w:val="00D30311"/>
    <w:rsid w:val="00D30CD9"/>
    <w:rsid w:val="00D30D69"/>
    <w:rsid w:val="00D30E71"/>
    <w:rsid w:val="00D310E7"/>
    <w:rsid w:val="00D31897"/>
    <w:rsid w:val="00D31A2F"/>
    <w:rsid w:val="00D31B76"/>
    <w:rsid w:val="00D31EEB"/>
    <w:rsid w:val="00D32110"/>
    <w:rsid w:val="00D32303"/>
    <w:rsid w:val="00D32579"/>
    <w:rsid w:val="00D327D2"/>
    <w:rsid w:val="00D32EE1"/>
    <w:rsid w:val="00D33613"/>
    <w:rsid w:val="00D340C5"/>
    <w:rsid w:val="00D342AA"/>
    <w:rsid w:val="00D34496"/>
    <w:rsid w:val="00D34671"/>
    <w:rsid w:val="00D34D7C"/>
    <w:rsid w:val="00D34EAD"/>
    <w:rsid w:val="00D35436"/>
    <w:rsid w:val="00D359A8"/>
    <w:rsid w:val="00D35E09"/>
    <w:rsid w:val="00D35F4B"/>
    <w:rsid w:val="00D361F7"/>
    <w:rsid w:val="00D36256"/>
    <w:rsid w:val="00D36794"/>
    <w:rsid w:val="00D36BBC"/>
    <w:rsid w:val="00D36EF1"/>
    <w:rsid w:val="00D37078"/>
    <w:rsid w:val="00D3740F"/>
    <w:rsid w:val="00D375FA"/>
    <w:rsid w:val="00D37D40"/>
    <w:rsid w:val="00D37F73"/>
    <w:rsid w:val="00D4117C"/>
    <w:rsid w:val="00D4122A"/>
    <w:rsid w:val="00D4127C"/>
    <w:rsid w:val="00D412FA"/>
    <w:rsid w:val="00D41524"/>
    <w:rsid w:val="00D415B2"/>
    <w:rsid w:val="00D41936"/>
    <w:rsid w:val="00D41C5F"/>
    <w:rsid w:val="00D41DD4"/>
    <w:rsid w:val="00D420A2"/>
    <w:rsid w:val="00D422B3"/>
    <w:rsid w:val="00D42368"/>
    <w:rsid w:val="00D425E1"/>
    <w:rsid w:val="00D42776"/>
    <w:rsid w:val="00D429FF"/>
    <w:rsid w:val="00D43044"/>
    <w:rsid w:val="00D432C3"/>
    <w:rsid w:val="00D432D0"/>
    <w:rsid w:val="00D432E0"/>
    <w:rsid w:val="00D43ACE"/>
    <w:rsid w:val="00D44624"/>
    <w:rsid w:val="00D44A34"/>
    <w:rsid w:val="00D44AD7"/>
    <w:rsid w:val="00D45010"/>
    <w:rsid w:val="00D45A7D"/>
    <w:rsid w:val="00D460FD"/>
    <w:rsid w:val="00D46155"/>
    <w:rsid w:val="00D46C66"/>
    <w:rsid w:val="00D46CC3"/>
    <w:rsid w:val="00D46D16"/>
    <w:rsid w:val="00D4769E"/>
    <w:rsid w:val="00D47773"/>
    <w:rsid w:val="00D477EA"/>
    <w:rsid w:val="00D47B4A"/>
    <w:rsid w:val="00D47D44"/>
    <w:rsid w:val="00D500A0"/>
    <w:rsid w:val="00D505D5"/>
    <w:rsid w:val="00D5064C"/>
    <w:rsid w:val="00D50916"/>
    <w:rsid w:val="00D509E9"/>
    <w:rsid w:val="00D50B0D"/>
    <w:rsid w:val="00D50BD9"/>
    <w:rsid w:val="00D51771"/>
    <w:rsid w:val="00D51804"/>
    <w:rsid w:val="00D51CDC"/>
    <w:rsid w:val="00D521FC"/>
    <w:rsid w:val="00D522A8"/>
    <w:rsid w:val="00D52BA6"/>
    <w:rsid w:val="00D52CC4"/>
    <w:rsid w:val="00D52E7A"/>
    <w:rsid w:val="00D52FEE"/>
    <w:rsid w:val="00D536FB"/>
    <w:rsid w:val="00D5384F"/>
    <w:rsid w:val="00D53957"/>
    <w:rsid w:val="00D53AE1"/>
    <w:rsid w:val="00D53AFE"/>
    <w:rsid w:val="00D54066"/>
    <w:rsid w:val="00D543A8"/>
    <w:rsid w:val="00D545C6"/>
    <w:rsid w:val="00D5482A"/>
    <w:rsid w:val="00D54B99"/>
    <w:rsid w:val="00D54D6D"/>
    <w:rsid w:val="00D54DDB"/>
    <w:rsid w:val="00D55605"/>
    <w:rsid w:val="00D56389"/>
    <w:rsid w:val="00D56651"/>
    <w:rsid w:val="00D56A9D"/>
    <w:rsid w:val="00D56FDA"/>
    <w:rsid w:val="00D572AF"/>
    <w:rsid w:val="00D57522"/>
    <w:rsid w:val="00D577D2"/>
    <w:rsid w:val="00D57E2C"/>
    <w:rsid w:val="00D6006A"/>
    <w:rsid w:val="00D605BC"/>
    <w:rsid w:val="00D60910"/>
    <w:rsid w:val="00D60AA4"/>
    <w:rsid w:val="00D60C64"/>
    <w:rsid w:val="00D60F77"/>
    <w:rsid w:val="00D6108D"/>
    <w:rsid w:val="00D612F5"/>
    <w:rsid w:val="00D6177A"/>
    <w:rsid w:val="00D61B8A"/>
    <w:rsid w:val="00D61D97"/>
    <w:rsid w:val="00D62D18"/>
    <w:rsid w:val="00D62D64"/>
    <w:rsid w:val="00D62DDF"/>
    <w:rsid w:val="00D63797"/>
    <w:rsid w:val="00D63E87"/>
    <w:rsid w:val="00D6412D"/>
    <w:rsid w:val="00D643C0"/>
    <w:rsid w:val="00D64B79"/>
    <w:rsid w:val="00D64C16"/>
    <w:rsid w:val="00D653EE"/>
    <w:rsid w:val="00D655CD"/>
    <w:rsid w:val="00D657CD"/>
    <w:rsid w:val="00D65B91"/>
    <w:rsid w:val="00D65F2A"/>
    <w:rsid w:val="00D664E3"/>
    <w:rsid w:val="00D67161"/>
    <w:rsid w:val="00D6789C"/>
    <w:rsid w:val="00D67C4C"/>
    <w:rsid w:val="00D67EA9"/>
    <w:rsid w:val="00D70097"/>
    <w:rsid w:val="00D70246"/>
    <w:rsid w:val="00D70693"/>
    <w:rsid w:val="00D71479"/>
    <w:rsid w:val="00D71D7D"/>
    <w:rsid w:val="00D7241E"/>
    <w:rsid w:val="00D72452"/>
    <w:rsid w:val="00D72453"/>
    <w:rsid w:val="00D726EC"/>
    <w:rsid w:val="00D72F9C"/>
    <w:rsid w:val="00D72FF8"/>
    <w:rsid w:val="00D730D9"/>
    <w:rsid w:val="00D73358"/>
    <w:rsid w:val="00D73894"/>
    <w:rsid w:val="00D73965"/>
    <w:rsid w:val="00D73B13"/>
    <w:rsid w:val="00D73D61"/>
    <w:rsid w:val="00D7406A"/>
    <w:rsid w:val="00D744D7"/>
    <w:rsid w:val="00D749D8"/>
    <w:rsid w:val="00D74CC4"/>
    <w:rsid w:val="00D74D3F"/>
    <w:rsid w:val="00D75192"/>
    <w:rsid w:val="00D75294"/>
    <w:rsid w:val="00D7560C"/>
    <w:rsid w:val="00D759E4"/>
    <w:rsid w:val="00D75E62"/>
    <w:rsid w:val="00D75E95"/>
    <w:rsid w:val="00D768B5"/>
    <w:rsid w:val="00D76F4C"/>
    <w:rsid w:val="00D77064"/>
    <w:rsid w:val="00D77AF1"/>
    <w:rsid w:val="00D77B07"/>
    <w:rsid w:val="00D800D3"/>
    <w:rsid w:val="00D80112"/>
    <w:rsid w:val="00D801CA"/>
    <w:rsid w:val="00D8020D"/>
    <w:rsid w:val="00D8031C"/>
    <w:rsid w:val="00D804C1"/>
    <w:rsid w:val="00D80687"/>
    <w:rsid w:val="00D8084A"/>
    <w:rsid w:val="00D80CAA"/>
    <w:rsid w:val="00D815C3"/>
    <w:rsid w:val="00D815CB"/>
    <w:rsid w:val="00D8175E"/>
    <w:rsid w:val="00D81B90"/>
    <w:rsid w:val="00D81C2F"/>
    <w:rsid w:val="00D81CA3"/>
    <w:rsid w:val="00D81EC4"/>
    <w:rsid w:val="00D821DC"/>
    <w:rsid w:val="00D82206"/>
    <w:rsid w:val="00D828C4"/>
    <w:rsid w:val="00D82E8A"/>
    <w:rsid w:val="00D830A5"/>
    <w:rsid w:val="00D8330A"/>
    <w:rsid w:val="00D83323"/>
    <w:rsid w:val="00D83652"/>
    <w:rsid w:val="00D83672"/>
    <w:rsid w:val="00D84CCC"/>
    <w:rsid w:val="00D84DE2"/>
    <w:rsid w:val="00D85C9E"/>
    <w:rsid w:val="00D86101"/>
    <w:rsid w:val="00D8657C"/>
    <w:rsid w:val="00D865D4"/>
    <w:rsid w:val="00D8660F"/>
    <w:rsid w:val="00D869CC"/>
    <w:rsid w:val="00D869EE"/>
    <w:rsid w:val="00D86BDF"/>
    <w:rsid w:val="00D872CD"/>
    <w:rsid w:val="00D87300"/>
    <w:rsid w:val="00D8736A"/>
    <w:rsid w:val="00D8741B"/>
    <w:rsid w:val="00D874DC"/>
    <w:rsid w:val="00D875C5"/>
    <w:rsid w:val="00D8768F"/>
    <w:rsid w:val="00D87885"/>
    <w:rsid w:val="00D87A7C"/>
    <w:rsid w:val="00D87EB7"/>
    <w:rsid w:val="00D87F60"/>
    <w:rsid w:val="00D909B3"/>
    <w:rsid w:val="00D90ACD"/>
    <w:rsid w:val="00D90CCE"/>
    <w:rsid w:val="00D91A56"/>
    <w:rsid w:val="00D91E1B"/>
    <w:rsid w:val="00D922E8"/>
    <w:rsid w:val="00D93DDE"/>
    <w:rsid w:val="00D943B5"/>
    <w:rsid w:val="00D94478"/>
    <w:rsid w:val="00D94575"/>
    <w:rsid w:val="00D945DF"/>
    <w:rsid w:val="00D9470F"/>
    <w:rsid w:val="00D94B16"/>
    <w:rsid w:val="00D94ED2"/>
    <w:rsid w:val="00D95E27"/>
    <w:rsid w:val="00D9695B"/>
    <w:rsid w:val="00D96E2E"/>
    <w:rsid w:val="00D97204"/>
    <w:rsid w:val="00D97341"/>
    <w:rsid w:val="00D973E6"/>
    <w:rsid w:val="00D97AE9"/>
    <w:rsid w:val="00D97B72"/>
    <w:rsid w:val="00DA0AAA"/>
    <w:rsid w:val="00DA0E8F"/>
    <w:rsid w:val="00DA0F92"/>
    <w:rsid w:val="00DA126E"/>
    <w:rsid w:val="00DA1543"/>
    <w:rsid w:val="00DA1A05"/>
    <w:rsid w:val="00DA2130"/>
    <w:rsid w:val="00DA22E3"/>
    <w:rsid w:val="00DA2383"/>
    <w:rsid w:val="00DA249B"/>
    <w:rsid w:val="00DA27D6"/>
    <w:rsid w:val="00DA27ED"/>
    <w:rsid w:val="00DA3338"/>
    <w:rsid w:val="00DA3809"/>
    <w:rsid w:val="00DA397C"/>
    <w:rsid w:val="00DA3C9B"/>
    <w:rsid w:val="00DA3E9F"/>
    <w:rsid w:val="00DA3EC2"/>
    <w:rsid w:val="00DA41F6"/>
    <w:rsid w:val="00DA44E0"/>
    <w:rsid w:val="00DA4539"/>
    <w:rsid w:val="00DA4650"/>
    <w:rsid w:val="00DA4BAA"/>
    <w:rsid w:val="00DA4CFF"/>
    <w:rsid w:val="00DA5242"/>
    <w:rsid w:val="00DA54E7"/>
    <w:rsid w:val="00DA562C"/>
    <w:rsid w:val="00DA58EC"/>
    <w:rsid w:val="00DA5BB2"/>
    <w:rsid w:val="00DA5C60"/>
    <w:rsid w:val="00DA63ED"/>
    <w:rsid w:val="00DA6D2C"/>
    <w:rsid w:val="00DA6F0C"/>
    <w:rsid w:val="00DA7222"/>
    <w:rsid w:val="00DA74D0"/>
    <w:rsid w:val="00DA7929"/>
    <w:rsid w:val="00DB0096"/>
    <w:rsid w:val="00DB019C"/>
    <w:rsid w:val="00DB0415"/>
    <w:rsid w:val="00DB084D"/>
    <w:rsid w:val="00DB0C0A"/>
    <w:rsid w:val="00DB0DA6"/>
    <w:rsid w:val="00DB1292"/>
    <w:rsid w:val="00DB1AEB"/>
    <w:rsid w:val="00DB1FC8"/>
    <w:rsid w:val="00DB22AD"/>
    <w:rsid w:val="00DB24DA"/>
    <w:rsid w:val="00DB293E"/>
    <w:rsid w:val="00DB29FC"/>
    <w:rsid w:val="00DB2A7B"/>
    <w:rsid w:val="00DB2C94"/>
    <w:rsid w:val="00DB2D24"/>
    <w:rsid w:val="00DB2F9B"/>
    <w:rsid w:val="00DB35B6"/>
    <w:rsid w:val="00DB37F1"/>
    <w:rsid w:val="00DB3892"/>
    <w:rsid w:val="00DB3B47"/>
    <w:rsid w:val="00DB3DFC"/>
    <w:rsid w:val="00DB469B"/>
    <w:rsid w:val="00DB46EE"/>
    <w:rsid w:val="00DB473A"/>
    <w:rsid w:val="00DB47B4"/>
    <w:rsid w:val="00DB4874"/>
    <w:rsid w:val="00DB4AC9"/>
    <w:rsid w:val="00DB4C35"/>
    <w:rsid w:val="00DB5390"/>
    <w:rsid w:val="00DB58C0"/>
    <w:rsid w:val="00DB5930"/>
    <w:rsid w:val="00DB64F5"/>
    <w:rsid w:val="00DB652B"/>
    <w:rsid w:val="00DB6814"/>
    <w:rsid w:val="00DB6D99"/>
    <w:rsid w:val="00DB741F"/>
    <w:rsid w:val="00DB7536"/>
    <w:rsid w:val="00DB7A24"/>
    <w:rsid w:val="00DB7BAC"/>
    <w:rsid w:val="00DC0114"/>
    <w:rsid w:val="00DC0373"/>
    <w:rsid w:val="00DC0C42"/>
    <w:rsid w:val="00DC0E01"/>
    <w:rsid w:val="00DC0F15"/>
    <w:rsid w:val="00DC0F17"/>
    <w:rsid w:val="00DC0F2C"/>
    <w:rsid w:val="00DC1665"/>
    <w:rsid w:val="00DC19D1"/>
    <w:rsid w:val="00DC1C87"/>
    <w:rsid w:val="00DC2070"/>
    <w:rsid w:val="00DC2191"/>
    <w:rsid w:val="00DC2E18"/>
    <w:rsid w:val="00DC2E58"/>
    <w:rsid w:val="00DC2EC9"/>
    <w:rsid w:val="00DC2F07"/>
    <w:rsid w:val="00DC3455"/>
    <w:rsid w:val="00DC3AC8"/>
    <w:rsid w:val="00DC3D77"/>
    <w:rsid w:val="00DC3EE3"/>
    <w:rsid w:val="00DC4348"/>
    <w:rsid w:val="00DC4397"/>
    <w:rsid w:val="00DC43BF"/>
    <w:rsid w:val="00DC4503"/>
    <w:rsid w:val="00DC4675"/>
    <w:rsid w:val="00DC51B7"/>
    <w:rsid w:val="00DC5868"/>
    <w:rsid w:val="00DC5BE0"/>
    <w:rsid w:val="00DC5CFF"/>
    <w:rsid w:val="00DC6154"/>
    <w:rsid w:val="00DC6970"/>
    <w:rsid w:val="00DC6B49"/>
    <w:rsid w:val="00DC6CE0"/>
    <w:rsid w:val="00DC746E"/>
    <w:rsid w:val="00DC755B"/>
    <w:rsid w:val="00DC7603"/>
    <w:rsid w:val="00DC78DF"/>
    <w:rsid w:val="00DC7EBA"/>
    <w:rsid w:val="00DD019D"/>
    <w:rsid w:val="00DD0245"/>
    <w:rsid w:val="00DD0404"/>
    <w:rsid w:val="00DD0A47"/>
    <w:rsid w:val="00DD0F24"/>
    <w:rsid w:val="00DD125D"/>
    <w:rsid w:val="00DD129A"/>
    <w:rsid w:val="00DD19EE"/>
    <w:rsid w:val="00DD1BE2"/>
    <w:rsid w:val="00DD295B"/>
    <w:rsid w:val="00DD390E"/>
    <w:rsid w:val="00DD3C30"/>
    <w:rsid w:val="00DD3DC4"/>
    <w:rsid w:val="00DD4222"/>
    <w:rsid w:val="00DD429F"/>
    <w:rsid w:val="00DD46A7"/>
    <w:rsid w:val="00DD4779"/>
    <w:rsid w:val="00DD4980"/>
    <w:rsid w:val="00DD4FF6"/>
    <w:rsid w:val="00DD5657"/>
    <w:rsid w:val="00DD570F"/>
    <w:rsid w:val="00DD58C3"/>
    <w:rsid w:val="00DD58D6"/>
    <w:rsid w:val="00DD5C14"/>
    <w:rsid w:val="00DD5CE3"/>
    <w:rsid w:val="00DD60DC"/>
    <w:rsid w:val="00DD67A6"/>
    <w:rsid w:val="00DD695C"/>
    <w:rsid w:val="00DD6D71"/>
    <w:rsid w:val="00DD6E1E"/>
    <w:rsid w:val="00DD7278"/>
    <w:rsid w:val="00DD7676"/>
    <w:rsid w:val="00DD7B0C"/>
    <w:rsid w:val="00DD7B54"/>
    <w:rsid w:val="00DD7BA4"/>
    <w:rsid w:val="00DD7EA7"/>
    <w:rsid w:val="00DD7EAE"/>
    <w:rsid w:val="00DD7EE8"/>
    <w:rsid w:val="00DE05AD"/>
    <w:rsid w:val="00DE0784"/>
    <w:rsid w:val="00DE0877"/>
    <w:rsid w:val="00DE0A41"/>
    <w:rsid w:val="00DE0B28"/>
    <w:rsid w:val="00DE1126"/>
    <w:rsid w:val="00DE117A"/>
    <w:rsid w:val="00DE117F"/>
    <w:rsid w:val="00DE11CB"/>
    <w:rsid w:val="00DE14CF"/>
    <w:rsid w:val="00DE1585"/>
    <w:rsid w:val="00DE221B"/>
    <w:rsid w:val="00DE256D"/>
    <w:rsid w:val="00DE2983"/>
    <w:rsid w:val="00DE31CB"/>
    <w:rsid w:val="00DE3244"/>
    <w:rsid w:val="00DE34D8"/>
    <w:rsid w:val="00DE36F3"/>
    <w:rsid w:val="00DE3B38"/>
    <w:rsid w:val="00DE3CE9"/>
    <w:rsid w:val="00DE3D6E"/>
    <w:rsid w:val="00DE3F5D"/>
    <w:rsid w:val="00DE4144"/>
    <w:rsid w:val="00DE4E29"/>
    <w:rsid w:val="00DE5006"/>
    <w:rsid w:val="00DE525D"/>
    <w:rsid w:val="00DE55F1"/>
    <w:rsid w:val="00DE56CD"/>
    <w:rsid w:val="00DE56D7"/>
    <w:rsid w:val="00DE5A4E"/>
    <w:rsid w:val="00DE5B78"/>
    <w:rsid w:val="00DE5D52"/>
    <w:rsid w:val="00DE5FE1"/>
    <w:rsid w:val="00DE61BF"/>
    <w:rsid w:val="00DE6294"/>
    <w:rsid w:val="00DE6580"/>
    <w:rsid w:val="00DE693B"/>
    <w:rsid w:val="00DE7133"/>
    <w:rsid w:val="00DE7326"/>
    <w:rsid w:val="00DE7492"/>
    <w:rsid w:val="00DE7A1E"/>
    <w:rsid w:val="00DE7AE2"/>
    <w:rsid w:val="00DF09ED"/>
    <w:rsid w:val="00DF0CFF"/>
    <w:rsid w:val="00DF1391"/>
    <w:rsid w:val="00DF14CC"/>
    <w:rsid w:val="00DF14F4"/>
    <w:rsid w:val="00DF14FE"/>
    <w:rsid w:val="00DF16E9"/>
    <w:rsid w:val="00DF1933"/>
    <w:rsid w:val="00DF1A5B"/>
    <w:rsid w:val="00DF1EA0"/>
    <w:rsid w:val="00DF2366"/>
    <w:rsid w:val="00DF2404"/>
    <w:rsid w:val="00DF32B0"/>
    <w:rsid w:val="00DF35D5"/>
    <w:rsid w:val="00DF4068"/>
    <w:rsid w:val="00DF4644"/>
    <w:rsid w:val="00DF4C4C"/>
    <w:rsid w:val="00DF4CA7"/>
    <w:rsid w:val="00DF4D00"/>
    <w:rsid w:val="00DF54DA"/>
    <w:rsid w:val="00DF579C"/>
    <w:rsid w:val="00DF58C2"/>
    <w:rsid w:val="00DF5B1B"/>
    <w:rsid w:val="00DF5F8E"/>
    <w:rsid w:val="00DF5FE8"/>
    <w:rsid w:val="00DF609E"/>
    <w:rsid w:val="00DF641D"/>
    <w:rsid w:val="00DF64EC"/>
    <w:rsid w:val="00DF6595"/>
    <w:rsid w:val="00DF67B5"/>
    <w:rsid w:val="00DF6C7B"/>
    <w:rsid w:val="00DF6DF1"/>
    <w:rsid w:val="00DF73CA"/>
    <w:rsid w:val="00DF7523"/>
    <w:rsid w:val="00DF7713"/>
    <w:rsid w:val="00DF785E"/>
    <w:rsid w:val="00DF7B08"/>
    <w:rsid w:val="00DF7DE7"/>
    <w:rsid w:val="00DF7E0A"/>
    <w:rsid w:val="00E0029C"/>
    <w:rsid w:val="00E004CF"/>
    <w:rsid w:val="00E009AB"/>
    <w:rsid w:val="00E00C25"/>
    <w:rsid w:val="00E00DFE"/>
    <w:rsid w:val="00E00EA6"/>
    <w:rsid w:val="00E01053"/>
    <w:rsid w:val="00E01108"/>
    <w:rsid w:val="00E01B78"/>
    <w:rsid w:val="00E01C1B"/>
    <w:rsid w:val="00E01C55"/>
    <w:rsid w:val="00E02453"/>
    <w:rsid w:val="00E027C9"/>
    <w:rsid w:val="00E02822"/>
    <w:rsid w:val="00E0287A"/>
    <w:rsid w:val="00E0296C"/>
    <w:rsid w:val="00E02B38"/>
    <w:rsid w:val="00E02BB3"/>
    <w:rsid w:val="00E02D55"/>
    <w:rsid w:val="00E03011"/>
    <w:rsid w:val="00E03570"/>
    <w:rsid w:val="00E03AA4"/>
    <w:rsid w:val="00E03D48"/>
    <w:rsid w:val="00E03ECE"/>
    <w:rsid w:val="00E048A3"/>
    <w:rsid w:val="00E04AB9"/>
    <w:rsid w:val="00E04C55"/>
    <w:rsid w:val="00E04CFC"/>
    <w:rsid w:val="00E0581B"/>
    <w:rsid w:val="00E05987"/>
    <w:rsid w:val="00E05A8A"/>
    <w:rsid w:val="00E05B72"/>
    <w:rsid w:val="00E05BF6"/>
    <w:rsid w:val="00E066BE"/>
    <w:rsid w:val="00E068A8"/>
    <w:rsid w:val="00E0690F"/>
    <w:rsid w:val="00E06BB2"/>
    <w:rsid w:val="00E06D68"/>
    <w:rsid w:val="00E07254"/>
    <w:rsid w:val="00E073E9"/>
    <w:rsid w:val="00E07479"/>
    <w:rsid w:val="00E074C7"/>
    <w:rsid w:val="00E07B5A"/>
    <w:rsid w:val="00E1007F"/>
    <w:rsid w:val="00E1025E"/>
    <w:rsid w:val="00E10658"/>
    <w:rsid w:val="00E10C3D"/>
    <w:rsid w:val="00E11247"/>
    <w:rsid w:val="00E1178B"/>
    <w:rsid w:val="00E118C9"/>
    <w:rsid w:val="00E11907"/>
    <w:rsid w:val="00E119D7"/>
    <w:rsid w:val="00E119E9"/>
    <w:rsid w:val="00E11F82"/>
    <w:rsid w:val="00E120FB"/>
    <w:rsid w:val="00E12157"/>
    <w:rsid w:val="00E124DF"/>
    <w:rsid w:val="00E126F8"/>
    <w:rsid w:val="00E1277C"/>
    <w:rsid w:val="00E1284B"/>
    <w:rsid w:val="00E12917"/>
    <w:rsid w:val="00E12A6C"/>
    <w:rsid w:val="00E12C80"/>
    <w:rsid w:val="00E12CE8"/>
    <w:rsid w:val="00E12E8A"/>
    <w:rsid w:val="00E1375F"/>
    <w:rsid w:val="00E13A36"/>
    <w:rsid w:val="00E141B4"/>
    <w:rsid w:val="00E144A3"/>
    <w:rsid w:val="00E14E2A"/>
    <w:rsid w:val="00E14E3D"/>
    <w:rsid w:val="00E15015"/>
    <w:rsid w:val="00E1512F"/>
    <w:rsid w:val="00E1516B"/>
    <w:rsid w:val="00E1554E"/>
    <w:rsid w:val="00E1577C"/>
    <w:rsid w:val="00E15867"/>
    <w:rsid w:val="00E16395"/>
    <w:rsid w:val="00E16450"/>
    <w:rsid w:val="00E1647F"/>
    <w:rsid w:val="00E16627"/>
    <w:rsid w:val="00E16BC2"/>
    <w:rsid w:val="00E16DB4"/>
    <w:rsid w:val="00E16FEF"/>
    <w:rsid w:val="00E17138"/>
    <w:rsid w:val="00E17553"/>
    <w:rsid w:val="00E17A0F"/>
    <w:rsid w:val="00E17B2C"/>
    <w:rsid w:val="00E20083"/>
    <w:rsid w:val="00E200A7"/>
    <w:rsid w:val="00E202C1"/>
    <w:rsid w:val="00E20B8E"/>
    <w:rsid w:val="00E212F4"/>
    <w:rsid w:val="00E21515"/>
    <w:rsid w:val="00E217D2"/>
    <w:rsid w:val="00E21BCB"/>
    <w:rsid w:val="00E21BDD"/>
    <w:rsid w:val="00E21C38"/>
    <w:rsid w:val="00E2265C"/>
    <w:rsid w:val="00E22C00"/>
    <w:rsid w:val="00E22EF6"/>
    <w:rsid w:val="00E2349F"/>
    <w:rsid w:val="00E23677"/>
    <w:rsid w:val="00E23D02"/>
    <w:rsid w:val="00E23E91"/>
    <w:rsid w:val="00E2418B"/>
    <w:rsid w:val="00E24225"/>
    <w:rsid w:val="00E242E4"/>
    <w:rsid w:val="00E2440E"/>
    <w:rsid w:val="00E24456"/>
    <w:rsid w:val="00E24BEC"/>
    <w:rsid w:val="00E24E53"/>
    <w:rsid w:val="00E2500C"/>
    <w:rsid w:val="00E255E5"/>
    <w:rsid w:val="00E25C2D"/>
    <w:rsid w:val="00E271A6"/>
    <w:rsid w:val="00E2766A"/>
    <w:rsid w:val="00E2780C"/>
    <w:rsid w:val="00E27B5D"/>
    <w:rsid w:val="00E27D3F"/>
    <w:rsid w:val="00E3196D"/>
    <w:rsid w:val="00E31D29"/>
    <w:rsid w:val="00E32240"/>
    <w:rsid w:val="00E322F3"/>
    <w:rsid w:val="00E32BFD"/>
    <w:rsid w:val="00E32D84"/>
    <w:rsid w:val="00E33220"/>
    <w:rsid w:val="00E3355B"/>
    <w:rsid w:val="00E33A3D"/>
    <w:rsid w:val="00E33DA3"/>
    <w:rsid w:val="00E34710"/>
    <w:rsid w:val="00E348D9"/>
    <w:rsid w:val="00E34EFF"/>
    <w:rsid w:val="00E34F92"/>
    <w:rsid w:val="00E350FF"/>
    <w:rsid w:val="00E35101"/>
    <w:rsid w:val="00E355DF"/>
    <w:rsid w:val="00E3601F"/>
    <w:rsid w:val="00E361B8"/>
    <w:rsid w:val="00E36821"/>
    <w:rsid w:val="00E368F8"/>
    <w:rsid w:val="00E36B10"/>
    <w:rsid w:val="00E36B6C"/>
    <w:rsid w:val="00E36CAF"/>
    <w:rsid w:val="00E36F3E"/>
    <w:rsid w:val="00E3707E"/>
    <w:rsid w:val="00E3724F"/>
    <w:rsid w:val="00E37439"/>
    <w:rsid w:val="00E3753A"/>
    <w:rsid w:val="00E3761D"/>
    <w:rsid w:val="00E4016B"/>
    <w:rsid w:val="00E406DB"/>
    <w:rsid w:val="00E4090B"/>
    <w:rsid w:val="00E409CD"/>
    <w:rsid w:val="00E415EF"/>
    <w:rsid w:val="00E41869"/>
    <w:rsid w:val="00E418E2"/>
    <w:rsid w:val="00E41B4F"/>
    <w:rsid w:val="00E41C02"/>
    <w:rsid w:val="00E421B9"/>
    <w:rsid w:val="00E422F0"/>
    <w:rsid w:val="00E42610"/>
    <w:rsid w:val="00E427DD"/>
    <w:rsid w:val="00E42814"/>
    <w:rsid w:val="00E42A85"/>
    <w:rsid w:val="00E42CA1"/>
    <w:rsid w:val="00E42DD4"/>
    <w:rsid w:val="00E42DFD"/>
    <w:rsid w:val="00E42FA4"/>
    <w:rsid w:val="00E432D8"/>
    <w:rsid w:val="00E43D97"/>
    <w:rsid w:val="00E44687"/>
    <w:rsid w:val="00E44880"/>
    <w:rsid w:val="00E4490A"/>
    <w:rsid w:val="00E44B85"/>
    <w:rsid w:val="00E44D79"/>
    <w:rsid w:val="00E44DDF"/>
    <w:rsid w:val="00E4505C"/>
    <w:rsid w:val="00E4510E"/>
    <w:rsid w:val="00E45912"/>
    <w:rsid w:val="00E459C6"/>
    <w:rsid w:val="00E45CE9"/>
    <w:rsid w:val="00E45EDC"/>
    <w:rsid w:val="00E46520"/>
    <w:rsid w:val="00E4665C"/>
    <w:rsid w:val="00E469E7"/>
    <w:rsid w:val="00E46CB8"/>
    <w:rsid w:val="00E46E3A"/>
    <w:rsid w:val="00E4708E"/>
    <w:rsid w:val="00E475AA"/>
    <w:rsid w:val="00E47F90"/>
    <w:rsid w:val="00E50215"/>
    <w:rsid w:val="00E50338"/>
    <w:rsid w:val="00E508C9"/>
    <w:rsid w:val="00E50965"/>
    <w:rsid w:val="00E50976"/>
    <w:rsid w:val="00E50EA1"/>
    <w:rsid w:val="00E51186"/>
    <w:rsid w:val="00E5168F"/>
    <w:rsid w:val="00E51698"/>
    <w:rsid w:val="00E51946"/>
    <w:rsid w:val="00E51CCD"/>
    <w:rsid w:val="00E51F06"/>
    <w:rsid w:val="00E520B5"/>
    <w:rsid w:val="00E526F1"/>
    <w:rsid w:val="00E52CC6"/>
    <w:rsid w:val="00E52E30"/>
    <w:rsid w:val="00E530E0"/>
    <w:rsid w:val="00E53199"/>
    <w:rsid w:val="00E533BD"/>
    <w:rsid w:val="00E535E8"/>
    <w:rsid w:val="00E53B68"/>
    <w:rsid w:val="00E53D5F"/>
    <w:rsid w:val="00E53FC0"/>
    <w:rsid w:val="00E54851"/>
    <w:rsid w:val="00E548F4"/>
    <w:rsid w:val="00E54981"/>
    <w:rsid w:val="00E54EE5"/>
    <w:rsid w:val="00E54F8C"/>
    <w:rsid w:val="00E555A4"/>
    <w:rsid w:val="00E55C30"/>
    <w:rsid w:val="00E56D84"/>
    <w:rsid w:val="00E56E10"/>
    <w:rsid w:val="00E56F05"/>
    <w:rsid w:val="00E57278"/>
    <w:rsid w:val="00E57699"/>
    <w:rsid w:val="00E57B7E"/>
    <w:rsid w:val="00E60249"/>
    <w:rsid w:val="00E60B42"/>
    <w:rsid w:val="00E60E16"/>
    <w:rsid w:val="00E6145B"/>
    <w:rsid w:val="00E616C7"/>
    <w:rsid w:val="00E618C2"/>
    <w:rsid w:val="00E61A17"/>
    <w:rsid w:val="00E61E0C"/>
    <w:rsid w:val="00E61F2B"/>
    <w:rsid w:val="00E62302"/>
    <w:rsid w:val="00E62589"/>
    <w:rsid w:val="00E62808"/>
    <w:rsid w:val="00E62893"/>
    <w:rsid w:val="00E62F30"/>
    <w:rsid w:val="00E63120"/>
    <w:rsid w:val="00E6347D"/>
    <w:rsid w:val="00E63763"/>
    <w:rsid w:val="00E6384E"/>
    <w:rsid w:val="00E63C51"/>
    <w:rsid w:val="00E63C7D"/>
    <w:rsid w:val="00E6435A"/>
    <w:rsid w:val="00E64485"/>
    <w:rsid w:val="00E64992"/>
    <w:rsid w:val="00E6515C"/>
    <w:rsid w:val="00E65448"/>
    <w:rsid w:val="00E65A36"/>
    <w:rsid w:val="00E65CBA"/>
    <w:rsid w:val="00E66160"/>
    <w:rsid w:val="00E66BEF"/>
    <w:rsid w:val="00E67151"/>
    <w:rsid w:val="00E67239"/>
    <w:rsid w:val="00E67243"/>
    <w:rsid w:val="00E672EB"/>
    <w:rsid w:val="00E67A4D"/>
    <w:rsid w:val="00E67A88"/>
    <w:rsid w:val="00E700E3"/>
    <w:rsid w:val="00E70206"/>
    <w:rsid w:val="00E70882"/>
    <w:rsid w:val="00E70D6B"/>
    <w:rsid w:val="00E713F7"/>
    <w:rsid w:val="00E71426"/>
    <w:rsid w:val="00E7189F"/>
    <w:rsid w:val="00E722CA"/>
    <w:rsid w:val="00E724C9"/>
    <w:rsid w:val="00E72614"/>
    <w:rsid w:val="00E727B0"/>
    <w:rsid w:val="00E72D17"/>
    <w:rsid w:val="00E72ED3"/>
    <w:rsid w:val="00E73125"/>
    <w:rsid w:val="00E731AF"/>
    <w:rsid w:val="00E735CF"/>
    <w:rsid w:val="00E73723"/>
    <w:rsid w:val="00E74187"/>
    <w:rsid w:val="00E742DA"/>
    <w:rsid w:val="00E7449A"/>
    <w:rsid w:val="00E745E6"/>
    <w:rsid w:val="00E74D3A"/>
    <w:rsid w:val="00E74E13"/>
    <w:rsid w:val="00E75278"/>
    <w:rsid w:val="00E75F16"/>
    <w:rsid w:val="00E764AF"/>
    <w:rsid w:val="00E76661"/>
    <w:rsid w:val="00E76676"/>
    <w:rsid w:val="00E766A4"/>
    <w:rsid w:val="00E766C6"/>
    <w:rsid w:val="00E767F6"/>
    <w:rsid w:val="00E76986"/>
    <w:rsid w:val="00E76D1A"/>
    <w:rsid w:val="00E773A3"/>
    <w:rsid w:val="00E77563"/>
    <w:rsid w:val="00E77F2E"/>
    <w:rsid w:val="00E80156"/>
    <w:rsid w:val="00E801F3"/>
    <w:rsid w:val="00E803DF"/>
    <w:rsid w:val="00E808DF"/>
    <w:rsid w:val="00E812D1"/>
    <w:rsid w:val="00E81345"/>
    <w:rsid w:val="00E81DC1"/>
    <w:rsid w:val="00E82077"/>
    <w:rsid w:val="00E82148"/>
    <w:rsid w:val="00E821BC"/>
    <w:rsid w:val="00E82699"/>
    <w:rsid w:val="00E82C00"/>
    <w:rsid w:val="00E82E2A"/>
    <w:rsid w:val="00E83245"/>
    <w:rsid w:val="00E836E0"/>
    <w:rsid w:val="00E83822"/>
    <w:rsid w:val="00E839A9"/>
    <w:rsid w:val="00E84005"/>
    <w:rsid w:val="00E84958"/>
    <w:rsid w:val="00E84C40"/>
    <w:rsid w:val="00E84FC3"/>
    <w:rsid w:val="00E850BE"/>
    <w:rsid w:val="00E85345"/>
    <w:rsid w:val="00E855E6"/>
    <w:rsid w:val="00E858F4"/>
    <w:rsid w:val="00E859D1"/>
    <w:rsid w:val="00E8617C"/>
    <w:rsid w:val="00E8649F"/>
    <w:rsid w:val="00E865B4"/>
    <w:rsid w:val="00E86823"/>
    <w:rsid w:val="00E86849"/>
    <w:rsid w:val="00E86BDB"/>
    <w:rsid w:val="00E86D2F"/>
    <w:rsid w:val="00E86ED5"/>
    <w:rsid w:val="00E86F90"/>
    <w:rsid w:val="00E872AF"/>
    <w:rsid w:val="00E8734E"/>
    <w:rsid w:val="00E87776"/>
    <w:rsid w:val="00E87950"/>
    <w:rsid w:val="00E87F89"/>
    <w:rsid w:val="00E9011B"/>
    <w:rsid w:val="00E90214"/>
    <w:rsid w:val="00E9029C"/>
    <w:rsid w:val="00E90699"/>
    <w:rsid w:val="00E9128B"/>
    <w:rsid w:val="00E915EA"/>
    <w:rsid w:val="00E9163E"/>
    <w:rsid w:val="00E91855"/>
    <w:rsid w:val="00E91CD1"/>
    <w:rsid w:val="00E91DA9"/>
    <w:rsid w:val="00E9202D"/>
    <w:rsid w:val="00E92063"/>
    <w:rsid w:val="00E92E01"/>
    <w:rsid w:val="00E9309F"/>
    <w:rsid w:val="00E930B9"/>
    <w:rsid w:val="00E9327E"/>
    <w:rsid w:val="00E934F6"/>
    <w:rsid w:val="00E93DAF"/>
    <w:rsid w:val="00E943F1"/>
    <w:rsid w:val="00E94B0B"/>
    <w:rsid w:val="00E95466"/>
    <w:rsid w:val="00E957C1"/>
    <w:rsid w:val="00E963C6"/>
    <w:rsid w:val="00E9673A"/>
    <w:rsid w:val="00E96790"/>
    <w:rsid w:val="00E96A0B"/>
    <w:rsid w:val="00E96DEB"/>
    <w:rsid w:val="00E978A6"/>
    <w:rsid w:val="00E97D86"/>
    <w:rsid w:val="00EA0BB2"/>
    <w:rsid w:val="00EA18F8"/>
    <w:rsid w:val="00EA19F3"/>
    <w:rsid w:val="00EA2254"/>
    <w:rsid w:val="00EA246E"/>
    <w:rsid w:val="00EA26B0"/>
    <w:rsid w:val="00EA2744"/>
    <w:rsid w:val="00EA285B"/>
    <w:rsid w:val="00EA3193"/>
    <w:rsid w:val="00EA386D"/>
    <w:rsid w:val="00EA3A14"/>
    <w:rsid w:val="00EA3A64"/>
    <w:rsid w:val="00EA3B2C"/>
    <w:rsid w:val="00EA3C22"/>
    <w:rsid w:val="00EA4269"/>
    <w:rsid w:val="00EA4471"/>
    <w:rsid w:val="00EA47BB"/>
    <w:rsid w:val="00EA4A29"/>
    <w:rsid w:val="00EA4C1E"/>
    <w:rsid w:val="00EA4C3C"/>
    <w:rsid w:val="00EA5235"/>
    <w:rsid w:val="00EA5281"/>
    <w:rsid w:val="00EA52A6"/>
    <w:rsid w:val="00EA5A67"/>
    <w:rsid w:val="00EA5DB1"/>
    <w:rsid w:val="00EA60F2"/>
    <w:rsid w:val="00EA626B"/>
    <w:rsid w:val="00EA628E"/>
    <w:rsid w:val="00EA6B75"/>
    <w:rsid w:val="00EA6F0C"/>
    <w:rsid w:val="00EA6F99"/>
    <w:rsid w:val="00EA742E"/>
    <w:rsid w:val="00EA772E"/>
    <w:rsid w:val="00EA78F0"/>
    <w:rsid w:val="00EA792A"/>
    <w:rsid w:val="00EA799B"/>
    <w:rsid w:val="00EA7BC5"/>
    <w:rsid w:val="00EA7F33"/>
    <w:rsid w:val="00EB05F7"/>
    <w:rsid w:val="00EB095F"/>
    <w:rsid w:val="00EB0B9C"/>
    <w:rsid w:val="00EB0ED0"/>
    <w:rsid w:val="00EB133B"/>
    <w:rsid w:val="00EB148C"/>
    <w:rsid w:val="00EB17C4"/>
    <w:rsid w:val="00EB1B85"/>
    <w:rsid w:val="00EB1CFB"/>
    <w:rsid w:val="00EB1EE9"/>
    <w:rsid w:val="00EB22E0"/>
    <w:rsid w:val="00EB257F"/>
    <w:rsid w:val="00EB2674"/>
    <w:rsid w:val="00EB31C4"/>
    <w:rsid w:val="00EB3446"/>
    <w:rsid w:val="00EB357C"/>
    <w:rsid w:val="00EB3686"/>
    <w:rsid w:val="00EB3697"/>
    <w:rsid w:val="00EB37CB"/>
    <w:rsid w:val="00EB3901"/>
    <w:rsid w:val="00EB39B3"/>
    <w:rsid w:val="00EB3ABE"/>
    <w:rsid w:val="00EB3B66"/>
    <w:rsid w:val="00EB4112"/>
    <w:rsid w:val="00EB4745"/>
    <w:rsid w:val="00EB48FA"/>
    <w:rsid w:val="00EB4A52"/>
    <w:rsid w:val="00EB4F14"/>
    <w:rsid w:val="00EB4F29"/>
    <w:rsid w:val="00EB5048"/>
    <w:rsid w:val="00EB54D7"/>
    <w:rsid w:val="00EB5640"/>
    <w:rsid w:val="00EB5885"/>
    <w:rsid w:val="00EB5B75"/>
    <w:rsid w:val="00EB5DB5"/>
    <w:rsid w:val="00EB6DB9"/>
    <w:rsid w:val="00EB71B0"/>
    <w:rsid w:val="00EB76F7"/>
    <w:rsid w:val="00EB7821"/>
    <w:rsid w:val="00EB7C79"/>
    <w:rsid w:val="00EC052D"/>
    <w:rsid w:val="00EC0A4F"/>
    <w:rsid w:val="00EC0CF4"/>
    <w:rsid w:val="00EC0E42"/>
    <w:rsid w:val="00EC1430"/>
    <w:rsid w:val="00EC1495"/>
    <w:rsid w:val="00EC152C"/>
    <w:rsid w:val="00EC1563"/>
    <w:rsid w:val="00EC1A48"/>
    <w:rsid w:val="00EC202B"/>
    <w:rsid w:val="00EC2140"/>
    <w:rsid w:val="00EC2146"/>
    <w:rsid w:val="00EC22F6"/>
    <w:rsid w:val="00EC2471"/>
    <w:rsid w:val="00EC267D"/>
    <w:rsid w:val="00EC26D3"/>
    <w:rsid w:val="00EC2E46"/>
    <w:rsid w:val="00EC30AA"/>
    <w:rsid w:val="00EC31A2"/>
    <w:rsid w:val="00EC36B7"/>
    <w:rsid w:val="00EC3846"/>
    <w:rsid w:val="00EC3895"/>
    <w:rsid w:val="00EC3AA3"/>
    <w:rsid w:val="00EC3EF1"/>
    <w:rsid w:val="00EC407E"/>
    <w:rsid w:val="00EC4098"/>
    <w:rsid w:val="00EC40ED"/>
    <w:rsid w:val="00EC422E"/>
    <w:rsid w:val="00EC4280"/>
    <w:rsid w:val="00EC4EE9"/>
    <w:rsid w:val="00EC501D"/>
    <w:rsid w:val="00EC51E8"/>
    <w:rsid w:val="00EC52F2"/>
    <w:rsid w:val="00EC5365"/>
    <w:rsid w:val="00EC5A35"/>
    <w:rsid w:val="00EC5A77"/>
    <w:rsid w:val="00EC66E4"/>
    <w:rsid w:val="00EC6704"/>
    <w:rsid w:val="00EC683D"/>
    <w:rsid w:val="00EC68F6"/>
    <w:rsid w:val="00EC6BFA"/>
    <w:rsid w:val="00EC77A4"/>
    <w:rsid w:val="00EC7919"/>
    <w:rsid w:val="00ED02C2"/>
    <w:rsid w:val="00ED03B6"/>
    <w:rsid w:val="00ED046E"/>
    <w:rsid w:val="00ED0F9F"/>
    <w:rsid w:val="00ED1BBF"/>
    <w:rsid w:val="00ED1DD0"/>
    <w:rsid w:val="00ED1E58"/>
    <w:rsid w:val="00ED2436"/>
    <w:rsid w:val="00ED24E2"/>
    <w:rsid w:val="00ED2563"/>
    <w:rsid w:val="00ED2572"/>
    <w:rsid w:val="00ED264D"/>
    <w:rsid w:val="00ED27F7"/>
    <w:rsid w:val="00ED2AE6"/>
    <w:rsid w:val="00ED2BD1"/>
    <w:rsid w:val="00ED3221"/>
    <w:rsid w:val="00ED33CD"/>
    <w:rsid w:val="00ED3557"/>
    <w:rsid w:val="00ED3567"/>
    <w:rsid w:val="00ED41CF"/>
    <w:rsid w:val="00ED43EC"/>
    <w:rsid w:val="00ED5B69"/>
    <w:rsid w:val="00ED6108"/>
    <w:rsid w:val="00ED62D8"/>
    <w:rsid w:val="00ED7010"/>
    <w:rsid w:val="00ED734D"/>
    <w:rsid w:val="00ED737E"/>
    <w:rsid w:val="00ED7455"/>
    <w:rsid w:val="00ED79A1"/>
    <w:rsid w:val="00ED7C4B"/>
    <w:rsid w:val="00EE01AB"/>
    <w:rsid w:val="00EE0231"/>
    <w:rsid w:val="00EE0277"/>
    <w:rsid w:val="00EE029F"/>
    <w:rsid w:val="00EE05AE"/>
    <w:rsid w:val="00EE085C"/>
    <w:rsid w:val="00EE0E5D"/>
    <w:rsid w:val="00EE0EBE"/>
    <w:rsid w:val="00EE1235"/>
    <w:rsid w:val="00EE1678"/>
    <w:rsid w:val="00EE1C31"/>
    <w:rsid w:val="00EE1F25"/>
    <w:rsid w:val="00EE237C"/>
    <w:rsid w:val="00EE23CE"/>
    <w:rsid w:val="00EE2969"/>
    <w:rsid w:val="00EE2B10"/>
    <w:rsid w:val="00EE2B82"/>
    <w:rsid w:val="00EE332F"/>
    <w:rsid w:val="00EE3385"/>
    <w:rsid w:val="00EE3688"/>
    <w:rsid w:val="00EE37C8"/>
    <w:rsid w:val="00EE3881"/>
    <w:rsid w:val="00EE397D"/>
    <w:rsid w:val="00EE3F0A"/>
    <w:rsid w:val="00EE4B50"/>
    <w:rsid w:val="00EE50D3"/>
    <w:rsid w:val="00EE56B3"/>
    <w:rsid w:val="00EE5909"/>
    <w:rsid w:val="00EE5AC8"/>
    <w:rsid w:val="00EE5C38"/>
    <w:rsid w:val="00EE5FD2"/>
    <w:rsid w:val="00EE5FFA"/>
    <w:rsid w:val="00EE6432"/>
    <w:rsid w:val="00EE659C"/>
    <w:rsid w:val="00EE6B05"/>
    <w:rsid w:val="00EE6BC2"/>
    <w:rsid w:val="00EE71ED"/>
    <w:rsid w:val="00EE760C"/>
    <w:rsid w:val="00EE7CCA"/>
    <w:rsid w:val="00EE7D4B"/>
    <w:rsid w:val="00EE7D66"/>
    <w:rsid w:val="00EE7E7B"/>
    <w:rsid w:val="00EF0E37"/>
    <w:rsid w:val="00EF0E46"/>
    <w:rsid w:val="00EF1102"/>
    <w:rsid w:val="00EF13B5"/>
    <w:rsid w:val="00EF1AF7"/>
    <w:rsid w:val="00EF1C69"/>
    <w:rsid w:val="00EF1EE8"/>
    <w:rsid w:val="00EF2480"/>
    <w:rsid w:val="00EF31D1"/>
    <w:rsid w:val="00EF33EC"/>
    <w:rsid w:val="00EF351D"/>
    <w:rsid w:val="00EF38CA"/>
    <w:rsid w:val="00EF3A3D"/>
    <w:rsid w:val="00EF59CB"/>
    <w:rsid w:val="00EF59FE"/>
    <w:rsid w:val="00EF5A21"/>
    <w:rsid w:val="00EF5D82"/>
    <w:rsid w:val="00EF5D8D"/>
    <w:rsid w:val="00EF5E2D"/>
    <w:rsid w:val="00EF5EDB"/>
    <w:rsid w:val="00EF621F"/>
    <w:rsid w:val="00EF65B3"/>
    <w:rsid w:val="00EF681F"/>
    <w:rsid w:val="00EF6AB6"/>
    <w:rsid w:val="00EF6E0F"/>
    <w:rsid w:val="00EF7A59"/>
    <w:rsid w:val="00EF7DA4"/>
    <w:rsid w:val="00EF7FF3"/>
    <w:rsid w:val="00F0062B"/>
    <w:rsid w:val="00F00915"/>
    <w:rsid w:val="00F00AA9"/>
    <w:rsid w:val="00F011F2"/>
    <w:rsid w:val="00F013B1"/>
    <w:rsid w:val="00F01656"/>
    <w:rsid w:val="00F01BAB"/>
    <w:rsid w:val="00F02A7D"/>
    <w:rsid w:val="00F02AD6"/>
    <w:rsid w:val="00F02D26"/>
    <w:rsid w:val="00F030FB"/>
    <w:rsid w:val="00F0324E"/>
    <w:rsid w:val="00F032AF"/>
    <w:rsid w:val="00F03489"/>
    <w:rsid w:val="00F03BC6"/>
    <w:rsid w:val="00F03F71"/>
    <w:rsid w:val="00F0437F"/>
    <w:rsid w:val="00F0599B"/>
    <w:rsid w:val="00F05AD5"/>
    <w:rsid w:val="00F06300"/>
    <w:rsid w:val="00F06FA3"/>
    <w:rsid w:val="00F07B95"/>
    <w:rsid w:val="00F10388"/>
    <w:rsid w:val="00F109C7"/>
    <w:rsid w:val="00F109DB"/>
    <w:rsid w:val="00F10BBF"/>
    <w:rsid w:val="00F11073"/>
    <w:rsid w:val="00F11D36"/>
    <w:rsid w:val="00F11FA0"/>
    <w:rsid w:val="00F1215F"/>
    <w:rsid w:val="00F12AAE"/>
    <w:rsid w:val="00F12DA6"/>
    <w:rsid w:val="00F13144"/>
    <w:rsid w:val="00F1315C"/>
    <w:rsid w:val="00F132D5"/>
    <w:rsid w:val="00F1341E"/>
    <w:rsid w:val="00F13446"/>
    <w:rsid w:val="00F13BB4"/>
    <w:rsid w:val="00F13F77"/>
    <w:rsid w:val="00F14039"/>
    <w:rsid w:val="00F14560"/>
    <w:rsid w:val="00F14A97"/>
    <w:rsid w:val="00F14DFC"/>
    <w:rsid w:val="00F14E0F"/>
    <w:rsid w:val="00F14EF7"/>
    <w:rsid w:val="00F157CF"/>
    <w:rsid w:val="00F15C21"/>
    <w:rsid w:val="00F15CC7"/>
    <w:rsid w:val="00F161B2"/>
    <w:rsid w:val="00F16470"/>
    <w:rsid w:val="00F164CB"/>
    <w:rsid w:val="00F16DF8"/>
    <w:rsid w:val="00F172A7"/>
    <w:rsid w:val="00F174AF"/>
    <w:rsid w:val="00F176E0"/>
    <w:rsid w:val="00F17E42"/>
    <w:rsid w:val="00F20833"/>
    <w:rsid w:val="00F20D99"/>
    <w:rsid w:val="00F20FE6"/>
    <w:rsid w:val="00F21635"/>
    <w:rsid w:val="00F21842"/>
    <w:rsid w:val="00F21A57"/>
    <w:rsid w:val="00F21AAB"/>
    <w:rsid w:val="00F2228D"/>
    <w:rsid w:val="00F22367"/>
    <w:rsid w:val="00F225C2"/>
    <w:rsid w:val="00F226DA"/>
    <w:rsid w:val="00F230A0"/>
    <w:rsid w:val="00F232FE"/>
    <w:rsid w:val="00F23B72"/>
    <w:rsid w:val="00F23F6D"/>
    <w:rsid w:val="00F23F8F"/>
    <w:rsid w:val="00F24456"/>
    <w:rsid w:val="00F24A12"/>
    <w:rsid w:val="00F253DE"/>
    <w:rsid w:val="00F256C7"/>
    <w:rsid w:val="00F25943"/>
    <w:rsid w:val="00F259B8"/>
    <w:rsid w:val="00F25E61"/>
    <w:rsid w:val="00F265CE"/>
    <w:rsid w:val="00F267D8"/>
    <w:rsid w:val="00F26D0C"/>
    <w:rsid w:val="00F26DF1"/>
    <w:rsid w:val="00F26EAF"/>
    <w:rsid w:val="00F27210"/>
    <w:rsid w:val="00F2749F"/>
    <w:rsid w:val="00F30491"/>
    <w:rsid w:val="00F304CE"/>
    <w:rsid w:val="00F304EA"/>
    <w:rsid w:val="00F310D7"/>
    <w:rsid w:val="00F31BF9"/>
    <w:rsid w:val="00F31D84"/>
    <w:rsid w:val="00F31F53"/>
    <w:rsid w:val="00F31FD3"/>
    <w:rsid w:val="00F324B7"/>
    <w:rsid w:val="00F32AF3"/>
    <w:rsid w:val="00F32CB8"/>
    <w:rsid w:val="00F336FA"/>
    <w:rsid w:val="00F337F1"/>
    <w:rsid w:val="00F33D2D"/>
    <w:rsid w:val="00F33EF2"/>
    <w:rsid w:val="00F3444F"/>
    <w:rsid w:val="00F34466"/>
    <w:rsid w:val="00F34CF7"/>
    <w:rsid w:val="00F34E7A"/>
    <w:rsid w:val="00F3507B"/>
    <w:rsid w:val="00F351C9"/>
    <w:rsid w:val="00F352F1"/>
    <w:rsid w:val="00F35A6F"/>
    <w:rsid w:val="00F35FD3"/>
    <w:rsid w:val="00F3660A"/>
    <w:rsid w:val="00F36687"/>
    <w:rsid w:val="00F36B1D"/>
    <w:rsid w:val="00F37273"/>
    <w:rsid w:val="00F372F8"/>
    <w:rsid w:val="00F372FF"/>
    <w:rsid w:val="00F37778"/>
    <w:rsid w:val="00F3779C"/>
    <w:rsid w:val="00F378A9"/>
    <w:rsid w:val="00F37943"/>
    <w:rsid w:val="00F379C5"/>
    <w:rsid w:val="00F37BD4"/>
    <w:rsid w:val="00F4030C"/>
    <w:rsid w:val="00F408F3"/>
    <w:rsid w:val="00F40922"/>
    <w:rsid w:val="00F414EE"/>
    <w:rsid w:val="00F4176D"/>
    <w:rsid w:val="00F41891"/>
    <w:rsid w:val="00F41E71"/>
    <w:rsid w:val="00F41EA6"/>
    <w:rsid w:val="00F425BC"/>
    <w:rsid w:val="00F42A8C"/>
    <w:rsid w:val="00F42BCC"/>
    <w:rsid w:val="00F42E03"/>
    <w:rsid w:val="00F431F9"/>
    <w:rsid w:val="00F43B3B"/>
    <w:rsid w:val="00F43C11"/>
    <w:rsid w:val="00F43D4C"/>
    <w:rsid w:val="00F43D50"/>
    <w:rsid w:val="00F440F0"/>
    <w:rsid w:val="00F442A1"/>
    <w:rsid w:val="00F44BF1"/>
    <w:rsid w:val="00F4502E"/>
    <w:rsid w:val="00F45202"/>
    <w:rsid w:val="00F453EB"/>
    <w:rsid w:val="00F4558F"/>
    <w:rsid w:val="00F45740"/>
    <w:rsid w:val="00F46081"/>
    <w:rsid w:val="00F4628A"/>
    <w:rsid w:val="00F46589"/>
    <w:rsid w:val="00F465F5"/>
    <w:rsid w:val="00F467F9"/>
    <w:rsid w:val="00F46941"/>
    <w:rsid w:val="00F46B7B"/>
    <w:rsid w:val="00F46DA7"/>
    <w:rsid w:val="00F47200"/>
    <w:rsid w:val="00F4757B"/>
    <w:rsid w:val="00F47618"/>
    <w:rsid w:val="00F47729"/>
    <w:rsid w:val="00F47D40"/>
    <w:rsid w:val="00F50DC9"/>
    <w:rsid w:val="00F50E34"/>
    <w:rsid w:val="00F50E5F"/>
    <w:rsid w:val="00F50EBA"/>
    <w:rsid w:val="00F51349"/>
    <w:rsid w:val="00F515D3"/>
    <w:rsid w:val="00F518A3"/>
    <w:rsid w:val="00F51F99"/>
    <w:rsid w:val="00F52432"/>
    <w:rsid w:val="00F52D07"/>
    <w:rsid w:val="00F52E43"/>
    <w:rsid w:val="00F53045"/>
    <w:rsid w:val="00F53123"/>
    <w:rsid w:val="00F53189"/>
    <w:rsid w:val="00F54275"/>
    <w:rsid w:val="00F54334"/>
    <w:rsid w:val="00F545DA"/>
    <w:rsid w:val="00F54763"/>
    <w:rsid w:val="00F5491B"/>
    <w:rsid w:val="00F54997"/>
    <w:rsid w:val="00F54A36"/>
    <w:rsid w:val="00F556D4"/>
    <w:rsid w:val="00F556F5"/>
    <w:rsid w:val="00F55785"/>
    <w:rsid w:val="00F560AF"/>
    <w:rsid w:val="00F56575"/>
    <w:rsid w:val="00F5681D"/>
    <w:rsid w:val="00F569E9"/>
    <w:rsid w:val="00F57473"/>
    <w:rsid w:val="00F57850"/>
    <w:rsid w:val="00F57A87"/>
    <w:rsid w:val="00F57FE0"/>
    <w:rsid w:val="00F600C8"/>
    <w:rsid w:val="00F60644"/>
    <w:rsid w:val="00F60698"/>
    <w:rsid w:val="00F60A80"/>
    <w:rsid w:val="00F60B2C"/>
    <w:rsid w:val="00F60D1C"/>
    <w:rsid w:val="00F613E5"/>
    <w:rsid w:val="00F6169B"/>
    <w:rsid w:val="00F61CD8"/>
    <w:rsid w:val="00F61D48"/>
    <w:rsid w:val="00F62E06"/>
    <w:rsid w:val="00F63805"/>
    <w:rsid w:val="00F63854"/>
    <w:rsid w:val="00F63B22"/>
    <w:rsid w:val="00F641DC"/>
    <w:rsid w:val="00F6424F"/>
    <w:rsid w:val="00F64383"/>
    <w:rsid w:val="00F6454E"/>
    <w:rsid w:val="00F647C2"/>
    <w:rsid w:val="00F64AEF"/>
    <w:rsid w:val="00F64CA4"/>
    <w:rsid w:val="00F64DCD"/>
    <w:rsid w:val="00F6576E"/>
    <w:rsid w:val="00F658E9"/>
    <w:rsid w:val="00F65C8F"/>
    <w:rsid w:val="00F65D94"/>
    <w:rsid w:val="00F65DC0"/>
    <w:rsid w:val="00F665EA"/>
    <w:rsid w:val="00F667CB"/>
    <w:rsid w:val="00F66819"/>
    <w:rsid w:val="00F66987"/>
    <w:rsid w:val="00F66A8F"/>
    <w:rsid w:val="00F66D90"/>
    <w:rsid w:val="00F670CF"/>
    <w:rsid w:val="00F67308"/>
    <w:rsid w:val="00F675C7"/>
    <w:rsid w:val="00F67E6C"/>
    <w:rsid w:val="00F70003"/>
    <w:rsid w:val="00F701E9"/>
    <w:rsid w:val="00F703F7"/>
    <w:rsid w:val="00F70A0E"/>
    <w:rsid w:val="00F70B4C"/>
    <w:rsid w:val="00F70D48"/>
    <w:rsid w:val="00F70F06"/>
    <w:rsid w:val="00F70F12"/>
    <w:rsid w:val="00F712DA"/>
    <w:rsid w:val="00F71391"/>
    <w:rsid w:val="00F71A71"/>
    <w:rsid w:val="00F71C03"/>
    <w:rsid w:val="00F71DDA"/>
    <w:rsid w:val="00F725E3"/>
    <w:rsid w:val="00F72689"/>
    <w:rsid w:val="00F73141"/>
    <w:rsid w:val="00F7345D"/>
    <w:rsid w:val="00F7378E"/>
    <w:rsid w:val="00F7487A"/>
    <w:rsid w:val="00F74A2C"/>
    <w:rsid w:val="00F74CF6"/>
    <w:rsid w:val="00F765AB"/>
    <w:rsid w:val="00F765BD"/>
    <w:rsid w:val="00F769CE"/>
    <w:rsid w:val="00F76AC4"/>
    <w:rsid w:val="00F76D28"/>
    <w:rsid w:val="00F7715A"/>
    <w:rsid w:val="00F773C0"/>
    <w:rsid w:val="00F77AF1"/>
    <w:rsid w:val="00F77DA4"/>
    <w:rsid w:val="00F805FB"/>
    <w:rsid w:val="00F80B25"/>
    <w:rsid w:val="00F80C63"/>
    <w:rsid w:val="00F80FE9"/>
    <w:rsid w:val="00F810A8"/>
    <w:rsid w:val="00F8119F"/>
    <w:rsid w:val="00F811B9"/>
    <w:rsid w:val="00F813D1"/>
    <w:rsid w:val="00F8163B"/>
    <w:rsid w:val="00F817B4"/>
    <w:rsid w:val="00F81ABD"/>
    <w:rsid w:val="00F8280F"/>
    <w:rsid w:val="00F82F48"/>
    <w:rsid w:val="00F8329D"/>
    <w:rsid w:val="00F84A26"/>
    <w:rsid w:val="00F84A38"/>
    <w:rsid w:val="00F84C65"/>
    <w:rsid w:val="00F84DE9"/>
    <w:rsid w:val="00F855C9"/>
    <w:rsid w:val="00F85600"/>
    <w:rsid w:val="00F8586F"/>
    <w:rsid w:val="00F85931"/>
    <w:rsid w:val="00F85937"/>
    <w:rsid w:val="00F85E26"/>
    <w:rsid w:val="00F85FD3"/>
    <w:rsid w:val="00F8633D"/>
    <w:rsid w:val="00F867D5"/>
    <w:rsid w:val="00F86A60"/>
    <w:rsid w:val="00F86B64"/>
    <w:rsid w:val="00F86D2A"/>
    <w:rsid w:val="00F901E5"/>
    <w:rsid w:val="00F903F7"/>
    <w:rsid w:val="00F90459"/>
    <w:rsid w:val="00F906DB"/>
    <w:rsid w:val="00F90765"/>
    <w:rsid w:val="00F90F21"/>
    <w:rsid w:val="00F91730"/>
    <w:rsid w:val="00F91799"/>
    <w:rsid w:val="00F91818"/>
    <w:rsid w:val="00F91C17"/>
    <w:rsid w:val="00F92200"/>
    <w:rsid w:val="00F92486"/>
    <w:rsid w:val="00F92984"/>
    <w:rsid w:val="00F92A5B"/>
    <w:rsid w:val="00F92B5F"/>
    <w:rsid w:val="00F92ECB"/>
    <w:rsid w:val="00F93170"/>
    <w:rsid w:val="00F93195"/>
    <w:rsid w:val="00F937DA"/>
    <w:rsid w:val="00F939B5"/>
    <w:rsid w:val="00F93DB7"/>
    <w:rsid w:val="00F9400F"/>
    <w:rsid w:val="00F9448F"/>
    <w:rsid w:val="00F94A20"/>
    <w:rsid w:val="00F94FAC"/>
    <w:rsid w:val="00F9594F"/>
    <w:rsid w:val="00F95A1A"/>
    <w:rsid w:val="00F95A21"/>
    <w:rsid w:val="00F95B9A"/>
    <w:rsid w:val="00F95FD2"/>
    <w:rsid w:val="00F9692E"/>
    <w:rsid w:val="00F96D9C"/>
    <w:rsid w:val="00F97829"/>
    <w:rsid w:val="00FA0306"/>
    <w:rsid w:val="00FA0772"/>
    <w:rsid w:val="00FA162A"/>
    <w:rsid w:val="00FA1906"/>
    <w:rsid w:val="00FA1942"/>
    <w:rsid w:val="00FA203E"/>
    <w:rsid w:val="00FA210F"/>
    <w:rsid w:val="00FA22D7"/>
    <w:rsid w:val="00FA26D7"/>
    <w:rsid w:val="00FA29DB"/>
    <w:rsid w:val="00FA2DA4"/>
    <w:rsid w:val="00FA2E56"/>
    <w:rsid w:val="00FA32DA"/>
    <w:rsid w:val="00FA34BC"/>
    <w:rsid w:val="00FA3598"/>
    <w:rsid w:val="00FA35C7"/>
    <w:rsid w:val="00FA37F0"/>
    <w:rsid w:val="00FA3FA6"/>
    <w:rsid w:val="00FA4954"/>
    <w:rsid w:val="00FA4E0B"/>
    <w:rsid w:val="00FA5369"/>
    <w:rsid w:val="00FA5978"/>
    <w:rsid w:val="00FA5982"/>
    <w:rsid w:val="00FA59CF"/>
    <w:rsid w:val="00FA5B6E"/>
    <w:rsid w:val="00FA5F2F"/>
    <w:rsid w:val="00FA663B"/>
    <w:rsid w:val="00FA673E"/>
    <w:rsid w:val="00FA68A5"/>
    <w:rsid w:val="00FA7977"/>
    <w:rsid w:val="00FA7AC9"/>
    <w:rsid w:val="00FA7C98"/>
    <w:rsid w:val="00FA7DEC"/>
    <w:rsid w:val="00FB0395"/>
    <w:rsid w:val="00FB0464"/>
    <w:rsid w:val="00FB050A"/>
    <w:rsid w:val="00FB09BB"/>
    <w:rsid w:val="00FB0B1D"/>
    <w:rsid w:val="00FB0DFF"/>
    <w:rsid w:val="00FB0F3E"/>
    <w:rsid w:val="00FB0F79"/>
    <w:rsid w:val="00FB1461"/>
    <w:rsid w:val="00FB1915"/>
    <w:rsid w:val="00FB1EF5"/>
    <w:rsid w:val="00FB1F62"/>
    <w:rsid w:val="00FB21B1"/>
    <w:rsid w:val="00FB26CC"/>
    <w:rsid w:val="00FB33E1"/>
    <w:rsid w:val="00FB33F8"/>
    <w:rsid w:val="00FB3C7B"/>
    <w:rsid w:val="00FB4250"/>
    <w:rsid w:val="00FB438A"/>
    <w:rsid w:val="00FB4417"/>
    <w:rsid w:val="00FB4D17"/>
    <w:rsid w:val="00FB4DA5"/>
    <w:rsid w:val="00FB4F9A"/>
    <w:rsid w:val="00FB552A"/>
    <w:rsid w:val="00FB60FC"/>
    <w:rsid w:val="00FB7291"/>
    <w:rsid w:val="00FB74E8"/>
    <w:rsid w:val="00FB7C2A"/>
    <w:rsid w:val="00FC01ED"/>
    <w:rsid w:val="00FC0793"/>
    <w:rsid w:val="00FC07E9"/>
    <w:rsid w:val="00FC0966"/>
    <w:rsid w:val="00FC09E4"/>
    <w:rsid w:val="00FC0AB7"/>
    <w:rsid w:val="00FC0E2B"/>
    <w:rsid w:val="00FC1069"/>
    <w:rsid w:val="00FC138E"/>
    <w:rsid w:val="00FC170C"/>
    <w:rsid w:val="00FC1A15"/>
    <w:rsid w:val="00FC1BA8"/>
    <w:rsid w:val="00FC1BDE"/>
    <w:rsid w:val="00FC1EBE"/>
    <w:rsid w:val="00FC1F18"/>
    <w:rsid w:val="00FC22E1"/>
    <w:rsid w:val="00FC27B1"/>
    <w:rsid w:val="00FC29F7"/>
    <w:rsid w:val="00FC29F8"/>
    <w:rsid w:val="00FC2DA4"/>
    <w:rsid w:val="00FC2FFD"/>
    <w:rsid w:val="00FC360B"/>
    <w:rsid w:val="00FC3E56"/>
    <w:rsid w:val="00FC40F7"/>
    <w:rsid w:val="00FC4113"/>
    <w:rsid w:val="00FC47D2"/>
    <w:rsid w:val="00FC491D"/>
    <w:rsid w:val="00FC49FF"/>
    <w:rsid w:val="00FC4CCF"/>
    <w:rsid w:val="00FC4CD1"/>
    <w:rsid w:val="00FC4E8C"/>
    <w:rsid w:val="00FC502E"/>
    <w:rsid w:val="00FC508B"/>
    <w:rsid w:val="00FC5544"/>
    <w:rsid w:val="00FC58F7"/>
    <w:rsid w:val="00FC5DD1"/>
    <w:rsid w:val="00FC6022"/>
    <w:rsid w:val="00FC6181"/>
    <w:rsid w:val="00FC65A4"/>
    <w:rsid w:val="00FC6680"/>
    <w:rsid w:val="00FC66BF"/>
    <w:rsid w:val="00FC69DD"/>
    <w:rsid w:val="00FC6E86"/>
    <w:rsid w:val="00FC7086"/>
    <w:rsid w:val="00FC7188"/>
    <w:rsid w:val="00FC7369"/>
    <w:rsid w:val="00FC7483"/>
    <w:rsid w:val="00FC7E7D"/>
    <w:rsid w:val="00FD00ED"/>
    <w:rsid w:val="00FD0412"/>
    <w:rsid w:val="00FD0668"/>
    <w:rsid w:val="00FD06EA"/>
    <w:rsid w:val="00FD07F0"/>
    <w:rsid w:val="00FD0E17"/>
    <w:rsid w:val="00FD0F7A"/>
    <w:rsid w:val="00FD1018"/>
    <w:rsid w:val="00FD1163"/>
    <w:rsid w:val="00FD1784"/>
    <w:rsid w:val="00FD19BA"/>
    <w:rsid w:val="00FD1F1C"/>
    <w:rsid w:val="00FD1FB0"/>
    <w:rsid w:val="00FD1FE3"/>
    <w:rsid w:val="00FD2E2A"/>
    <w:rsid w:val="00FD37AC"/>
    <w:rsid w:val="00FD38F2"/>
    <w:rsid w:val="00FD3BCC"/>
    <w:rsid w:val="00FD43D5"/>
    <w:rsid w:val="00FD455C"/>
    <w:rsid w:val="00FD488D"/>
    <w:rsid w:val="00FD5916"/>
    <w:rsid w:val="00FD5C2B"/>
    <w:rsid w:val="00FD6255"/>
    <w:rsid w:val="00FD63DA"/>
    <w:rsid w:val="00FD6A81"/>
    <w:rsid w:val="00FD6DE4"/>
    <w:rsid w:val="00FD6F81"/>
    <w:rsid w:val="00FD6FF0"/>
    <w:rsid w:val="00FD72BC"/>
    <w:rsid w:val="00FD7645"/>
    <w:rsid w:val="00FD76EA"/>
    <w:rsid w:val="00FD780A"/>
    <w:rsid w:val="00FD7A3E"/>
    <w:rsid w:val="00FD7C3D"/>
    <w:rsid w:val="00FE0C1B"/>
    <w:rsid w:val="00FE0CAC"/>
    <w:rsid w:val="00FE1385"/>
    <w:rsid w:val="00FE1C57"/>
    <w:rsid w:val="00FE1D03"/>
    <w:rsid w:val="00FE22EA"/>
    <w:rsid w:val="00FE2461"/>
    <w:rsid w:val="00FE2D60"/>
    <w:rsid w:val="00FE34FB"/>
    <w:rsid w:val="00FE34FF"/>
    <w:rsid w:val="00FE3508"/>
    <w:rsid w:val="00FE3FB1"/>
    <w:rsid w:val="00FE4127"/>
    <w:rsid w:val="00FE45C1"/>
    <w:rsid w:val="00FE4711"/>
    <w:rsid w:val="00FE4B87"/>
    <w:rsid w:val="00FE4D7D"/>
    <w:rsid w:val="00FE4F31"/>
    <w:rsid w:val="00FE4F73"/>
    <w:rsid w:val="00FE4F8B"/>
    <w:rsid w:val="00FE4FB1"/>
    <w:rsid w:val="00FE5193"/>
    <w:rsid w:val="00FE52DE"/>
    <w:rsid w:val="00FE6725"/>
    <w:rsid w:val="00FE69CC"/>
    <w:rsid w:val="00FE6C67"/>
    <w:rsid w:val="00FE74E0"/>
    <w:rsid w:val="00FE7935"/>
    <w:rsid w:val="00FE7D65"/>
    <w:rsid w:val="00FF0197"/>
    <w:rsid w:val="00FF01F6"/>
    <w:rsid w:val="00FF022E"/>
    <w:rsid w:val="00FF03F0"/>
    <w:rsid w:val="00FF047F"/>
    <w:rsid w:val="00FF090F"/>
    <w:rsid w:val="00FF0B5A"/>
    <w:rsid w:val="00FF0BA8"/>
    <w:rsid w:val="00FF0F87"/>
    <w:rsid w:val="00FF118F"/>
    <w:rsid w:val="00FF1488"/>
    <w:rsid w:val="00FF20F1"/>
    <w:rsid w:val="00FF2808"/>
    <w:rsid w:val="00FF2930"/>
    <w:rsid w:val="00FF2A37"/>
    <w:rsid w:val="00FF2A3E"/>
    <w:rsid w:val="00FF3510"/>
    <w:rsid w:val="00FF359E"/>
    <w:rsid w:val="00FF3658"/>
    <w:rsid w:val="00FF37C2"/>
    <w:rsid w:val="00FF3C59"/>
    <w:rsid w:val="00FF40DF"/>
    <w:rsid w:val="00FF448A"/>
    <w:rsid w:val="00FF44C0"/>
    <w:rsid w:val="00FF491E"/>
    <w:rsid w:val="00FF5690"/>
    <w:rsid w:val="00FF581F"/>
    <w:rsid w:val="00FF5AA7"/>
    <w:rsid w:val="00FF6100"/>
    <w:rsid w:val="00FF64F4"/>
    <w:rsid w:val="00FF6A56"/>
    <w:rsid w:val="00FF6D26"/>
    <w:rsid w:val="00FF6D41"/>
    <w:rsid w:val="00FF6E19"/>
    <w:rsid w:val="00FF6FE3"/>
    <w:rsid w:val="00FF7527"/>
    <w:rsid w:val="00FF7642"/>
    <w:rsid w:val="00FF7799"/>
    <w:rsid w:val="00FF7A05"/>
    <w:rsid w:val="00FF7AF7"/>
    <w:rsid w:val="00FF7F16"/>
    <w:rsid w:val="00FF7F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A397DC3"/>
  <w14:defaultImageDpi w14:val="330"/>
  <w15:chartTrackingRefBased/>
  <w15:docId w15:val="{6F03C9CA-E1FC-4074-9C3F-D936DEDA6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5E09"/>
    <w:pPr>
      <w:spacing w:before="120" w:line="360" w:lineRule="auto"/>
      <w:ind w:firstLine="680"/>
    </w:pPr>
    <w:rPr>
      <w:rFonts w:ascii="Times New Roman" w:hAnsi="Times New Roman"/>
    </w:rPr>
  </w:style>
  <w:style w:type="paragraph" w:styleId="Heading1">
    <w:name w:val="heading 1"/>
    <w:basedOn w:val="Normal"/>
    <w:next w:val="Normal"/>
    <w:link w:val="Heading1Char"/>
    <w:uiPriority w:val="9"/>
    <w:qFormat/>
    <w:rsid w:val="005E295B"/>
    <w:pPr>
      <w:keepNext/>
      <w:keepLines/>
      <w:spacing w:before="240" w:after="240"/>
      <w:ind w:firstLine="0"/>
      <w:outlineLvl w:val="0"/>
    </w:pPr>
    <w:rPr>
      <w:rFonts w:eastAsiaTheme="minorHAnsi" w:cs="Times New Roman"/>
      <w:b/>
      <w:sz w:val="32"/>
      <w:szCs w:val="32"/>
      <w:lang w:eastAsia="en-US"/>
    </w:rPr>
  </w:style>
  <w:style w:type="paragraph" w:styleId="Heading2">
    <w:name w:val="heading 2"/>
    <w:basedOn w:val="Normal"/>
    <w:next w:val="Normal"/>
    <w:link w:val="Heading2Char"/>
    <w:uiPriority w:val="9"/>
    <w:unhideWhenUsed/>
    <w:qFormat/>
    <w:rsid w:val="005E295B"/>
    <w:pPr>
      <w:keepNext/>
      <w:keepLines/>
      <w:spacing w:before="240" w:after="240"/>
      <w:ind w:firstLine="0"/>
      <w:outlineLvl w:val="1"/>
    </w:pPr>
    <w:rPr>
      <w:rFonts w:eastAsiaTheme="minorHAnsi" w:cs="Times New Roman"/>
      <w:b/>
      <w:bCs/>
      <w:sz w:val="28"/>
      <w:szCs w:val="32"/>
      <w:lang w:eastAsia="en-US"/>
    </w:rPr>
  </w:style>
  <w:style w:type="paragraph" w:styleId="Heading3">
    <w:name w:val="heading 3"/>
    <w:basedOn w:val="Normal"/>
    <w:next w:val="Normal"/>
    <w:link w:val="Heading3Char"/>
    <w:uiPriority w:val="9"/>
    <w:unhideWhenUsed/>
    <w:qFormat/>
    <w:rsid w:val="005E295B"/>
    <w:pPr>
      <w:keepNext/>
      <w:keepLines/>
      <w:spacing w:before="240" w:after="240"/>
      <w:outlineLvl w:val="2"/>
    </w:pPr>
    <w:rPr>
      <w:rFonts w:eastAsiaTheme="minorHAnsi" w:cs="Times New Roman"/>
      <w:b/>
      <w:color w:val="000000"/>
      <w:lang w:eastAsia="en-US"/>
    </w:rPr>
  </w:style>
  <w:style w:type="paragraph" w:styleId="Heading4">
    <w:name w:val="heading 4"/>
    <w:basedOn w:val="Normal"/>
    <w:next w:val="Normal"/>
    <w:link w:val="Heading4Char"/>
    <w:uiPriority w:val="9"/>
    <w:unhideWhenUsed/>
    <w:qFormat/>
    <w:rsid w:val="00972EFA"/>
    <w:pPr>
      <w:keepNext/>
      <w:keepLines/>
      <w:spacing w:before="280" w:after="290" w:line="376" w:lineRule="auto"/>
      <w:outlineLvl w:val="3"/>
    </w:pPr>
    <w:rPr>
      <w:rFonts w:eastAsia="Times New Roman" w:cstheme="majorBidi"/>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06FE0"/>
    <w:pPr>
      <w:ind w:left="720"/>
      <w:contextualSpacing/>
    </w:pPr>
  </w:style>
  <w:style w:type="paragraph" w:styleId="FootnoteText">
    <w:name w:val="footnote text"/>
    <w:aliases w:val="Fußnotentext Char,Fußnotentext Char1 Char1,Fußnotentext Char Char Char Char,Fußnotentext Char1 Char Char Char,Fußnotentext Char Char,Fußnotentext Char1 Char Char Char Char,Fußnotentext Char Char Char Char Char Char,Fußnotentext Char1"/>
    <w:basedOn w:val="Normal"/>
    <w:link w:val="FootnoteTextChar"/>
    <w:uiPriority w:val="99"/>
    <w:unhideWhenUsed/>
    <w:qFormat/>
    <w:rsid w:val="002D0DFE"/>
    <w:rPr>
      <w:sz w:val="20"/>
      <w:szCs w:val="20"/>
    </w:rPr>
  </w:style>
  <w:style w:type="character" w:customStyle="1" w:styleId="FootnoteTextChar">
    <w:name w:val="Footnote Text Char"/>
    <w:aliases w:val="Fußnotentext Char Char1,Fußnotentext Char1 Char1 Char,Fußnotentext Char Char Char Char Char,Fußnotentext Char1 Char Char Char Char1,Fußnotentext Char Char Char,Fußnotentext Char1 Char Char Char Char Char,Fußnotentext Char1 Char"/>
    <w:basedOn w:val="DefaultParagraphFont"/>
    <w:link w:val="FootnoteText"/>
    <w:uiPriority w:val="99"/>
    <w:rsid w:val="002D0DFE"/>
    <w:rPr>
      <w:rFonts w:ascii="Times New Roman" w:hAnsi="Times New Roman"/>
      <w:sz w:val="20"/>
      <w:szCs w:val="20"/>
    </w:rPr>
  </w:style>
  <w:style w:type="character" w:styleId="FootnoteReference">
    <w:name w:val="footnote reference"/>
    <w:aliases w:val="number,Footnote reference number,Footnote symbol,note TESI,-E Fußnotenzeichen,SUPERS,Footnote number,Footnote Reference Superscript,Footnote reference superscritp,BVI fnr,stylish,Ref,de nota al pie,Footnote Refernece,callout,E,BVI fn"/>
    <w:basedOn w:val="DefaultParagraphFont"/>
    <w:uiPriority w:val="99"/>
    <w:unhideWhenUsed/>
    <w:rsid w:val="002D0DFE"/>
    <w:rPr>
      <w:vertAlign w:val="superscript"/>
    </w:rPr>
  </w:style>
  <w:style w:type="paragraph" w:customStyle="1" w:styleId="a">
    <w:name w:val="#正文"/>
    <w:basedOn w:val="Normal"/>
    <w:link w:val="Char"/>
    <w:qFormat/>
    <w:rsid w:val="00EE5909"/>
    <w:pPr>
      <w:widowControl w:val="0"/>
      <w:ind w:firstLineChars="250" w:firstLine="250"/>
      <w:jc w:val="both"/>
    </w:pPr>
    <w:rPr>
      <w:rFonts w:eastAsia="SimSun" w:cs="Times New Roman"/>
      <w:color w:val="000000"/>
      <w:szCs w:val="21"/>
    </w:rPr>
  </w:style>
  <w:style w:type="character" w:customStyle="1" w:styleId="Char">
    <w:name w:val="#正文 Char"/>
    <w:link w:val="a"/>
    <w:qFormat/>
    <w:rsid w:val="00EE5909"/>
    <w:rPr>
      <w:rFonts w:ascii="Times New Roman" w:eastAsia="SimSun" w:hAnsi="Times New Roman" w:cs="Times New Roman"/>
      <w:color w:val="000000"/>
      <w:szCs w:val="21"/>
    </w:rPr>
  </w:style>
  <w:style w:type="table" w:styleId="TableGrid">
    <w:name w:val="Table Grid"/>
    <w:basedOn w:val="TableNormal"/>
    <w:uiPriority w:val="39"/>
    <w:rsid w:val="00B165F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64F59"/>
    <w:pPr>
      <w:spacing w:line="240" w:lineRule="atLeast"/>
      <w:jc w:val="both"/>
    </w:pPr>
    <w:rPr>
      <w:rFonts w:ascii="Times New Roman" w:eastAsia="SimSun" w:hAnsi="Times New Roman"/>
      <w:lang w:eastAsia="en-US"/>
    </w:rPr>
  </w:style>
  <w:style w:type="character" w:styleId="CommentReference">
    <w:name w:val="annotation reference"/>
    <w:basedOn w:val="DefaultParagraphFont"/>
    <w:uiPriority w:val="99"/>
    <w:semiHidden/>
    <w:unhideWhenUsed/>
    <w:rsid w:val="00896280"/>
    <w:rPr>
      <w:sz w:val="16"/>
      <w:szCs w:val="16"/>
    </w:rPr>
  </w:style>
  <w:style w:type="paragraph" w:styleId="CommentText">
    <w:name w:val="annotation text"/>
    <w:basedOn w:val="Normal"/>
    <w:link w:val="CommentTextChar"/>
    <w:uiPriority w:val="99"/>
    <w:unhideWhenUsed/>
    <w:rsid w:val="00896280"/>
    <w:rPr>
      <w:sz w:val="20"/>
      <w:szCs w:val="20"/>
    </w:rPr>
  </w:style>
  <w:style w:type="character" w:customStyle="1" w:styleId="CommentTextChar">
    <w:name w:val="Comment Text Char"/>
    <w:basedOn w:val="DefaultParagraphFont"/>
    <w:link w:val="CommentText"/>
    <w:uiPriority w:val="99"/>
    <w:rsid w:val="00896280"/>
    <w:rPr>
      <w:sz w:val="20"/>
      <w:szCs w:val="20"/>
    </w:rPr>
  </w:style>
  <w:style w:type="paragraph" w:styleId="CommentSubject">
    <w:name w:val="annotation subject"/>
    <w:basedOn w:val="CommentText"/>
    <w:next w:val="CommentText"/>
    <w:link w:val="CommentSubjectChar"/>
    <w:uiPriority w:val="99"/>
    <w:semiHidden/>
    <w:unhideWhenUsed/>
    <w:rsid w:val="00896280"/>
    <w:rPr>
      <w:b/>
      <w:bCs/>
    </w:rPr>
  </w:style>
  <w:style w:type="character" w:customStyle="1" w:styleId="CommentSubjectChar">
    <w:name w:val="Comment Subject Char"/>
    <w:basedOn w:val="CommentTextChar"/>
    <w:link w:val="CommentSubject"/>
    <w:uiPriority w:val="99"/>
    <w:semiHidden/>
    <w:rsid w:val="00896280"/>
    <w:rPr>
      <w:b/>
      <w:bCs/>
      <w:sz w:val="20"/>
      <w:szCs w:val="20"/>
    </w:rPr>
  </w:style>
  <w:style w:type="table" w:customStyle="1" w:styleId="TableGrid1">
    <w:name w:val="Table Grid1"/>
    <w:basedOn w:val="TableNormal"/>
    <w:next w:val="TableGrid"/>
    <w:uiPriority w:val="39"/>
    <w:rsid w:val="008B7117"/>
    <w:rPr>
      <w:rFonts w:eastAsia="DengXi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F61DA"/>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1F61DA"/>
    <w:rPr>
      <w:sz w:val="18"/>
      <w:szCs w:val="18"/>
    </w:rPr>
  </w:style>
  <w:style w:type="paragraph" w:styleId="Footer">
    <w:name w:val="footer"/>
    <w:basedOn w:val="Normal"/>
    <w:link w:val="FooterChar"/>
    <w:uiPriority w:val="99"/>
    <w:unhideWhenUsed/>
    <w:rsid w:val="001F61DA"/>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1F61DA"/>
    <w:rPr>
      <w:sz w:val="18"/>
      <w:szCs w:val="18"/>
    </w:rPr>
  </w:style>
  <w:style w:type="paragraph" w:customStyle="1" w:styleId="MTDisplayEquation">
    <w:name w:val="MTDisplayEquation"/>
    <w:basedOn w:val="Normal"/>
    <w:next w:val="Normal"/>
    <w:link w:val="MTDisplayEquationChar"/>
    <w:rsid w:val="00972EFA"/>
    <w:pPr>
      <w:tabs>
        <w:tab w:val="center" w:pos="4680"/>
        <w:tab w:val="right" w:pos="9360"/>
      </w:tabs>
      <w:spacing w:after="160"/>
      <w:contextualSpacing/>
    </w:pPr>
    <w:rPr>
      <w:lang w:eastAsia="en-US"/>
    </w:rPr>
  </w:style>
  <w:style w:type="character" w:customStyle="1" w:styleId="MTDisplayEquationChar">
    <w:name w:val="MTDisplayEquation Char"/>
    <w:basedOn w:val="DefaultParagraphFont"/>
    <w:link w:val="MTDisplayEquation"/>
    <w:rsid w:val="00972EFA"/>
    <w:rPr>
      <w:rFonts w:ascii="Times New Roman" w:hAnsi="Times New Roman"/>
      <w:lang w:eastAsia="en-US"/>
    </w:rPr>
  </w:style>
  <w:style w:type="character" w:customStyle="1" w:styleId="Heading1Char">
    <w:name w:val="Heading 1 Char"/>
    <w:basedOn w:val="DefaultParagraphFont"/>
    <w:link w:val="Heading1"/>
    <w:uiPriority w:val="9"/>
    <w:rsid w:val="005E295B"/>
    <w:rPr>
      <w:rFonts w:ascii="Times New Roman" w:eastAsiaTheme="minorHAnsi" w:hAnsi="Times New Roman" w:cs="Times New Roman"/>
      <w:b/>
      <w:sz w:val="32"/>
      <w:szCs w:val="32"/>
      <w:lang w:eastAsia="en-US"/>
    </w:rPr>
  </w:style>
  <w:style w:type="character" w:customStyle="1" w:styleId="Heading2Char">
    <w:name w:val="Heading 2 Char"/>
    <w:basedOn w:val="DefaultParagraphFont"/>
    <w:link w:val="Heading2"/>
    <w:uiPriority w:val="9"/>
    <w:rsid w:val="005E295B"/>
    <w:rPr>
      <w:rFonts w:ascii="Times New Roman" w:eastAsiaTheme="minorHAnsi" w:hAnsi="Times New Roman" w:cs="Times New Roman"/>
      <w:b/>
      <w:bCs/>
      <w:sz w:val="28"/>
      <w:szCs w:val="32"/>
      <w:lang w:eastAsia="en-US"/>
    </w:rPr>
  </w:style>
  <w:style w:type="character" w:customStyle="1" w:styleId="Heading3Char">
    <w:name w:val="Heading 3 Char"/>
    <w:basedOn w:val="DefaultParagraphFont"/>
    <w:link w:val="Heading3"/>
    <w:uiPriority w:val="9"/>
    <w:rsid w:val="005E295B"/>
    <w:rPr>
      <w:rFonts w:ascii="Times New Roman" w:eastAsiaTheme="minorHAnsi" w:hAnsi="Times New Roman" w:cs="Times New Roman"/>
      <w:b/>
      <w:color w:val="000000"/>
      <w:lang w:eastAsia="en-US"/>
    </w:rPr>
  </w:style>
  <w:style w:type="character" w:customStyle="1" w:styleId="Heading4Char">
    <w:name w:val="Heading 4 Char"/>
    <w:basedOn w:val="DefaultParagraphFont"/>
    <w:link w:val="Heading4"/>
    <w:uiPriority w:val="9"/>
    <w:rsid w:val="00972EFA"/>
    <w:rPr>
      <w:rFonts w:ascii="Times New Roman" w:eastAsia="Times New Roman" w:hAnsi="Times New Roman" w:cstheme="majorBidi"/>
      <w:b/>
      <w:bCs/>
      <w:szCs w:val="28"/>
    </w:rPr>
  </w:style>
  <w:style w:type="paragraph" w:customStyle="1" w:styleId="Heading11">
    <w:name w:val="Heading 11"/>
    <w:basedOn w:val="Normal"/>
    <w:next w:val="Normal"/>
    <w:uiPriority w:val="9"/>
    <w:qFormat/>
    <w:rsid w:val="00972EFA"/>
    <w:pPr>
      <w:keepNext/>
      <w:keepLines/>
      <w:widowControl w:val="0"/>
      <w:spacing w:before="240" w:line="259" w:lineRule="auto"/>
      <w:jc w:val="both"/>
      <w:outlineLvl w:val="0"/>
    </w:pPr>
    <w:rPr>
      <w:rFonts w:eastAsia="SimSun" w:cs="Times New Roman"/>
      <w:sz w:val="32"/>
      <w:szCs w:val="32"/>
    </w:rPr>
  </w:style>
  <w:style w:type="paragraph" w:customStyle="1" w:styleId="Heading21">
    <w:name w:val="Heading 21"/>
    <w:basedOn w:val="Normal"/>
    <w:next w:val="Normal"/>
    <w:uiPriority w:val="9"/>
    <w:unhideWhenUsed/>
    <w:qFormat/>
    <w:rsid w:val="00972EFA"/>
    <w:pPr>
      <w:keepNext/>
      <w:keepLines/>
      <w:widowControl w:val="0"/>
      <w:spacing w:before="260" w:after="260" w:line="416" w:lineRule="auto"/>
      <w:jc w:val="both"/>
      <w:outlineLvl w:val="1"/>
    </w:pPr>
    <w:rPr>
      <w:rFonts w:eastAsia="SimSun" w:cs="Times New Roman"/>
      <w:b/>
      <w:bCs/>
      <w:szCs w:val="32"/>
    </w:rPr>
  </w:style>
  <w:style w:type="paragraph" w:customStyle="1" w:styleId="Heading31">
    <w:name w:val="Heading 31"/>
    <w:basedOn w:val="Normal"/>
    <w:next w:val="Normal"/>
    <w:uiPriority w:val="9"/>
    <w:unhideWhenUsed/>
    <w:qFormat/>
    <w:rsid w:val="00972EFA"/>
    <w:pPr>
      <w:keepNext/>
      <w:keepLines/>
      <w:widowControl w:val="0"/>
      <w:spacing w:before="40" w:line="259" w:lineRule="auto"/>
      <w:jc w:val="both"/>
      <w:outlineLvl w:val="2"/>
    </w:pPr>
    <w:rPr>
      <w:rFonts w:eastAsia="SimSun" w:cs="Times New Roman"/>
      <w:b/>
      <w:color w:val="000000"/>
      <w:sz w:val="22"/>
    </w:rPr>
  </w:style>
  <w:style w:type="numbering" w:customStyle="1" w:styleId="NoList1">
    <w:name w:val="No List1"/>
    <w:next w:val="NoList"/>
    <w:uiPriority w:val="99"/>
    <w:semiHidden/>
    <w:unhideWhenUsed/>
    <w:rsid w:val="00972EFA"/>
  </w:style>
  <w:style w:type="character" w:styleId="PlaceholderText">
    <w:name w:val="Placeholder Text"/>
    <w:basedOn w:val="DefaultParagraphFont"/>
    <w:uiPriority w:val="99"/>
    <w:semiHidden/>
    <w:rsid w:val="00972EFA"/>
    <w:rPr>
      <w:color w:val="808080"/>
    </w:rPr>
  </w:style>
  <w:style w:type="paragraph" w:customStyle="1" w:styleId="Subtitle1">
    <w:name w:val="Subtitle1"/>
    <w:basedOn w:val="Normal"/>
    <w:next w:val="Normal"/>
    <w:uiPriority w:val="11"/>
    <w:qFormat/>
    <w:rsid w:val="00972EFA"/>
    <w:pPr>
      <w:numPr>
        <w:ilvl w:val="1"/>
      </w:numPr>
      <w:spacing w:after="160"/>
      <w:ind w:firstLine="680"/>
    </w:pPr>
    <w:rPr>
      <w:color w:val="5A5A5A"/>
      <w:spacing w:val="15"/>
      <w:sz w:val="22"/>
      <w:szCs w:val="22"/>
    </w:rPr>
  </w:style>
  <w:style w:type="character" w:customStyle="1" w:styleId="SubtitleChar">
    <w:name w:val="Subtitle Char"/>
    <w:basedOn w:val="DefaultParagraphFont"/>
    <w:link w:val="Subtitle"/>
    <w:uiPriority w:val="11"/>
    <w:rsid w:val="00972EFA"/>
    <w:rPr>
      <w:rFonts w:eastAsia="DengXian"/>
      <w:color w:val="5A5A5A"/>
      <w:spacing w:val="15"/>
    </w:rPr>
  </w:style>
  <w:style w:type="table" w:customStyle="1" w:styleId="ListTable7Colorful-Accent31">
    <w:name w:val="List Table 7 Colorful - Accent 31"/>
    <w:basedOn w:val="TableNormal"/>
    <w:next w:val="ListTable7Colorful-Accent3"/>
    <w:uiPriority w:val="52"/>
    <w:rsid w:val="00972EFA"/>
    <w:rPr>
      <w:rFonts w:eastAsia="SimSun"/>
      <w:color w:val="7B7B7B"/>
      <w:sz w:val="22"/>
      <w:szCs w:val="22"/>
    </w:rPr>
    <w:tblPr>
      <w:tblStyleRowBandSize w:val="1"/>
      <w:tblStyleColBandSize w:val="1"/>
    </w:tblPr>
    <w:tblStylePr w:type="firstRow">
      <w:rPr>
        <w:rFonts w:ascii="DengXian Light" w:eastAsia="DengXian Light" w:hAnsi="DengXian Light" w:cs="Times New Roman"/>
        <w:i/>
        <w:iCs/>
        <w:sz w:val="26"/>
      </w:rPr>
      <w:tblPr/>
      <w:tcPr>
        <w:tcBorders>
          <w:bottom w:val="single" w:sz="4" w:space="0" w:color="A5A5A5"/>
        </w:tcBorders>
        <w:shd w:val="clear" w:color="auto" w:fill="FFFFFF"/>
      </w:tcPr>
    </w:tblStylePr>
    <w:tblStylePr w:type="lastRow">
      <w:rPr>
        <w:rFonts w:ascii="DengXian Light" w:eastAsia="DengXian Light" w:hAnsi="DengXian Light" w:cs="Times New Roman"/>
        <w:i/>
        <w:iCs/>
        <w:sz w:val="26"/>
      </w:rPr>
      <w:tblPr/>
      <w:tcPr>
        <w:tcBorders>
          <w:top w:val="single" w:sz="4" w:space="0" w:color="A5A5A5"/>
        </w:tcBorders>
        <w:shd w:val="clear" w:color="auto" w:fill="FFFFFF"/>
      </w:tcPr>
    </w:tblStylePr>
    <w:tblStylePr w:type="firstCol">
      <w:pPr>
        <w:jc w:val="right"/>
      </w:pPr>
      <w:rPr>
        <w:rFonts w:ascii="DengXian Light" w:eastAsia="DengXian Light" w:hAnsi="DengXian Light" w:cs="Times New Roman"/>
        <w:i/>
        <w:iCs/>
        <w:sz w:val="26"/>
      </w:rPr>
      <w:tblPr/>
      <w:tcPr>
        <w:tcBorders>
          <w:right w:val="single" w:sz="4" w:space="0" w:color="A5A5A5"/>
        </w:tcBorders>
        <w:shd w:val="clear" w:color="auto" w:fill="FFFFFF"/>
      </w:tcPr>
    </w:tblStylePr>
    <w:tblStylePr w:type="lastCol">
      <w:rPr>
        <w:rFonts w:ascii="DengXian Light" w:eastAsia="DengXian Light" w:hAnsi="DengXian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aption1">
    <w:name w:val="Caption1"/>
    <w:basedOn w:val="Normal"/>
    <w:next w:val="Normal"/>
    <w:uiPriority w:val="35"/>
    <w:unhideWhenUsed/>
    <w:qFormat/>
    <w:rsid w:val="00972EFA"/>
    <w:pPr>
      <w:spacing w:after="200"/>
    </w:pPr>
    <w:rPr>
      <w:i/>
      <w:iCs/>
      <w:color w:val="44546A"/>
      <w:sz w:val="18"/>
      <w:szCs w:val="18"/>
    </w:rPr>
  </w:style>
  <w:style w:type="paragraph" w:customStyle="1" w:styleId="a0">
    <w:name w:val="表格"/>
    <w:basedOn w:val="Normal"/>
    <w:link w:val="a1"/>
    <w:qFormat/>
    <w:rsid w:val="00AA0DD8"/>
    <w:pPr>
      <w:widowControl w:val="0"/>
      <w:tabs>
        <w:tab w:val="center" w:pos="5280"/>
        <w:tab w:val="right" w:pos="10368"/>
      </w:tabs>
      <w:adjustRightInd w:val="0"/>
      <w:snapToGrid w:val="0"/>
      <w:jc w:val="center"/>
    </w:pPr>
    <w:rPr>
      <w:rFonts w:eastAsia="SimSun" w:cs="Times New Roman"/>
      <w:bCs/>
      <w:szCs w:val="18"/>
    </w:rPr>
  </w:style>
  <w:style w:type="character" w:customStyle="1" w:styleId="a1">
    <w:name w:val="表格 字符"/>
    <w:basedOn w:val="DefaultParagraphFont"/>
    <w:link w:val="a0"/>
    <w:rsid w:val="00AA0DD8"/>
    <w:rPr>
      <w:rFonts w:ascii="Times New Roman" w:eastAsia="SimSun" w:hAnsi="Times New Roman" w:cs="Times New Roman"/>
      <w:bCs/>
      <w:szCs w:val="18"/>
    </w:rPr>
  </w:style>
  <w:style w:type="character" w:styleId="Emphasis">
    <w:name w:val="Emphasis"/>
    <w:basedOn w:val="DefaultParagraphFont"/>
    <w:uiPriority w:val="20"/>
    <w:qFormat/>
    <w:rsid w:val="00972EFA"/>
    <w:rPr>
      <w:i/>
      <w:iCs/>
    </w:rPr>
  </w:style>
  <w:style w:type="character" w:customStyle="1" w:styleId="2">
    <w:name w:val="正文文本 (2)_"/>
    <w:basedOn w:val="DefaultParagraphFont"/>
    <w:link w:val="21"/>
    <w:rsid w:val="00972EFA"/>
    <w:rPr>
      <w:rFonts w:ascii="Times New Roman" w:eastAsia="Times New Roman" w:hAnsi="Times New Roman" w:cs="Times New Roman"/>
      <w:shd w:val="clear" w:color="auto" w:fill="FFFFFF"/>
    </w:rPr>
  </w:style>
  <w:style w:type="paragraph" w:customStyle="1" w:styleId="21">
    <w:name w:val="正文文本 (2)1"/>
    <w:basedOn w:val="Normal"/>
    <w:link w:val="2"/>
    <w:rsid w:val="00972EFA"/>
    <w:pPr>
      <w:widowControl w:val="0"/>
      <w:shd w:val="clear" w:color="auto" w:fill="FFFFFF"/>
      <w:spacing w:before="240" w:line="288" w:lineRule="exact"/>
      <w:jc w:val="both"/>
    </w:pPr>
    <w:rPr>
      <w:rFonts w:eastAsia="Times New Roman" w:cs="Times New Roman"/>
    </w:rPr>
  </w:style>
  <w:style w:type="paragraph" w:customStyle="1" w:styleId="TOCHeading1">
    <w:name w:val="TOC Heading1"/>
    <w:basedOn w:val="Heading1"/>
    <w:next w:val="Normal"/>
    <w:uiPriority w:val="39"/>
    <w:unhideWhenUsed/>
    <w:qFormat/>
    <w:rsid w:val="00972EFA"/>
  </w:style>
  <w:style w:type="paragraph" w:customStyle="1" w:styleId="TOC11">
    <w:name w:val="TOC 11"/>
    <w:basedOn w:val="Normal"/>
    <w:next w:val="Normal"/>
    <w:autoRedefine/>
    <w:uiPriority w:val="39"/>
    <w:unhideWhenUsed/>
    <w:rsid w:val="00972EFA"/>
    <w:rPr>
      <w:rFonts w:cs="DengXian"/>
      <w:b/>
      <w:bCs/>
      <w:i/>
      <w:iCs/>
    </w:rPr>
  </w:style>
  <w:style w:type="paragraph" w:customStyle="1" w:styleId="TOC21">
    <w:name w:val="TOC 21"/>
    <w:basedOn w:val="Normal"/>
    <w:next w:val="Normal"/>
    <w:autoRedefine/>
    <w:uiPriority w:val="39"/>
    <w:unhideWhenUsed/>
    <w:rsid w:val="00972EFA"/>
    <w:pPr>
      <w:ind w:left="240"/>
    </w:pPr>
    <w:rPr>
      <w:rFonts w:cs="DengXian"/>
      <w:b/>
      <w:bCs/>
      <w:sz w:val="22"/>
      <w:szCs w:val="22"/>
    </w:rPr>
  </w:style>
  <w:style w:type="paragraph" w:customStyle="1" w:styleId="TOC31">
    <w:name w:val="TOC 31"/>
    <w:basedOn w:val="Normal"/>
    <w:next w:val="Normal"/>
    <w:autoRedefine/>
    <w:uiPriority w:val="39"/>
    <w:unhideWhenUsed/>
    <w:rsid w:val="00972EFA"/>
    <w:pPr>
      <w:ind w:left="480"/>
    </w:pPr>
    <w:rPr>
      <w:rFonts w:cs="DengXian"/>
      <w:sz w:val="20"/>
      <w:szCs w:val="20"/>
    </w:rPr>
  </w:style>
  <w:style w:type="paragraph" w:customStyle="1" w:styleId="TOC41">
    <w:name w:val="TOC 41"/>
    <w:basedOn w:val="Normal"/>
    <w:next w:val="Normal"/>
    <w:autoRedefine/>
    <w:uiPriority w:val="39"/>
    <w:semiHidden/>
    <w:unhideWhenUsed/>
    <w:rsid w:val="00972EFA"/>
    <w:pPr>
      <w:ind w:left="720"/>
    </w:pPr>
    <w:rPr>
      <w:rFonts w:cs="DengXian"/>
      <w:sz w:val="20"/>
      <w:szCs w:val="20"/>
    </w:rPr>
  </w:style>
  <w:style w:type="paragraph" w:customStyle="1" w:styleId="TOC51">
    <w:name w:val="TOC 51"/>
    <w:basedOn w:val="Normal"/>
    <w:next w:val="Normal"/>
    <w:autoRedefine/>
    <w:uiPriority w:val="39"/>
    <w:semiHidden/>
    <w:unhideWhenUsed/>
    <w:rsid w:val="00972EFA"/>
    <w:pPr>
      <w:ind w:left="960"/>
    </w:pPr>
    <w:rPr>
      <w:rFonts w:cs="DengXian"/>
      <w:sz w:val="20"/>
      <w:szCs w:val="20"/>
    </w:rPr>
  </w:style>
  <w:style w:type="paragraph" w:customStyle="1" w:styleId="TOC61">
    <w:name w:val="TOC 61"/>
    <w:basedOn w:val="Normal"/>
    <w:next w:val="Normal"/>
    <w:autoRedefine/>
    <w:uiPriority w:val="39"/>
    <w:semiHidden/>
    <w:unhideWhenUsed/>
    <w:rsid w:val="00972EFA"/>
    <w:pPr>
      <w:ind w:left="1200"/>
    </w:pPr>
    <w:rPr>
      <w:rFonts w:cs="DengXian"/>
      <w:sz w:val="20"/>
      <w:szCs w:val="20"/>
    </w:rPr>
  </w:style>
  <w:style w:type="paragraph" w:customStyle="1" w:styleId="TOC71">
    <w:name w:val="TOC 71"/>
    <w:basedOn w:val="Normal"/>
    <w:next w:val="Normal"/>
    <w:autoRedefine/>
    <w:uiPriority w:val="39"/>
    <w:semiHidden/>
    <w:unhideWhenUsed/>
    <w:rsid w:val="00972EFA"/>
    <w:pPr>
      <w:ind w:left="1440"/>
    </w:pPr>
    <w:rPr>
      <w:rFonts w:cs="DengXian"/>
      <w:sz w:val="20"/>
      <w:szCs w:val="20"/>
    </w:rPr>
  </w:style>
  <w:style w:type="paragraph" w:customStyle="1" w:styleId="TOC81">
    <w:name w:val="TOC 81"/>
    <w:basedOn w:val="Normal"/>
    <w:next w:val="Normal"/>
    <w:autoRedefine/>
    <w:uiPriority w:val="39"/>
    <w:semiHidden/>
    <w:unhideWhenUsed/>
    <w:rsid w:val="00972EFA"/>
    <w:pPr>
      <w:ind w:left="1680"/>
    </w:pPr>
    <w:rPr>
      <w:rFonts w:cs="DengXian"/>
      <w:sz w:val="20"/>
      <w:szCs w:val="20"/>
    </w:rPr>
  </w:style>
  <w:style w:type="paragraph" w:customStyle="1" w:styleId="TOC91">
    <w:name w:val="TOC 91"/>
    <w:basedOn w:val="Normal"/>
    <w:next w:val="Normal"/>
    <w:autoRedefine/>
    <w:uiPriority w:val="39"/>
    <w:semiHidden/>
    <w:unhideWhenUsed/>
    <w:rsid w:val="00972EFA"/>
    <w:pPr>
      <w:ind w:left="1920"/>
    </w:pPr>
    <w:rPr>
      <w:rFonts w:cs="DengXian"/>
      <w:sz w:val="20"/>
      <w:szCs w:val="20"/>
    </w:rPr>
  </w:style>
  <w:style w:type="paragraph" w:styleId="NormalWeb">
    <w:name w:val="Normal (Web)"/>
    <w:basedOn w:val="Normal"/>
    <w:uiPriority w:val="99"/>
    <w:semiHidden/>
    <w:unhideWhenUsed/>
    <w:rsid w:val="00972EFA"/>
    <w:pPr>
      <w:spacing w:before="100" w:beforeAutospacing="1" w:after="100" w:afterAutospacing="1"/>
    </w:pPr>
    <w:rPr>
      <w:rFonts w:eastAsia="Times New Roman" w:cs="Times New Roman"/>
      <w:lang w:eastAsia="en-US"/>
    </w:rPr>
  </w:style>
  <w:style w:type="paragraph" w:customStyle="1" w:styleId="xmsonormal">
    <w:name w:val="x_msonormal"/>
    <w:basedOn w:val="Normal"/>
    <w:rsid w:val="00972EFA"/>
    <w:pPr>
      <w:spacing w:before="100" w:beforeAutospacing="1" w:after="100" w:afterAutospacing="1"/>
    </w:pPr>
    <w:rPr>
      <w:rFonts w:eastAsia="Times New Roman" w:cs="Times New Roman"/>
      <w:lang w:eastAsia="en-US"/>
    </w:rPr>
  </w:style>
  <w:style w:type="paragraph" w:customStyle="1" w:styleId="Revision1">
    <w:name w:val="Revision1"/>
    <w:next w:val="Revision"/>
    <w:hidden/>
    <w:uiPriority w:val="99"/>
    <w:semiHidden/>
    <w:rsid w:val="00972EFA"/>
    <w:rPr>
      <w:rFonts w:eastAsia="DengXian"/>
    </w:rPr>
  </w:style>
  <w:style w:type="paragraph" w:customStyle="1" w:styleId="Tableheading">
    <w:name w:val="Table heading"/>
    <w:basedOn w:val="Caption"/>
    <w:qFormat/>
    <w:rsid w:val="00972EFA"/>
    <w:pPr>
      <w:jc w:val="center"/>
    </w:pPr>
    <w:rPr>
      <w:rFonts w:eastAsia="Times New Roman" w:cs="Times New Roman"/>
      <w:i w:val="0"/>
      <w:iCs w:val="0"/>
      <w:color w:val="000000"/>
      <w:sz w:val="24"/>
      <w:szCs w:val="24"/>
    </w:rPr>
  </w:style>
  <w:style w:type="paragraph" w:customStyle="1" w:styleId="Figureheading">
    <w:name w:val="Figure heading"/>
    <w:basedOn w:val="Normal"/>
    <w:qFormat/>
    <w:rsid w:val="00972EFA"/>
    <w:pPr>
      <w:spacing w:after="160"/>
      <w:contextualSpacing/>
      <w:jc w:val="center"/>
    </w:pPr>
    <w:rPr>
      <w:rFonts w:eastAsia="DengXian" w:cs="Times New Roman"/>
      <w:noProof/>
      <w:lang w:eastAsia="en-US"/>
    </w:rPr>
  </w:style>
  <w:style w:type="paragraph" w:customStyle="1" w:styleId="BalloonText1">
    <w:name w:val="Balloon Text1"/>
    <w:basedOn w:val="Normal"/>
    <w:next w:val="BalloonText"/>
    <w:link w:val="BalloonTextChar"/>
    <w:uiPriority w:val="99"/>
    <w:semiHidden/>
    <w:unhideWhenUsed/>
    <w:rsid w:val="00972EFA"/>
    <w:rPr>
      <w:rFonts w:ascii="Segoe UI" w:eastAsia="DengXian" w:hAnsi="Segoe UI" w:cs="Segoe UI"/>
      <w:sz w:val="18"/>
      <w:szCs w:val="18"/>
      <w:lang w:eastAsia="en-US"/>
    </w:rPr>
  </w:style>
  <w:style w:type="character" w:customStyle="1" w:styleId="BalloonTextChar">
    <w:name w:val="Balloon Text Char"/>
    <w:basedOn w:val="DefaultParagraphFont"/>
    <w:link w:val="BalloonText1"/>
    <w:uiPriority w:val="99"/>
    <w:semiHidden/>
    <w:rsid w:val="00972EFA"/>
    <w:rPr>
      <w:rFonts w:ascii="Segoe UI" w:eastAsia="DengXian" w:hAnsi="Segoe UI" w:cs="Segoe UI"/>
      <w:sz w:val="18"/>
      <w:szCs w:val="18"/>
      <w:lang w:eastAsia="en-US"/>
    </w:rPr>
  </w:style>
  <w:style w:type="character" w:customStyle="1" w:styleId="st">
    <w:name w:val="st"/>
    <w:basedOn w:val="DefaultParagraphFont"/>
    <w:rsid w:val="00972EFA"/>
  </w:style>
  <w:style w:type="character" w:styleId="PageNumber">
    <w:name w:val="page number"/>
    <w:basedOn w:val="DefaultParagraphFont"/>
    <w:uiPriority w:val="99"/>
    <w:semiHidden/>
    <w:unhideWhenUsed/>
    <w:rsid w:val="00972EFA"/>
  </w:style>
  <w:style w:type="character" w:customStyle="1" w:styleId="MTConvertedEquation">
    <w:name w:val="MTConvertedEquation"/>
    <w:basedOn w:val="DefaultParagraphFont"/>
    <w:rsid w:val="00972EFA"/>
    <w:rPr>
      <w:rFonts w:ascii="Cambria Math" w:eastAsia="DengXian" w:hAnsi="Cambria Math" w:cs="Times New Roman"/>
    </w:rPr>
  </w:style>
  <w:style w:type="character" w:customStyle="1" w:styleId="Hyperlink1">
    <w:name w:val="Hyperlink1"/>
    <w:basedOn w:val="DefaultParagraphFont"/>
    <w:uiPriority w:val="99"/>
    <w:unhideWhenUsed/>
    <w:rsid w:val="00972EFA"/>
    <w:rPr>
      <w:color w:val="0563C1"/>
      <w:u w:val="single"/>
    </w:rPr>
  </w:style>
  <w:style w:type="paragraph" w:styleId="BodyText">
    <w:name w:val="Body Text"/>
    <w:basedOn w:val="Normal"/>
    <w:link w:val="BodyTextChar"/>
    <w:uiPriority w:val="1"/>
    <w:qFormat/>
    <w:rsid w:val="00972EFA"/>
    <w:pPr>
      <w:widowControl w:val="0"/>
      <w:autoSpaceDE w:val="0"/>
      <w:autoSpaceDN w:val="0"/>
    </w:pPr>
    <w:rPr>
      <w:rFonts w:eastAsia="Times New Roman" w:cs="Times New Roman"/>
      <w:lang w:eastAsia="en-US"/>
    </w:rPr>
  </w:style>
  <w:style w:type="character" w:customStyle="1" w:styleId="BodyTextChar">
    <w:name w:val="Body Text Char"/>
    <w:basedOn w:val="DefaultParagraphFont"/>
    <w:link w:val="BodyText"/>
    <w:uiPriority w:val="1"/>
    <w:rsid w:val="00972EFA"/>
    <w:rPr>
      <w:rFonts w:ascii="Times New Roman" w:eastAsia="Times New Roman" w:hAnsi="Times New Roman" w:cs="Times New Roman"/>
      <w:lang w:eastAsia="en-US"/>
    </w:rPr>
  </w:style>
  <w:style w:type="character" w:customStyle="1" w:styleId="FollowedHyperlink1">
    <w:name w:val="FollowedHyperlink1"/>
    <w:basedOn w:val="DefaultParagraphFont"/>
    <w:uiPriority w:val="99"/>
    <w:semiHidden/>
    <w:unhideWhenUsed/>
    <w:rsid w:val="00972EFA"/>
    <w:rPr>
      <w:color w:val="954F72"/>
      <w:u w:val="single"/>
    </w:rPr>
  </w:style>
  <w:style w:type="character" w:customStyle="1" w:styleId="UnresolvedMention1">
    <w:name w:val="Unresolved Mention1"/>
    <w:basedOn w:val="DefaultParagraphFont"/>
    <w:uiPriority w:val="99"/>
    <w:semiHidden/>
    <w:unhideWhenUsed/>
    <w:rsid w:val="00972EFA"/>
    <w:rPr>
      <w:color w:val="605E5C"/>
      <w:shd w:val="clear" w:color="auto" w:fill="E1DFDD"/>
    </w:rPr>
  </w:style>
  <w:style w:type="paragraph" w:customStyle="1" w:styleId="Style1">
    <w:name w:val="Style1"/>
    <w:basedOn w:val="Footer"/>
    <w:qFormat/>
    <w:rsid w:val="00972EFA"/>
    <w:pPr>
      <w:tabs>
        <w:tab w:val="clear" w:pos="4153"/>
        <w:tab w:val="clear" w:pos="8306"/>
        <w:tab w:val="center" w:pos="4680"/>
        <w:tab w:val="right" w:pos="9360"/>
      </w:tabs>
      <w:snapToGrid/>
      <w:jc w:val="center"/>
    </w:pPr>
    <w:rPr>
      <w:rFonts w:ascii="Times" w:hAnsi="Times"/>
      <w:noProof/>
      <w:sz w:val="24"/>
      <w:szCs w:val="24"/>
    </w:rPr>
  </w:style>
  <w:style w:type="paragraph" w:customStyle="1" w:styleId="Default">
    <w:name w:val="Default"/>
    <w:rsid w:val="00972EFA"/>
    <w:pPr>
      <w:autoSpaceDE w:val="0"/>
      <w:autoSpaceDN w:val="0"/>
      <w:adjustRightInd w:val="0"/>
    </w:pPr>
    <w:rPr>
      <w:rFonts w:ascii="Times New Roman" w:eastAsia="SimSun" w:hAnsi="Times New Roman" w:cs="Times New Roman"/>
      <w:color w:val="000000"/>
    </w:rPr>
  </w:style>
  <w:style w:type="paragraph" w:styleId="Bibliography">
    <w:name w:val="Bibliography"/>
    <w:basedOn w:val="Normal"/>
    <w:next w:val="Normal"/>
    <w:uiPriority w:val="37"/>
    <w:unhideWhenUsed/>
    <w:rsid w:val="00972EFA"/>
    <w:pPr>
      <w:widowControl w:val="0"/>
      <w:spacing w:line="480" w:lineRule="auto"/>
      <w:ind w:left="720" w:hanging="720"/>
      <w:jc w:val="both"/>
    </w:pPr>
    <w:rPr>
      <w:rFonts w:eastAsia="SimSun"/>
      <w:szCs w:val="22"/>
    </w:rPr>
  </w:style>
  <w:style w:type="character" w:customStyle="1" w:styleId="Heading2Char1">
    <w:name w:val="Heading 2 Char1"/>
    <w:basedOn w:val="DefaultParagraphFont"/>
    <w:uiPriority w:val="9"/>
    <w:semiHidden/>
    <w:rsid w:val="00972EFA"/>
    <w:rPr>
      <w:rFonts w:asciiTheme="majorHAnsi" w:eastAsiaTheme="majorEastAsia" w:hAnsiTheme="majorHAnsi" w:cstheme="majorBidi"/>
      <w:color w:val="2F5496" w:themeColor="accent1" w:themeShade="BF"/>
      <w:sz w:val="26"/>
      <w:szCs w:val="26"/>
      <w:lang w:eastAsia="zh-CN"/>
    </w:rPr>
  </w:style>
  <w:style w:type="character" w:customStyle="1" w:styleId="Heading1Char1">
    <w:name w:val="Heading 1 Char1"/>
    <w:basedOn w:val="DefaultParagraphFont"/>
    <w:uiPriority w:val="9"/>
    <w:rsid w:val="00972EFA"/>
    <w:rPr>
      <w:rFonts w:asciiTheme="majorHAnsi" w:eastAsiaTheme="majorEastAsia" w:hAnsiTheme="majorHAnsi" w:cstheme="majorBidi"/>
      <w:color w:val="2F5496" w:themeColor="accent1" w:themeShade="BF"/>
      <w:sz w:val="32"/>
      <w:szCs w:val="32"/>
      <w:lang w:eastAsia="zh-CN"/>
    </w:rPr>
  </w:style>
  <w:style w:type="character" w:customStyle="1" w:styleId="Heading3Char1">
    <w:name w:val="Heading 3 Char1"/>
    <w:basedOn w:val="DefaultParagraphFont"/>
    <w:uiPriority w:val="9"/>
    <w:semiHidden/>
    <w:rsid w:val="00972EFA"/>
    <w:rPr>
      <w:rFonts w:asciiTheme="majorHAnsi" w:eastAsiaTheme="majorEastAsia" w:hAnsiTheme="majorHAnsi" w:cstheme="majorBidi"/>
      <w:color w:val="1F3763" w:themeColor="accent1" w:themeShade="7F"/>
      <w:lang w:eastAsia="zh-CN"/>
    </w:rPr>
  </w:style>
  <w:style w:type="paragraph" w:styleId="Subtitle">
    <w:name w:val="Subtitle"/>
    <w:basedOn w:val="Normal"/>
    <w:next w:val="Normal"/>
    <w:link w:val="SubtitleChar"/>
    <w:uiPriority w:val="11"/>
    <w:qFormat/>
    <w:rsid w:val="00972EFA"/>
    <w:pPr>
      <w:numPr>
        <w:ilvl w:val="1"/>
      </w:numPr>
      <w:spacing w:after="160"/>
      <w:ind w:firstLine="680"/>
    </w:pPr>
    <w:rPr>
      <w:rFonts w:eastAsia="DengXian"/>
      <w:color w:val="5A5A5A"/>
      <w:spacing w:val="15"/>
    </w:rPr>
  </w:style>
  <w:style w:type="character" w:customStyle="1" w:styleId="1">
    <w:name w:val="副标题 字符1"/>
    <w:basedOn w:val="DefaultParagraphFont"/>
    <w:uiPriority w:val="11"/>
    <w:rsid w:val="00972EFA"/>
    <w:rPr>
      <w:color w:val="5A5A5A" w:themeColor="text1" w:themeTint="A5"/>
      <w:spacing w:val="15"/>
      <w:sz w:val="22"/>
      <w:szCs w:val="22"/>
    </w:rPr>
  </w:style>
  <w:style w:type="character" w:customStyle="1" w:styleId="SubtitleChar1">
    <w:name w:val="Subtitle Char1"/>
    <w:basedOn w:val="DefaultParagraphFont"/>
    <w:uiPriority w:val="11"/>
    <w:rsid w:val="00972EFA"/>
    <w:rPr>
      <w:rFonts w:eastAsiaTheme="minorEastAsia"/>
      <w:color w:val="5A5A5A" w:themeColor="text1" w:themeTint="A5"/>
      <w:spacing w:val="15"/>
      <w:sz w:val="22"/>
      <w:szCs w:val="22"/>
      <w:lang w:eastAsia="zh-CN"/>
    </w:rPr>
  </w:style>
  <w:style w:type="table" w:styleId="ListTable7Colorful-Accent3">
    <w:name w:val="List Table 7 Colorful Accent 3"/>
    <w:basedOn w:val="TableNormal"/>
    <w:uiPriority w:val="52"/>
    <w:rsid w:val="00972EFA"/>
    <w:rPr>
      <w:rFonts w:eastAsia="SimSun"/>
      <w:color w:val="7B7B7B" w:themeColor="accent3" w:themeShade="BF"/>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on">
    <w:name w:val="Revision"/>
    <w:hidden/>
    <w:uiPriority w:val="99"/>
    <w:semiHidden/>
    <w:rsid w:val="00972EFA"/>
  </w:style>
  <w:style w:type="paragraph" w:styleId="Caption">
    <w:name w:val="caption"/>
    <w:basedOn w:val="Normal"/>
    <w:next w:val="Normal"/>
    <w:uiPriority w:val="35"/>
    <w:semiHidden/>
    <w:unhideWhenUsed/>
    <w:qFormat/>
    <w:rsid w:val="00972EFA"/>
    <w:pPr>
      <w:spacing w:after="200"/>
    </w:pPr>
    <w:rPr>
      <w:i/>
      <w:iCs/>
      <w:color w:val="44546A" w:themeColor="text2"/>
      <w:sz w:val="18"/>
      <w:szCs w:val="18"/>
    </w:rPr>
  </w:style>
  <w:style w:type="paragraph" w:styleId="BalloonText">
    <w:name w:val="Balloon Text"/>
    <w:basedOn w:val="Normal"/>
    <w:link w:val="BalloonTextChar1"/>
    <w:uiPriority w:val="99"/>
    <w:semiHidden/>
    <w:unhideWhenUsed/>
    <w:rsid w:val="00972EFA"/>
    <w:rPr>
      <w:rFonts w:eastAsia="Times New Roman" w:cs="Times New Roman"/>
      <w:sz w:val="18"/>
      <w:szCs w:val="18"/>
    </w:rPr>
  </w:style>
  <w:style w:type="character" w:customStyle="1" w:styleId="BalloonTextChar1">
    <w:name w:val="Balloon Text Char1"/>
    <w:basedOn w:val="DefaultParagraphFont"/>
    <w:link w:val="BalloonText"/>
    <w:uiPriority w:val="99"/>
    <w:semiHidden/>
    <w:rsid w:val="00972EFA"/>
    <w:rPr>
      <w:rFonts w:ascii="Times New Roman" w:eastAsia="Times New Roman" w:hAnsi="Times New Roman" w:cs="Times New Roman"/>
      <w:sz w:val="18"/>
      <w:szCs w:val="18"/>
    </w:rPr>
  </w:style>
  <w:style w:type="character" w:styleId="Hyperlink">
    <w:name w:val="Hyperlink"/>
    <w:basedOn w:val="DefaultParagraphFont"/>
    <w:uiPriority w:val="99"/>
    <w:unhideWhenUsed/>
    <w:rsid w:val="00972EFA"/>
    <w:rPr>
      <w:color w:val="0563C1" w:themeColor="hyperlink"/>
      <w:u w:val="single"/>
    </w:rPr>
  </w:style>
  <w:style w:type="character" w:styleId="FollowedHyperlink">
    <w:name w:val="FollowedHyperlink"/>
    <w:basedOn w:val="DefaultParagraphFont"/>
    <w:uiPriority w:val="99"/>
    <w:semiHidden/>
    <w:unhideWhenUsed/>
    <w:rsid w:val="00972EFA"/>
    <w:rPr>
      <w:color w:val="954F72" w:themeColor="followedHyperlink"/>
      <w:u w:val="single"/>
    </w:rPr>
  </w:style>
  <w:style w:type="paragraph" w:styleId="TOCHeading">
    <w:name w:val="TOC Heading"/>
    <w:basedOn w:val="Heading1"/>
    <w:next w:val="Normal"/>
    <w:uiPriority w:val="39"/>
    <w:unhideWhenUsed/>
    <w:qFormat/>
    <w:rsid w:val="00972EFA"/>
    <w:pPr>
      <w:spacing w:line="276" w:lineRule="auto"/>
      <w:outlineLvl w:val="9"/>
    </w:pPr>
    <w:rPr>
      <w:rFonts w:asciiTheme="majorHAnsi" w:eastAsiaTheme="majorEastAsia" w:hAnsiTheme="majorHAnsi" w:cstheme="majorBidi"/>
      <w:b w:val="0"/>
      <w:bCs/>
      <w:color w:val="2F5496" w:themeColor="accent1" w:themeShade="BF"/>
      <w:sz w:val="28"/>
      <w:szCs w:val="28"/>
    </w:rPr>
  </w:style>
  <w:style w:type="paragraph" w:styleId="TOC1">
    <w:name w:val="toc 1"/>
    <w:basedOn w:val="Normal"/>
    <w:next w:val="Normal"/>
    <w:autoRedefine/>
    <w:uiPriority w:val="39"/>
    <w:unhideWhenUsed/>
    <w:rsid w:val="00972EFA"/>
    <w:pPr>
      <w:tabs>
        <w:tab w:val="right" w:leader="dot" w:pos="9350"/>
      </w:tabs>
    </w:pPr>
    <w:rPr>
      <w:rFonts w:cstheme="minorHAnsi"/>
      <w:b/>
      <w:bCs/>
      <w:i/>
      <w:iCs/>
    </w:rPr>
  </w:style>
  <w:style w:type="paragraph" w:styleId="TOC2">
    <w:name w:val="toc 2"/>
    <w:basedOn w:val="Normal"/>
    <w:next w:val="Normal"/>
    <w:autoRedefine/>
    <w:uiPriority w:val="39"/>
    <w:unhideWhenUsed/>
    <w:rsid w:val="00972EFA"/>
    <w:pPr>
      <w:tabs>
        <w:tab w:val="right" w:leader="dot" w:pos="9350"/>
      </w:tabs>
      <w:ind w:left="240"/>
    </w:pPr>
    <w:rPr>
      <w:rFonts w:cstheme="minorHAnsi"/>
      <w:b/>
      <w:bCs/>
      <w:sz w:val="22"/>
      <w:szCs w:val="22"/>
    </w:rPr>
  </w:style>
  <w:style w:type="paragraph" w:styleId="TOC3">
    <w:name w:val="toc 3"/>
    <w:basedOn w:val="Normal"/>
    <w:next w:val="Normal"/>
    <w:autoRedefine/>
    <w:uiPriority w:val="39"/>
    <w:unhideWhenUsed/>
    <w:rsid w:val="00972EFA"/>
    <w:pPr>
      <w:ind w:left="480"/>
    </w:pPr>
    <w:rPr>
      <w:rFonts w:cstheme="minorHAnsi"/>
      <w:sz w:val="20"/>
      <w:szCs w:val="20"/>
    </w:rPr>
  </w:style>
  <w:style w:type="paragraph" w:styleId="TOC4">
    <w:name w:val="toc 4"/>
    <w:basedOn w:val="Normal"/>
    <w:next w:val="Normal"/>
    <w:autoRedefine/>
    <w:uiPriority w:val="39"/>
    <w:unhideWhenUsed/>
    <w:rsid w:val="00972EFA"/>
    <w:pPr>
      <w:ind w:left="720"/>
    </w:pPr>
    <w:rPr>
      <w:rFonts w:cstheme="minorHAnsi"/>
      <w:sz w:val="20"/>
      <w:szCs w:val="20"/>
    </w:rPr>
  </w:style>
  <w:style w:type="paragraph" w:styleId="TOC5">
    <w:name w:val="toc 5"/>
    <w:basedOn w:val="Normal"/>
    <w:next w:val="Normal"/>
    <w:autoRedefine/>
    <w:uiPriority w:val="39"/>
    <w:unhideWhenUsed/>
    <w:rsid w:val="00972EFA"/>
    <w:pPr>
      <w:ind w:left="960"/>
    </w:pPr>
    <w:rPr>
      <w:rFonts w:cstheme="minorHAnsi"/>
      <w:sz w:val="20"/>
      <w:szCs w:val="20"/>
    </w:rPr>
  </w:style>
  <w:style w:type="paragraph" w:styleId="TOC6">
    <w:name w:val="toc 6"/>
    <w:basedOn w:val="Normal"/>
    <w:next w:val="Normal"/>
    <w:autoRedefine/>
    <w:uiPriority w:val="39"/>
    <w:unhideWhenUsed/>
    <w:rsid w:val="00972EFA"/>
    <w:pPr>
      <w:ind w:left="1200"/>
    </w:pPr>
    <w:rPr>
      <w:rFonts w:cstheme="minorHAnsi"/>
      <w:sz w:val="20"/>
      <w:szCs w:val="20"/>
    </w:rPr>
  </w:style>
  <w:style w:type="paragraph" w:styleId="TOC7">
    <w:name w:val="toc 7"/>
    <w:basedOn w:val="Normal"/>
    <w:next w:val="Normal"/>
    <w:autoRedefine/>
    <w:uiPriority w:val="39"/>
    <w:unhideWhenUsed/>
    <w:rsid w:val="00972EFA"/>
    <w:pPr>
      <w:ind w:left="1440"/>
    </w:pPr>
    <w:rPr>
      <w:rFonts w:cstheme="minorHAnsi"/>
      <w:sz w:val="20"/>
      <w:szCs w:val="20"/>
    </w:rPr>
  </w:style>
  <w:style w:type="paragraph" w:styleId="TOC8">
    <w:name w:val="toc 8"/>
    <w:basedOn w:val="Normal"/>
    <w:next w:val="Normal"/>
    <w:autoRedefine/>
    <w:uiPriority w:val="39"/>
    <w:unhideWhenUsed/>
    <w:rsid w:val="00972EFA"/>
    <w:pPr>
      <w:ind w:left="1680"/>
    </w:pPr>
    <w:rPr>
      <w:rFonts w:cstheme="minorHAnsi"/>
      <w:sz w:val="20"/>
      <w:szCs w:val="20"/>
    </w:rPr>
  </w:style>
  <w:style w:type="paragraph" w:styleId="TOC9">
    <w:name w:val="toc 9"/>
    <w:basedOn w:val="Normal"/>
    <w:next w:val="Normal"/>
    <w:autoRedefine/>
    <w:uiPriority w:val="39"/>
    <w:unhideWhenUsed/>
    <w:rsid w:val="00972EFA"/>
    <w:pPr>
      <w:ind w:left="1920"/>
    </w:pPr>
    <w:rPr>
      <w:rFonts w:cstheme="minorHAnsi"/>
      <w:sz w:val="20"/>
      <w:szCs w:val="20"/>
    </w:rPr>
  </w:style>
  <w:style w:type="character" w:customStyle="1" w:styleId="UnresolvedMention2">
    <w:name w:val="Unresolved Mention2"/>
    <w:basedOn w:val="DefaultParagraphFont"/>
    <w:uiPriority w:val="99"/>
    <w:semiHidden/>
    <w:unhideWhenUsed/>
    <w:rsid w:val="00972EFA"/>
    <w:rPr>
      <w:color w:val="605E5C"/>
      <w:shd w:val="clear" w:color="auto" w:fill="E1DFDD"/>
    </w:rPr>
  </w:style>
  <w:style w:type="paragraph" w:customStyle="1" w:styleId="Tablebutnotfortableofcontents">
    <w:name w:val="Table but not for table of contents"/>
    <w:basedOn w:val="Normal"/>
    <w:next w:val="Default"/>
    <w:qFormat/>
    <w:rsid w:val="00972EFA"/>
    <w:pPr>
      <w:keepNext/>
      <w:keepLines/>
      <w:widowControl w:val="0"/>
      <w:spacing w:before="240" w:line="259" w:lineRule="auto"/>
      <w:jc w:val="center"/>
      <w:outlineLvl w:val="0"/>
    </w:pPr>
    <w:rPr>
      <w:rFonts w:ascii="Times" w:eastAsia="DengXian" w:hAnsi="Times" w:cs="Arial"/>
      <w:b/>
      <w:bCs/>
      <w:i/>
      <w:iCs/>
      <w:color w:val="44546A"/>
    </w:rPr>
  </w:style>
  <w:style w:type="table" w:customStyle="1" w:styleId="10">
    <w:name w:val="网格型1"/>
    <w:basedOn w:val="TableNormal"/>
    <w:next w:val="TableGrid"/>
    <w:uiPriority w:val="39"/>
    <w:rsid w:val="00972EFA"/>
    <w:rPr>
      <w:rFonts w:eastAsia="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972EFA"/>
  </w:style>
  <w:style w:type="character" w:customStyle="1" w:styleId="MTEquationSection">
    <w:name w:val="MTEquationSection"/>
    <w:basedOn w:val="DefaultParagraphFont"/>
    <w:rsid w:val="00972EFA"/>
    <w:rPr>
      <w:rFonts w:ascii="Times" w:hAnsi="Times" w:cs="Times New Roman"/>
      <w:b/>
      <w:bCs/>
      <w:vanish/>
      <w:color w:val="FF0000"/>
      <w:sz w:val="32"/>
      <w:szCs w:val="32"/>
    </w:rPr>
  </w:style>
  <w:style w:type="character" w:customStyle="1" w:styleId="MTDisplayEquation0">
    <w:name w:val="MTDisplayEquation 字符"/>
    <w:basedOn w:val="DefaultParagraphFont"/>
    <w:rsid w:val="00972EFA"/>
    <w:rPr>
      <w:rFonts w:ascii="Times" w:hAnsi="Times" w:cs="Times New Roman"/>
      <w:szCs w:val="22"/>
      <w:lang w:eastAsia="zh-CN"/>
    </w:rPr>
  </w:style>
  <w:style w:type="paragraph" w:customStyle="1" w:styleId="CM1">
    <w:name w:val="CM1"/>
    <w:basedOn w:val="Default"/>
    <w:next w:val="Default"/>
    <w:uiPriority w:val="99"/>
    <w:rsid w:val="00972EFA"/>
    <w:rPr>
      <w:color w:val="auto"/>
      <w:lang w:eastAsia="en-US"/>
    </w:rPr>
  </w:style>
  <w:style w:type="paragraph" w:customStyle="1" w:styleId="CM3">
    <w:name w:val="CM3"/>
    <w:basedOn w:val="Default"/>
    <w:next w:val="Default"/>
    <w:uiPriority w:val="99"/>
    <w:rsid w:val="00972EFA"/>
    <w:rPr>
      <w:color w:val="auto"/>
      <w:lang w:eastAsia="en-US"/>
    </w:rPr>
  </w:style>
  <w:style w:type="character" w:customStyle="1" w:styleId="11">
    <w:name w:val="未处理的提及1"/>
    <w:basedOn w:val="DefaultParagraphFont"/>
    <w:uiPriority w:val="99"/>
    <w:semiHidden/>
    <w:unhideWhenUsed/>
    <w:rsid w:val="00972EFA"/>
    <w:rPr>
      <w:color w:val="605E5C"/>
      <w:shd w:val="clear" w:color="auto" w:fill="E1DFDD"/>
    </w:rPr>
  </w:style>
  <w:style w:type="character" w:customStyle="1" w:styleId="apple-tab-span">
    <w:name w:val="apple-tab-span"/>
    <w:basedOn w:val="DefaultParagraphFont"/>
    <w:rsid w:val="00972EFA"/>
  </w:style>
  <w:style w:type="character" w:styleId="EndnoteReference">
    <w:name w:val="endnote reference"/>
    <w:basedOn w:val="DefaultParagraphFont"/>
    <w:uiPriority w:val="99"/>
    <w:semiHidden/>
    <w:unhideWhenUsed/>
    <w:rsid w:val="009C4F0E"/>
    <w:rPr>
      <w:vertAlign w:val="superscript"/>
    </w:rPr>
  </w:style>
  <w:style w:type="paragraph" w:styleId="Title">
    <w:name w:val="Title"/>
    <w:basedOn w:val="Normal"/>
    <w:next w:val="Normal"/>
    <w:link w:val="TitleChar"/>
    <w:uiPriority w:val="10"/>
    <w:qFormat/>
    <w:rsid w:val="009331D4"/>
    <w:pPr>
      <w:widowControl w:val="0"/>
      <w:spacing w:before="240" w:after="60" w:line="259" w:lineRule="auto"/>
      <w:ind w:firstLine="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9331D4"/>
    <w:rPr>
      <w:rFonts w:asciiTheme="majorHAnsi" w:eastAsiaTheme="majorEastAsia" w:hAnsiTheme="majorHAnsi" w:cstheme="majorBidi"/>
      <w:b/>
      <w:bCs/>
      <w:sz w:val="32"/>
      <w:szCs w:val="32"/>
    </w:rPr>
  </w:style>
  <w:style w:type="table" w:customStyle="1" w:styleId="20">
    <w:name w:val="网格型2"/>
    <w:basedOn w:val="TableNormal"/>
    <w:next w:val="TableGrid"/>
    <w:uiPriority w:val="39"/>
    <w:rsid w:val="009331D4"/>
    <w:rPr>
      <w:rFonts w:eastAsia="DengXi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9331D4"/>
    <w:pPr>
      <w:widowControl w:val="0"/>
      <w:spacing w:before="0" w:after="160" w:line="259" w:lineRule="auto"/>
      <w:ind w:leftChars="2500" w:left="100" w:firstLine="0"/>
      <w:jc w:val="both"/>
    </w:pPr>
    <w:rPr>
      <w:rFonts w:asciiTheme="minorHAnsi" w:eastAsia="SimSun" w:hAnsiTheme="minorHAnsi"/>
      <w:sz w:val="28"/>
      <w:szCs w:val="22"/>
    </w:rPr>
  </w:style>
  <w:style w:type="character" w:customStyle="1" w:styleId="DateChar">
    <w:name w:val="Date Char"/>
    <w:basedOn w:val="DefaultParagraphFont"/>
    <w:link w:val="Date"/>
    <w:uiPriority w:val="99"/>
    <w:semiHidden/>
    <w:rsid w:val="009331D4"/>
    <w:rPr>
      <w:rFonts w:eastAsia="SimSun"/>
      <w:sz w:val="28"/>
      <w:szCs w:val="22"/>
    </w:rPr>
  </w:style>
  <w:style w:type="paragraph" w:customStyle="1" w:styleId="110">
    <w:name w:val="标题 11"/>
    <w:basedOn w:val="Normal"/>
    <w:next w:val="Normal"/>
    <w:uiPriority w:val="9"/>
    <w:qFormat/>
    <w:rsid w:val="001323B6"/>
    <w:pPr>
      <w:keepNext/>
      <w:keepLines/>
      <w:spacing w:before="240"/>
      <w:outlineLvl w:val="0"/>
    </w:pPr>
    <w:rPr>
      <w:rFonts w:eastAsia="Calibri" w:cs="Times New Roman"/>
      <w:b/>
      <w:sz w:val="32"/>
      <w:szCs w:val="32"/>
      <w:lang w:eastAsia="en-US"/>
    </w:rPr>
  </w:style>
  <w:style w:type="paragraph" w:customStyle="1" w:styleId="210">
    <w:name w:val="标题 21"/>
    <w:basedOn w:val="Normal"/>
    <w:next w:val="Normal"/>
    <w:uiPriority w:val="9"/>
    <w:unhideWhenUsed/>
    <w:qFormat/>
    <w:rsid w:val="001323B6"/>
    <w:pPr>
      <w:keepNext/>
      <w:keepLines/>
      <w:spacing w:after="120"/>
      <w:outlineLvl w:val="1"/>
    </w:pPr>
    <w:rPr>
      <w:rFonts w:eastAsia="Calibri" w:cs="Times New Roman"/>
      <w:b/>
      <w:bCs/>
      <w:sz w:val="32"/>
      <w:szCs w:val="32"/>
      <w:lang w:eastAsia="en-US"/>
    </w:rPr>
  </w:style>
  <w:style w:type="paragraph" w:customStyle="1" w:styleId="31">
    <w:name w:val="标题 31"/>
    <w:basedOn w:val="Normal"/>
    <w:next w:val="Normal"/>
    <w:uiPriority w:val="9"/>
    <w:unhideWhenUsed/>
    <w:qFormat/>
    <w:rsid w:val="001323B6"/>
    <w:pPr>
      <w:keepNext/>
      <w:keepLines/>
      <w:spacing w:before="40" w:after="40"/>
      <w:outlineLvl w:val="2"/>
    </w:pPr>
    <w:rPr>
      <w:rFonts w:eastAsia="Calibri" w:cs="Times New Roman"/>
      <w:b/>
      <w:color w:val="000000"/>
      <w:lang w:eastAsia="en-US"/>
    </w:rPr>
  </w:style>
  <w:style w:type="paragraph" w:customStyle="1" w:styleId="41">
    <w:name w:val="标题 41"/>
    <w:basedOn w:val="Normal"/>
    <w:next w:val="Normal"/>
    <w:uiPriority w:val="9"/>
    <w:unhideWhenUsed/>
    <w:qFormat/>
    <w:rsid w:val="001323B6"/>
    <w:pPr>
      <w:keepNext/>
      <w:keepLines/>
      <w:spacing w:before="280" w:after="290" w:line="376" w:lineRule="auto"/>
      <w:outlineLvl w:val="3"/>
    </w:pPr>
    <w:rPr>
      <w:rFonts w:eastAsia="Times New Roman" w:cs="Times New Roman"/>
      <w:b/>
      <w:bCs/>
      <w:szCs w:val="28"/>
    </w:rPr>
  </w:style>
  <w:style w:type="numbering" w:customStyle="1" w:styleId="12">
    <w:name w:val="无列表1"/>
    <w:next w:val="NoList"/>
    <w:uiPriority w:val="99"/>
    <w:semiHidden/>
    <w:unhideWhenUsed/>
    <w:rsid w:val="001323B6"/>
  </w:style>
  <w:style w:type="table" w:customStyle="1" w:styleId="7-31">
    <w:name w:val="清单表 7 彩色 - 着色 31"/>
    <w:basedOn w:val="TableNormal"/>
    <w:next w:val="ListTable7Colorful-Accent3"/>
    <w:uiPriority w:val="52"/>
    <w:rsid w:val="001323B6"/>
    <w:rPr>
      <w:rFonts w:eastAsia="SimSun"/>
      <w:color w:val="7B7B7B"/>
      <w:lang w:eastAsia="en-US"/>
    </w:rPr>
    <w:tblPr>
      <w:tblStyleRowBandSize w:val="1"/>
      <w:tblStyleColBandSize w:val="1"/>
    </w:tblPr>
    <w:tblStylePr w:type="firstRow">
      <w:rPr>
        <w:rFonts w:ascii="Calibri Light" w:eastAsia="DengXian Light" w:hAnsi="Calibri Light" w:cs="Times New Roman"/>
        <w:i/>
        <w:iCs/>
        <w:sz w:val="26"/>
      </w:rPr>
      <w:tblPr/>
      <w:tcPr>
        <w:tcBorders>
          <w:bottom w:val="single" w:sz="4" w:space="0" w:color="A5A5A5"/>
        </w:tcBorders>
        <w:shd w:val="clear" w:color="auto" w:fill="FFFFFF"/>
      </w:tcPr>
    </w:tblStylePr>
    <w:tblStylePr w:type="lastRow">
      <w:rPr>
        <w:rFonts w:ascii="Calibri Light" w:eastAsia="DengXian Light"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DengXian Light" w:hAnsi="Calibri Light" w:cs="Times New Roman"/>
        <w:i/>
        <w:iCs/>
        <w:sz w:val="26"/>
      </w:rPr>
      <w:tblPr/>
      <w:tcPr>
        <w:tcBorders>
          <w:right w:val="single" w:sz="4" w:space="0" w:color="A5A5A5"/>
        </w:tcBorders>
        <w:shd w:val="clear" w:color="auto" w:fill="FFFFFF"/>
      </w:tcPr>
    </w:tblStylePr>
    <w:tblStylePr w:type="lastCol">
      <w:rPr>
        <w:rFonts w:ascii="Calibri Light" w:eastAsia="DengXian Light"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13">
    <w:name w:val="题注1"/>
    <w:basedOn w:val="Normal"/>
    <w:next w:val="Normal"/>
    <w:uiPriority w:val="35"/>
    <w:semiHidden/>
    <w:unhideWhenUsed/>
    <w:qFormat/>
    <w:rsid w:val="001323B6"/>
    <w:pPr>
      <w:spacing w:after="200"/>
    </w:pPr>
    <w:rPr>
      <w:i/>
      <w:iCs/>
      <w:color w:val="44546A"/>
      <w:sz w:val="18"/>
      <w:szCs w:val="18"/>
    </w:rPr>
  </w:style>
  <w:style w:type="character" w:customStyle="1" w:styleId="14">
    <w:name w:val="超链接1"/>
    <w:basedOn w:val="DefaultParagraphFont"/>
    <w:uiPriority w:val="99"/>
    <w:unhideWhenUsed/>
    <w:rsid w:val="001323B6"/>
    <w:rPr>
      <w:color w:val="0563C1"/>
      <w:u w:val="single"/>
    </w:rPr>
  </w:style>
  <w:style w:type="character" w:customStyle="1" w:styleId="15">
    <w:name w:val="访问过的超链接1"/>
    <w:basedOn w:val="DefaultParagraphFont"/>
    <w:uiPriority w:val="99"/>
    <w:semiHidden/>
    <w:unhideWhenUsed/>
    <w:rsid w:val="001323B6"/>
    <w:rPr>
      <w:color w:val="954F72"/>
      <w:u w:val="single"/>
    </w:rPr>
  </w:style>
  <w:style w:type="paragraph" w:customStyle="1" w:styleId="TOC10">
    <w:name w:val="TOC 标题1"/>
    <w:basedOn w:val="Heading1"/>
    <w:next w:val="Normal"/>
    <w:uiPriority w:val="39"/>
    <w:unhideWhenUsed/>
    <w:qFormat/>
    <w:rsid w:val="001323B6"/>
    <w:pPr>
      <w:widowControl w:val="0"/>
      <w:spacing w:before="340" w:after="330" w:line="578" w:lineRule="auto"/>
      <w:jc w:val="both"/>
    </w:pPr>
    <w:rPr>
      <w:rFonts w:eastAsia="Calibri"/>
      <w:kern w:val="2"/>
    </w:rPr>
  </w:style>
  <w:style w:type="paragraph" w:customStyle="1" w:styleId="TOC12">
    <w:name w:val="TOC 12"/>
    <w:basedOn w:val="Normal"/>
    <w:next w:val="Normal"/>
    <w:autoRedefine/>
    <w:uiPriority w:val="39"/>
    <w:unhideWhenUsed/>
    <w:rsid w:val="001323B6"/>
    <w:pPr>
      <w:tabs>
        <w:tab w:val="right" w:leader="dot" w:pos="9350"/>
      </w:tabs>
    </w:pPr>
    <w:rPr>
      <w:rFonts w:cs="Calibri"/>
      <w:b/>
      <w:bCs/>
      <w:i/>
      <w:iCs/>
    </w:rPr>
  </w:style>
  <w:style w:type="paragraph" w:customStyle="1" w:styleId="TOC22">
    <w:name w:val="TOC 22"/>
    <w:basedOn w:val="Normal"/>
    <w:next w:val="Normal"/>
    <w:autoRedefine/>
    <w:uiPriority w:val="39"/>
    <w:unhideWhenUsed/>
    <w:rsid w:val="001323B6"/>
    <w:pPr>
      <w:tabs>
        <w:tab w:val="right" w:leader="dot" w:pos="9350"/>
      </w:tabs>
      <w:ind w:left="240"/>
    </w:pPr>
    <w:rPr>
      <w:rFonts w:cs="Calibri"/>
      <w:b/>
      <w:bCs/>
      <w:sz w:val="22"/>
      <w:szCs w:val="22"/>
    </w:rPr>
  </w:style>
  <w:style w:type="paragraph" w:customStyle="1" w:styleId="TOC32">
    <w:name w:val="TOC 32"/>
    <w:basedOn w:val="Normal"/>
    <w:next w:val="Normal"/>
    <w:autoRedefine/>
    <w:uiPriority w:val="39"/>
    <w:unhideWhenUsed/>
    <w:rsid w:val="001323B6"/>
    <w:pPr>
      <w:ind w:left="480"/>
    </w:pPr>
    <w:rPr>
      <w:rFonts w:cs="Calibri"/>
      <w:sz w:val="20"/>
      <w:szCs w:val="20"/>
    </w:rPr>
  </w:style>
  <w:style w:type="paragraph" w:customStyle="1" w:styleId="TOC42">
    <w:name w:val="TOC 42"/>
    <w:basedOn w:val="Normal"/>
    <w:next w:val="Normal"/>
    <w:autoRedefine/>
    <w:uiPriority w:val="39"/>
    <w:unhideWhenUsed/>
    <w:rsid w:val="001323B6"/>
    <w:pPr>
      <w:ind w:left="720"/>
    </w:pPr>
    <w:rPr>
      <w:rFonts w:cs="Calibri"/>
      <w:sz w:val="20"/>
      <w:szCs w:val="20"/>
    </w:rPr>
  </w:style>
  <w:style w:type="paragraph" w:customStyle="1" w:styleId="TOC52">
    <w:name w:val="TOC 52"/>
    <w:basedOn w:val="Normal"/>
    <w:next w:val="Normal"/>
    <w:autoRedefine/>
    <w:uiPriority w:val="39"/>
    <w:unhideWhenUsed/>
    <w:rsid w:val="001323B6"/>
    <w:pPr>
      <w:ind w:left="960"/>
    </w:pPr>
    <w:rPr>
      <w:rFonts w:cs="Calibri"/>
      <w:sz w:val="20"/>
      <w:szCs w:val="20"/>
    </w:rPr>
  </w:style>
  <w:style w:type="paragraph" w:customStyle="1" w:styleId="TOC62">
    <w:name w:val="TOC 62"/>
    <w:basedOn w:val="Normal"/>
    <w:next w:val="Normal"/>
    <w:autoRedefine/>
    <w:uiPriority w:val="39"/>
    <w:unhideWhenUsed/>
    <w:rsid w:val="001323B6"/>
    <w:pPr>
      <w:ind w:left="1200"/>
    </w:pPr>
    <w:rPr>
      <w:rFonts w:cs="Calibri"/>
      <w:sz w:val="20"/>
      <w:szCs w:val="20"/>
    </w:rPr>
  </w:style>
  <w:style w:type="paragraph" w:customStyle="1" w:styleId="TOC72">
    <w:name w:val="TOC 72"/>
    <w:basedOn w:val="Normal"/>
    <w:next w:val="Normal"/>
    <w:autoRedefine/>
    <w:uiPriority w:val="39"/>
    <w:unhideWhenUsed/>
    <w:rsid w:val="001323B6"/>
    <w:pPr>
      <w:ind w:left="1440"/>
    </w:pPr>
    <w:rPr>
      <w:rFonts w:cs="Calibri"/>
      <w:sz w:val="20"/>
      <w:szCs w:val="20"/>
    </w:rPr>
  </w:style>
  <w:style w:type="paragraph" w:customStyle="1" w:styleId="TOC82">
    <w:name w:val="TOC 82"/>
    <w:basedOn w:val="Normal"/>
    <w:next w:val="Normal"/>
    <w:autoRedefine/>
    <w:uiPriority w:val="39"/>
    <w:unhideWhenUsed/>
    <w:rsid w:val="001323B6"/>
    <w:pPr>
      <w:ind w:left="1680"/>
    </w:pPr>
    <w:rPr>
      <w:rFonts w:cs="Calibri"/>
      <w:sz w:val="20"/>
      <w:szCs w:val="20"/>
    </w:rPr>
  </w:style>
  <w:style w:type="paragraph" w:customStyle="1" w:styleId="TOC92">
    <w:name w:val="TOC 92"/>
    <w:basedOn w:val="Normal"/>
    <w:next w:val="Normal"/>
    <w:autoRedefine/>
    <w:uiPriority w:val="39"/>
    <w:unhideWhenUsed/>
    <w:rsid w:val="001323B6"/>
    <w:pPr>
      <w:ind w:left="1920"/>
    </w:pPr>
    <w:rPr>
      <w:rFonts w:cs="Calibri"/>
      <w:sz w:val="20"/>
      <w:szCs w:val="20"/>
    </w:rPr>
  </w:style>
  <w:style w:type="paragraph" w:customStyle="1" w:styleId="16">
    <w:name w:val="标题1"/>
    <w:basedOn w:val="Normal"/>
    <w:next w:val="Normal"/>
    <w:uiPriority w:val="10"/>
    <w:qFormat/>
    <w:rsid w:val="001323B6"/>
    <w:pPr>
      <w:widowControl w:val="0"/>
      <w:spacing w:before="240" w:after="60" w:line="259" w:lineRule="auto"/>
      <w:ind w:firstLine="0"/>
      <w:jc w:val="center"/>
      <w:outlineLvl w:val="0"/>
    </w:pPr>
    <w:rPr>
      <w:rFonts w:ascii="Calibri Light" w:eastAsia="DengXian Light" w:hAnsi="Calibri Light" w:cs="Times New Roman"/>
      <w:b/>
      <w:bCs/>
      <w:sz w:val="32"/>
      <w:szCs w:val="32"/>
    </w:rPr>
  </w:style>
  <w:style w:type="paragraph" w:customStyle="1" w:styleId="17">
    <w:name w:val="日期1"/>
    <w:basedOn w:val="Normal"/>
    <w:next w:val="Normal"/>
    <w:uiPriority w:val="99"/>
    <w:semiHidden/>
    <w:unhideWhenUsed/>
    <w:rsid w:val="001323B6"/>
    <w:pPr>
      <w:widowControl w:val="0"/>
      <w:spacing w:before="0" w:after="160" w:line="259" w:lineRule="auto"/>
      <w:ind w:leftChars="2500" w:left="100" w:firstLine="0"/>
      <w:jc w:val="both"/>
    </w:pPr>
    <w:rPr>
      <w:rFonts w:asciiTheme="minorHAnsi" w:eastAsia="SimSun" w:hAnsiTheme="minorHAnsi"/>
      <w:sz w:val="28"/>
      <w:szCs w:val="22"/>
    </w:rPr>
  </w:style>
  <w:style w:type="character" w:customStyle="1" w:styleId="111">
    <w:name w:val="标题 1 字符1"/>
    <w:basedOn w:val="DefaultParagraphFont"/>
    <w:uiPriority w:val="9"/>
    <w:rsid w:val="001323B6"/>
    <w:rPr>
      <w:b/>
      <w:bCs/>
      <w:kern w:val="44"/>
      <w:sz w:val="44"/>
      <w:szCs w:val="44"/>
    </w:rPr>
  </w:style>
  <w:style w:type="character" w:customStyle="1" w:styleId="211">
    <w:name w:val="标题 2 字符1"/>
    <w:basedOn w:val="DefaultParagraphFont"/>
    <w:uiPriority w:val="9"/>
    <w:semiHidden/>
    <w:rsid w:val="001323B6"/>
    <w:rPr>
      <w:rFonts w:asciiTheme="majorHAnsi" w:eastAsiaTheme="majorEastAsia" w:hAnsiTheme="majorHAnsi" w:cstheme="majorBidi"/>
      <w:b/>
      <w:bCs/>
      <w:sz w:val="32"/>
      <w:szCs w:val="32"/>
    </w:rPr>
  </w:style>
  <w:style w:type="character" w:customStyle="1" w:styleId="310">
    <w:name w:val="标题 3 字符1"/>
    <w:basedOn w:val="DefaultParagraphFont"/>
    <w:uiPriority w:val="9"/>
    <w:semiHidden/>
    <w:rsid w:val="001323B6"/>
    <w:rPr>
      <w:b/>
      <w:bCs/>
      <w:sz w:val="32"/>
      <w:szCs w:val="32"/>
    </w:rPr>
  </w:style>
  <w:style w:type="character" w:customStyle="1" w:styleId="410">
    <w:name w:val="标题 4 字符1"/>
    <w:basedOn w:val="DefaultParagraphFont"/>
    <w:uiPriority w:val="9"/>
    <w:semiHidden/>
    <w:rsid w:val="001323B6"/>
    <w:rPr>
      <w:rFonts w:asciiTheme="majorHAnsi" w:eastAsiaTheme="majorEastAsia" w:hAnsiTheme="majorHAnsi" w:cstheme="majorBidi"/>
      <w:b/>
      <w:bCs/>
      <w:sz w:val="28"/>
      <w:szCs w:val="28"/>
    </w:rPr>
  </w:style>
  <w:style w:type="character" w:customStyle="1" w:styleId="18">
    <w:name w:val="标题 字符1"/>
    <w:basedOn w:val="DefaultParagraphFont"/>
    <w:uiPriority w:val="10"/>
    <w:rsid w:val="001323B6"/>
    <w:rPr>
      <w:rFonts w:asciiTheme="majorHAnsi" w:eastAsiaTheme="majorEastAsia" w:hAnsiTheme="majorHAnsi" w:cstheme="majorBidi"/>
      <w:b/>
      <w:bCs/>
      <w:sz w:val="32"/>
      <w:szCs w:val="32"/>
    </w:rPr>
  </w:style>
  <w:style w:type="character" w:customStyle="1" w:styleId="19">
    <w:name w:val="日期 字符1"/>
    <w:basedOn w:val="DefaultParagraphFont"/>
    <w:uiPriority w:val="99"/>
    <w:semiHidden/>
    <w:rsid w:val="001323B6"/>
  </w:style>
  <w:style w:type="character" w:customStyle="1" w:styleId="cf01">
    <w:name w:val="cf01"/>
    <w:basedOn w:val="DefaultParagraphFont"/>
    <w:rsid w:val="00E70882"/>
    <w:rPr>
      <w:rFonts w:ascii="Microsoft YaHei UI" w:eastAsia="Microsoft YaHei UI" w:hAnsi="Microsoft YaHei UI" w:hint="eastAsia"/>
      <w:sz w:val="18"/>
      <w:szCs w:val="18"/>
      <w:shd w:val="clear" w:color="auto" w:fill="FFFF00"/>
    </w:rPr>
  </w:style>
  <w:style w:type="numbering" w:customStyle="1" w:styleId="22">
    <w:name w:val="无列表2"/>
    <w:next w:val="NoList"/>
    <w:uiPriority w:val="99"/>
    <w:semiHidden/>
    <w:unhideWhenUsed/>
    <w:rsid w:val="00333C7B"/>
  </w:style>
  <w:style w:type="numbering" w:customStyle="1" w:styleId="112">
    <w:name w:val="无列表11"/>
    <w:next w:val="NoList"/>
    <w:uiPriority w:val="99"/>
    <w:semiHidden/>
    <w:unhideWhenUsed/>
    <w:rsid w:val="00333C7B"/>
  </w:style>
  <w:style w:type="numbering" w:customStyle="1" w:styleId="NoList11">
    <w:name w:val="No List11"/>
    <w:next w:val="NoList"/>
    <w:uiPriority w:val="99"/>
    <w:semiHidden/>
    <w:unhideWhenUsed/>
    <w:rsid w:val="00333C7B"/>
  </w:style>
  <w:style w:type="numbering" w:customStyle="1" w:styleId="1110">
    <w:name w:val="无列表111"/>
    <w:next w:val="NoList"/>
    <w:uiPriority w:val="99"/>
    <w:semiHidden/>
    <w:unhideWhenUsed/>
    <w:rsid w:val="00333C7B"/>
  </w:style>
  <w:style w:type="table" w:customStyle="1" w:styleId="7-311">
    <w:name w:val="清单表 7 彩色 - 着色 311"/>
    <w:basedOn w:val="TableNormal"/>
    <w:next w:val="ListTable7Colorful-Accent3"/>
    <w:uiPriority w:val="52"/>
    <w:rsid w:val="00333C7B"/>
    <w:rPr>
      <w:rFonts w:eastAsia="SimSun"/>
      <w:color w:val="7B7B7B"/>
      <w:lang w:eastAsia="en-US"/>
    </w:rPr>
    <w:tblPr>
      <w:tblStyleRowBandSize w:val="1"/>
      <w:tblStyleColBandSize w:val="1"/>
    </w:tblPr>
    <w:tblStylePr w:type="firstRow">
      <w:rPr>
        <w:rFonts w:ascii="Calibri Light" w:eastAsia="DengXian Light" w:hAnsi="Calibri Light" w:cs="Times New Roman"/>
        <w:i/>
        <w:iCs/>
        <w:sz w:val="26"/>
      </w:rPr>
      <w:tblPr/>
      <w:tcPr>
        <w:tcBorders>
          <w:bottom w:val="single" w:sz="4" w:space="0" w:color="A5A5A5"/>
        </w:tcBorders>
        <w:shd w:val="clear" w:color="auto" w:fill="FFFFFF"/>
      </w:tcPr>
    </w:tblStylePr>
    <w:tblStylePr w:type="lastRow">
      <w:rPr>
        <w:rFonts w:ascii="Calibri Light" w:eastAsia="DengXian Light"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DengXian Light" w:hAnsi="Calibri Light" w:cs="Times New Roman"/>
        <w:i/>
        <w:iCs/>
        <w:sz w:val="26"/>
      </w:rPr>
      <w:tblPr/>
      <w:tcPr>
        <w:tcBorders>
          <w:right w:val="single" w:sz="4" w:space="0" w:color="A5A5A5"/>
        </w:tcBorders>
        <w:shd w:val="clear" w:color="auto" w:fill="FFFFFF"/>
      </w:tcPr>
    </w:tblStylePr>
    <w:tblStylePr w:type="lastCol">
      <w:rPr>
        <w:rFonts w:ascii="Calibri Light" w:eastAsia="DengXian Light"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120">
    <w:name w:val="标题 1 字符2"/>
    <w:basedOn w:val="DefaultParagraphFont"/>
    <w:uiPriority w:val="9"/>
    <w:rsid w:val="00333C7B"/>
    <w:rPr>
      <w:b/>
      <w:bCs/>
      <w:kern w:val="44"/>
      <w:sz w:val="44"/>
      <w:szCs w:val="44"/>
    </w:rPr>
  </w:style>
  <w:style w:type="character" w:customStyle="1" w:styleId="220">
    <w:name w:val="标题 2 字符2"/>
    <w:basedOn w:val="DefaultParagraphFont"/>
    <w:uiPriority w:val="9"/>
    <w:semiHidden/>
    <w:rsid w:val="00333C7B"/>
    <w:rPr>
      <w:rFonts w:ascii="DengXian Light" w:eastAsia="DengXian Light" w:hAnsi="DengXian Light" w:cs="Times New Roman"/>
      <w:b/>
      <w:bCs/>
      <w:sz w:val="32"/>
      <w:szCs w:val="32"/>
    </w:rPr>
  </w:style>
  <w:style w:type="character" w:customStyle="1" w:styleId="32">
    <w:name w:val="标题 3 字符2"/>
    <w:basedOn w:val="DefaultParagraphFont"/>
    <w:uiPriority w:val="9"/>
    <w:semiHidden/>
    <w:rsid w:val="00333C7B"/>
    <w:rPr>
      <w:b/>
      <w:bCs/>
      <w:sz w:val="32"/>
      <w:szCs w:val="32"/>
    </w:rPr>
  </w:style>
  <w:style w:type="character" w:customStyle="1" w:styleId="42">
    <w:name w:val="标题 4 字符2"/>
    <w:basedOn w:val="DefaultParagraphFont"/>
    <w:uiPriority w:val="9"/>
    <w:semiHidden/>
    <w:rsid w:val="00333C7B"/>
    <w:rPr>
      <w:rFonts w:ascii="DengXian Light" w:eastAsia="DengXian Light" w:hAnsi="DengXian Light" w:cs="Times New Roman"/>
      <w:b/>
      <w:bCs/>
      <w:sz w:val="28"/>
      <w:szCs w:val="28"/>
    </w:rPr>
  </w:style>
  <w:style w:type="table" w:customStyle="1" w:styleId="7-32">
    <w:name w:val="清单表 7 彩色 - 着色 32"/>
    <w:basedOn w:val="TableNormal"/>
    <w:next w:val="ListTable7Colorful-Accent3"/>
    <w:uiPriority w:val="52"/>
    <w:rsid w:val="00333C7B"/>
    <w:rPr>
      <w:color w:val="7B7B7B"/>
      <w:kern w:val="2"/>
      <w:sz w:val="21"/>
      <w:szCs w:val="22"/>
    </w:rPr>
    <w:tblPr>
      <w:tblStyleRowBandSize w:val="1"/>
      <w:tblStyleColBandSize w:val="1"/>
    </w:tblPr>
    <w:tblStylePr w:type="firstRow">
      <w:rPr>
        <w:rFonts w:ascii="DengXian Light" w:eastAsia="DengXian Light" w:hAnsi="DengXian Light" w:cs="Times New Roman"/>
        <w:i/>
        <w:iCs/>
        <w:sz w:val="26"/>
      </w:rPr>
      <w:tblPr/>
      <w:tcPr>
        <w:tcBorders>
          <w:bottom w:val="single" w:sz="4" w:space="0" w:color="A5A5A5"/>
        </w:tcBorders>
        <w:shd w:val="clear" w:color="auto" w:fill="FFFFFF"/>
      </w:tcPr>
    </w:tblStylePr>
    <w:tblStylePr w:type="lastRow">
      <w:rPr>
        <w:rFonts w:ascii="DengXian Light" w:eastAsia="DengXian Light" w:hAnsi="DengXian Light" w:cs="Times New Roman"/>
        <w:i/>
        <w:iCs/>
        <w:sz w:val="26"/>
      </w:rPr>
      <w:tblPr/>
      <w:tcPr>
        <w:tcBorders>
          <w:top w:val="single" w:sz="4" w:space="0" w:color="A5A5A5"/>
        </w:tcBorders>
        <w:shd w:val="clear" w:color="auto" w:fill="FFFFFF"/>
      </w:tcPr>
    </w:tblStylePr>
    <w:tblStylePr w:type="firstCol">
      <w:pPr>
        <w:jc w:val="right"/>
      </w:pPr>
      <w:rPr>
        <w:rFonts w:ascii="DengXian Light" w:eastAsia="DengXian Light" w:hAnsi="DengXian Light" w:cs="Times New Roman"/>
        <w:i/>
        <w:iCs/>
        <w:sz w:val="26"/>
      </w:rPr>
      <w:tblPr/>
      <w:tcPr>
        <w:tcBorders>
          <w:right w:val="single" w:sz="4" w:space="0" w:color="A5A5A5"/>
        </w:tcBorders>
        <w:shd w:val="clear" w:color="auto" w:fill="FFFFFF"/>
      </w:tcPr>
    </w:tblStylePr>
    <w:tblStylePr w:type="lastCol">
      <w:rPr>
        <w:rFonts w:ascii="DengXian Light" w:eastAsia="DengXian Light" w:hAnsi="DengXian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23">
    <w:name w:val="标题 字符2"/>
    <w:basedOn w:val="DefaultParagraphFont"/>
    <w:uiPriority w:val="10"/>
    <w:rsid w:val="00333C7B"/>
    <w:rPr>
      <w:rFonts w:ascii="DengXian Light" w:eastAsia="DengXian Light" w:hAnsi="DengXian Light" w:cs="Times New Roman"/>
      <w:b/>
      <w:bCs/>
      <w:sz w:val="32"/>
      <w:szCs w:val="32"/>
    </w:rPr>
  </w:style>
  <w:style w:type="character" w:customStyle="1" w:styleId="24">
    <w:name w:val="日期 字符2"/>
    <w:basedOn w:val="DefaultParagraphFont"/>
    <w:uiPriority w:val="99"/>
    <w:semiHidden/>
    <w:rsid w:val="00333C7B"/>
  </w:style>
  <w:style w:type="character" w:customStyle="1" w:styleId="page-headerauthor-item">
    <w:name w:val="page-header__author-item"/>
    <w:basedOn w:val="DefaultParagraphFont"/>
    <w:rsid w:val="00957E6B"/>
  </w:style>
  <w:style w:type="paragraph" w:customStyle="1" w:styleId="a2">
    <w:name w:val="公式居中"/>
    <w:basedOn w:val="Normal"/>
    <w:link w:val="a3"/>
    <w:qFormat/>
    <w:rsid w:val="008F30F4"/>
    <w:pPr>
      <w:tabs>
        <w:tab w:val="center" w:pos="4320"/>
        <w:tab w:val="center" w:pos="4680"/>
        <w:tab w:val="right" w:pos="8640"/>
        <w:tab w:val="right" w:pos="9360"/>
      </w:tabs>
      <w:ind w:firstLineChars="327" w:firstLine="719"/>
    </w:pPr>
    <w:rPr>
      <w:rFonts w:eastAsia="SimSun" w:cs="Times New Roman"/>
      <w:color w:val="000000"/>
      <w:sz w:val="22"/>
      <w:szCs w:val="22"/>
    </w:rPr>
  </w:style>
  <w:style w:type="character" w:customStyle="1" w:styleId="a3">
    <w:name w:val="公式居中 字符"/>
    <w:basedOn w:val="DefaultParagraphFont"/>
    <w:link w:val="a2"/>
    <w:rsid w:val="008F30F4"/>
    <w:rPr>
      <w:rFonts w:ascii="Times New Roman" w:eastAsia="SimSun" w:hAnsi="Times New Roman" w:cs="Times New Roman"/>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100185">
      <w:bodyDiv w:val="1"/>
      <w:marLeft w:val="0"/>
      <w:marRight w:val="0"/>
      <w:marTop w:val="0"/>
      <w:marBottom w:val="0"/>
      <w:divBdr>
        <w:top w:val="none" w:sz="0" w:space="0" w:color="auto"/>
        <w:left w:val="none" w:sz="0" w:space="0" w:color="auto"/>
        <w:bottom w:val="none" w:sz="0" w:space="0" w:color="auto"/>
        <w:right w:val="none" w:sz="0" w:space="0" w:color="auto"/>
      </w:divBdr>
    </w:div>
    <w:div w:id="77600748">
      <w:bodyDiv w:val="1"/>
      <w:marLeft w:val="0"/>
      <w:marRight w:val="0"/>
      <w:marTop w:val="0"/>
      <w:marBottom w:val="0"/>
      <w:divBdr>
        <w:top w:val="none" w:sz="0" w:space="0" w:color="auto"/>
        <w:left w:val="none" w:sz="0" w:space="0" w:color="auto"/>
        <w:bottom w:val="none" w:sz="0" w:space="0" w:color="auto"/>
        <w:right w:val="none" w:sz="0" w:space="0" w:color="auto"/>
      </w:divBdr>
    </w:div>
    <w:div w:id="117921071">
      <w:bodyDiv w:val="1"/>
      <w:marLeft w:val="0"/>
      <w:marRight w:val="0"/>
      <w:marTop w:val="0"/>
      <w:marBottom w:val="0"/>
      <w:divBdr>
        <w:top w:val="none" w:sz="0" w:space="0" w:color="auto"/>
        <w:left w:val="none" w:sz="0" w:space="0" w:color="auto"/>
        <w:bottom w:val="none" w:sz="0" w:space="0" w:color="auto"/>
        <w:right w:val="none" w:sz="0" w:space="0" w:color="auto"/>
      </w:divBdr>
    </w:div>
    <w:div w:id="138886369">
      <w:bodyDiv w:val="1"/>
      <w:marLeft w:val="0"/>
      <w:marRight w:val="0"/>
      <w:marTop w:val="0"/>
      <w:marBottom w:val="0"/>
      <w:divBdr>
        <w:top w:val="none" w:sz="0" w:space="0" w:color="auto"/>
        <w:left w:val="none" w:sz="0" w:space="0" w:color="auto"/>
        <w:bottom w:val="none" w:sz="0" w:space="0" w:color="auto"/>
        <w:right w:val="none" w:sz="0" w:space="0" w:color="auto"/>
      </w:divBdr>
    </w:div>
    <w:div w:id="205486701">
      <w:bodyDiv w:val="1"/>
      <w:marLeft w:val="0"/>
      <w:marRight w:val="0"/>
      <w:marTop w:val="0"/>
      <w:marBottom w:val="0"/>
      <w:divBdr>
        <w:top w:val="none" w:sz="0" w:space="0" w:color="auto"/>
        <w:left w:val="none" w:sz="0" w:space="0" w:color="auto"/>
        <w:bottom w:val="none" w:sz="0" w:space="0" w:color="auto"/>
        <w:right w:val="none" w:sz="0" w:space="0" w:color="auto"/>
      </w:divBdr>
    </w:div>
    <w:div w:id="221715223">
      <w:bodyDiv w:val="1"/>
      <w:marLeft w:val="0"/>
      <w:marRight w:val="0"/>
      <w:marTop w:val="0"/>
      <w:marBottom w:val="0"/>
      <w:divBdr>
        <w:top w:val="none" w:sz="0" w:space="0" w:color="auto"/>
        <w:left w:val="none" w:sz="0" w:space="0" w:color="auto"/>
        <w:bottom w:val="none" w:sz="0" w:space="0" w:color="auto"/>
        <w:right w:val="none" w:sz="0" w:space="0" w:color="auto"/>
      </w:divBdr>
    </w:div>
    <w:div w:id="249436805">
      <w:bodyDiv w:val="1"/>
      <w:marLeft w:val="0"/>
      <w:marRight w:val="0"/>
      <w:marTop w:val="0"/>
      <w:marBottom w:val="0"/>
      <w:divBdr>
        <w:top w:val="none" w:sz="0" w:space="0" w:color="auto"/>
        <w:left w:val="none" w:sz="0" w:space="0" w:color="auto"/>
        <w:bottom w:val="none" w:sz="0" w:space="0" w:color="auto"/>
        <w:right w:val="none" w:sz="0" w:space="0" w:color="auto"/>
      </w:divBdr>
    </w:div>
    <w:div w:id="261573676">
      <w:bodyDiv w:val="1"/>
      <w:marLeft w:val="0"/>
      <w:marRight w:val="0"/>
      <w:marTop w:val="0"/>
      <w:marBottom w:val="0"/>
      <w:divBdr>
        <w:top w:val="none" w:sz="0" w:space="0" w:color="auto"/>
        <w:left w:val="none" w:sz="0" w:space="0" w:color="auto"/>
        <w:bottom w:val="none" w:sz="0" w:space="0" w:color="auto"/>
        <w:right w:val="none" w:sz="0" w:space="0" w:color="auto"/>
      </w:divBdr>
    </w:div>
    <w:div w:id="262961197">
      <w:bodyDiv w:val="1"/>
      <w:marLeft w:val="0"/>
      <w:marRight w:val="0"/>
      <w:marTop w:val="0"/>
      <w:marBottom w:val="0"/>
      <w:divBdr>
        <w:top w:val="none" w:sz="0" w:space="0" w:color="auto"/>
        <w:left w:val="none" w:sz="0" w:space="0" w:color="auto"/>
        <w:bottom w:val="none" w:sz="0" w:space="0" w:color="auto"/>
        <w:right w:val="none" w:sz="0" w:space="0" w:color="auto"/>
      </w:divBdr>
    </w:div>
    <w:div w:id="278486945">
      <w:bodyDiv w:val="1"/>
      <w:marLeft w:val="0"/>
      <w:marRight w:val="0"/>
      <w:marTop w:val="0"/>
      <w:marBottom w:val="0"/>
      <w:divBdr>
        <w:top w:val="none" w:sz="0" w:space="0" w:color="auto"/>
        <w:left w:val="none" w:sz="0" w:space="0" w:color="auto"/>
        <w:bottom w:val="none" w:sz="0" w:space="0" w:color="auto"/>
        <w:right w:val="none" w:sz="0" w:space="0" w:color="auto"/>
      </w:divBdr>
      <w:divsChild>
        <w:div w:id="10302645">
          <w:marLeft w:val="0"/>
          <w:marRight w:val="0"/>
          <w:marTop w:val="0"/>
          <w:marBottom w:val="0"/>
          <w:divBdr>
            <w:top w:val="none" w:sz="0" w:space="0" w:color="auto"/>
            <w:left w:val="none" w:sz="0" w:space="0" w:color="auto"/>
            <w:bottom w:val="none" w:sz="0" w:space="0" w:color="auto"/>
            <w:right w:val="none" w:sz="0" w:space="0" w:color="auto"/>
          </w:divBdr>
          <w:divsChild>
            <w:div w:id="354158269">
              <w:marLeft w:val="0"/>
              <w:marRight w:val="0"/>
              <w:marTop w:val="0"/>
              <w:marBottom w:val="0"/>
              <w:divBdr>
                <w:top w:val="none" w:sz="0" w:space="0" w:color="auto"/>
                <w:left w:val="none" w:sz="0" w:space="0" w:color="auto"/>
                <w:bottom w:val="none" w:sz="0" w:space="0" w:color="auto"/>
                <w:right w:val="none" w:sz="0" w:space="0" w:color="auto"/>
              </w:divBdr>
              <w:divsChild>
                <w:div w:id="157516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353255">
      <w:bodyDiv w:val="1"/>
      <w:marLeft w:val="0"/>
      <w:marRight w:val="0"/>
      <w:marTop w:val="0"/>
      <w:marBottom w:val="0"/>
      <w:divBdr>
        <w:top w:val="none" w:sz="0" w:space="0" w:color="auto"/>
        <w:left w:val="none" w:sz="0" w:space="0" w:color="auto"/>
        <w:bottom w:val="none" w:sz="0" w:space="0" w:color="auto"/>
        <w:right w:val="none" w:sz="0" w:space="0" w:color="auto"/>
      </w:divBdr>
    </w:div>
    <w:div w:id="400755467">
      <w:bodyDiv w:val="1"/>
      <w:marLeft w:val="0"/>
      <w:marRight w:val="0"/>
      <w:marTop w:val="0"/>
      <w:marBottom w:val="0"/>
      <w:divBdr>
        <w:top w:val="none" w:sz="0" w:space="0" w:color="auto"/>
        <w:left w:val="none" w:sz="0" w:space="0" w:color="auto"/>
        <w:bottom w:val="none" w:sz="0" w:space="0" w:color="auto"/>
        <w:right w:val="none" w:sz="0" w:space="0" w:color="auto"/>
      </w:divBdr>
    </w:div>
    <w:div w:id="423503599">
      <w:bodyDiv w:val="1"/>
      <w:marLeft w:val="0"/>
      <w:marRight w:val="0"/>
      <w:marTop w:val="0"/>
      <w:marBottom w:val="0"/>
      <w:divBdr>
        <w:top w:val="none" w:sz="0" w:space="0" w:color="auto"/>
        <w:left w:val="none" w:sz="0" w:space="0" w:color="auto"/>
        <w:bottom w:val="none" w:sz="0" w:space="0" w:color="auto"/>
        <w:right w:val="none" w:sz="0" w:space="0" w:color="auto"/>
      </w:divBdr>
    </w:div>
    <w:div w:id="477769812">
      <w:bodyDiv w:val="1"/>
      <w:marLeft w:val="0"/>
      <w:marRight w:val="0"/>
      <w:marTop w:val="0"/>
      <w:marBottom w:val="0"/>
      <w:divBdr>
        <w:top w:val="none" w:sz="0" w:space="0" w:color="auto"/>
        <w:left w:val="none" w:sz="0" w:space="0" w:color="auto"/>
        <w:bottom w:val="none" w:sz="0" w:space="0" w:color="auto"/>
        <w:right w:val="none" w:sz="0" w:space="0" w:color="auto"/>
      </w:divBdr>
    </w:div>
    <w:div w:id="550844501">
      <w:bodyDiv w:val="1"/>
      <w:marLeft w:val="0"/>
      <w:marRight w:val="0"/>
      <w:marTop w:val="0"/>
      <w:marBottom w:val="0"/>
      <w:divBdr>
        <w:top w:val="none" w:sz="0" w:space="0" w:color="auto"/>
        <w:left w:val="none" w:sz="0" w:space="0" w:color="auto"/>
        <w:bottom w:val="none" w:sz="0" w:space="0" w:color="auto"/>
        <w:right w:val="none" w:sz="0" w:space="0" w:color="auto"/>
      </w:divBdr>
    </w:div>
    <w:div w:id="552543847">
      <w:bodyDiv w:val="1"/>
      <w:marLeft w:val="0"/>
      <w:marRight w:val="0"/>
      <w:marTop w:val="0"/>
      <w:marBottom w:val="0"/>
      <w:divBdr>
        <w:top w:val="none" w:sz="0" w:space="0" w:color="auto"/>
        <w:left w:val="none" w:sz="0" w:space="0" w:color="auto"/>
        <w:bottom w:val="none" w:sz="0" w:space="0" w:color="auto"/>
        <w:right w:val="none" w:sz="0" w:space="0" w:color="auto"/>
      </w:divBdr>
    </w:div>
    <w:div w:id="554702120">
      <w:bodyDiv w:val="1"/>
      <w:marLeft w:val="0"/>
      <w:marRight w:val="0"/>
      <w:marTop w:val="0"/>
      <w:marBottom w:val="0"/>
      <w:divBdr>
        <w:top w:val="none" w:sz="0" w:space="0" w:color="auto"/>
        <w:left w:val="none" w:sz="0" w:space="0" w:color="auto"/>
        <w:bottom w:val="none" w:sz="0" w:space="0" w:color="auto"/>
        <w:right w:val="none" w:sz="0" w:space="0" w:color="auto"/>
      </w:divBdr>
    </w:div>
    <w:div w:id="664942177">
      <w:bodyDiv w:val="1"/>
      <w:marLeft w:val="0"/>
      <w:marRight w:val="0"/>
      <w:marTop w:val="0"/>
      <w:marBottom w:val="0"/>
      <w:divBdr>
        <w:top w:val="none" w:sz="0" w:space="0" w:color="auto"/>
        <w:left w:val="none" w:sz="0" w:space="0" w:color="auto"/>
        <w:bottom w:val="none" w:sz="0" w:space="0" w:color="auto"/>
        <w:right w:val="none" w:sz="0" w:space="0" w:color="auto"/>
      </w:divBdr>
    </w:div>
    <w:div w:id="685909546">
      <w:bodyDiv w:val="1"/>
      <w:marLeft w:val="0"/>
      <w:marRight w:val="0"/>
      <w:marTop w:val="0"/>
      <w:marBottom w:val="0"/>
      <w:divBdr>
        <w:top w:val="none" w:sz="0" w:space="0" w:color="auto"/>
        <w:left w:val="none" w:sz="0" w:space="0" w:color="auto"/>
        <w:bottom w:val="none" w:sz="0" w:space="0" w:color="auto"/>
        <w:right w:val="none" w:sz="0" w:space="0" w:color="auto"/>
      </w:divBdr>
    </w:div>
    <w:div w:id="719210636">
      <w:bodyDiv w:val="1"/>
      <w:marLeft w:val="0"/>
      <w:marRight w:val="0"/>
      <w:marTop w:val="0"/>
      <w:marBottom w:val="0"/>
      <w:divBdr>
        <w:top w:val="none" w:sz="0" w:space="0" w:color="auto"/>
        <w:left w:val="none" w:sz="0" w:space="0" w:color="auto"/>
        <w:bottom w:val="none" w:sz="0" w:space="0" w:color="auto"/>
        <w:right w:val="none" w:sz="0" w:space="0" w:color="auto"/>
      </w:divBdr>
    </w:div>
    <w:div w:id="826172380">
      <w:bodyDiv w:val="1"/>
      <w:marLeft w:val="0"/>
      <w:marRight w:val="0"/>
      <w:marTop w:val="0"/>
      <w:marBottom w:val="0"/>
      <w:divBdr>
        <w:top w:val="none" w:sz="0" w:space="0" w:color="auto"/>
        <w:left w:val="none" w:sz="0" w:space="0" w:color="auto"/>
        <w:bottom w:val="none" w:sz="0" w:space="0" w:color="auto"/>
        <w:right w:val="none" w:sz="0" w:space="0" w:color="auto"/>
      </w:divBdr>
    </w:div>
    <w:div w:id="870993057">
      <w:bodyDiv w:val="1"/>
      <w:marLeft w:val="0"/>
      <w:marRight w:val="0"/>
      <w:marTop w:val="0"/>
      <w:marBottom w:val="0"/>
      <w:divBdr>
        <w:top w:val="none" w:sz="0" w:space="0" w:color="auto"/>
        <w:left w:val="none" w:sz="0" w:space="0" w:color="auto"/>
        <w:bottom w:val="none" w:sz="0" w:space="0" w:color="auto"/>
        <w:right w:val="none" w:sz="0" w:space="0" w:color="auto"/>
      </w:divBdr>
    </w:div>
    <w:div w:id="912814541">
      <w:bodyDiv w:val="1"/>
      <w:marLeft w:val="0"/>
      <w:marRight w:val="0"/>
      <w:marTop w:val="0"/>
      <w:marBottom w:val="0"/>
      <w:divBdr>
        <w:top w:val="none" w:sz="0" w:space="0" w:color="auto"/>
        <w:left w:val="none" w:sz="0" w:space="0" w:color="auto"/>
        <w:bottom w:val="none" w:sz="0" w:space="0" w:color="auto"/>
        <w:right w:val="none" w:sz="0" w:space="0" w:color="auto"/>
      </w:divBdr>
    </w:div>
    <w:div w:id="1030839569">
      <w:bodyDiv w:val="1"/>
      <w:marLeft w:val="0"/>
      <w:marRight w:val="0"/>
      <w:marTop w:val="0"/>
      <w:marBottom w:val="0"/>
      <w:divBdr>
        <w:top w:val="none" w:sz="0" w:space="0" w:color="auto"/>
        <w:left w:val="none" w:sz="0" w:space="0" w:color="auto"/>
        <w:bottom w:val="none" w:sz="0" w:space="0" w:color="auto"/>
        <w:right w:val="none" w:sz="0" w:space="0" w:color="auto"/>
      </w:divBdr>
    </w:div>
    <w:div w:id="1032607201">
      <w:bodyDiv w:val="1"/>
      <w:marLeft w:val="0"/>
      <w:marRight w:val="0"/>
      <w:marTop w:val="0"/>
      <w:marBottom w:val="0"/>
      <w:divBdr>
        <w:top w:val="none" w:sz="0" w:space="0" w:color="auto"/>
        <w:left w:val="none" w:sz="0" w:space="0" w:color="auto"/>
        <w:bottom w:val="none" w:sz="0" w:space="0" w:color="auto"/>
        <w:right w:val="none" w:sz="0" w:space="0" w:color="auto"/>
      </w:divBdr>
    </w:div>
    <w:div w:id="1262882127">
      <w:bodyDiv w:val="1"/>
      <w:marLeft w:val="0"/>
      <w:marRight w:val="0"/>
      <w:marTop w:val="0"/>
      <w:marBottom w:val="0"/>
      <w:divBdr>
        <w:top w:val="none" w:sz="0" w:space="0" w:color="auto"/>
        <w:left w:val="none" w:sz="0" w:space="0" w:color="auto"/>
        <w:bottom w:val="none" w:sz="0" w:space="0" w:color="auto"/>
        <w:right w:val="none" w:sz="0" w:space="0" w:color="auto"/>
      </w:divBdr>
    </w:div>
    <w:div w:id="1299725334">
      <w:bodyDiv w:val="1"/>
      <w:marLeft w:val="0"/>
      <w:marRight w:val="0"/>
      <w:marTop w:val="0"/>
      <w:marBottom w:val="0"/>
      <w:divBdr>
        <w:top w:val="none" w:sz="0" w:space="0" w:color="auto"/>
        <w:left w:val="none" w:sz="0" w:space="0" w:color="auto"/>
        <w:bottom w:val="none" w:sz="0" w:space="0" w:color="auto"/>
        <w:right w:val="none" w:sz="0" w:space="0" w:color="auto"/>
      </w:divBdr>
    </w:div>
    <w:div w:id="1357149468">
      <w:bodyDiv w:val="1"/>
      <w:marLeft w:val="0"/>
      <w:marRight w:val="0"/>
      <w:marTop w:val="0"/>
      <w:marBottom w:val="0"/>
      <w:divBdr>
        <w:top w:val="none" w:sz="0" w:space="0" w:color="auto"/>
        <w:left w:val="none" w:sz="0" w:space="0" w:color="auto"/>
        <w:bottom w:val="none" w:sz="0" w:space="0" w:color="auto"/>
        <w:right w:val="none" w:sz="0" w:space="0" w:color="auto"/>
      </w:divBdr>
    </w:div>
    <w:div w:id="1396706465">
      <w:bodyDiv w:val="1"/>
      <w:marLeft w:val="0"/>
      <w:marRight w:val="0"/>
      <w:marTop w:val="0"/>
      <w:marBottom w:val="0"/>
      <w:divBdr>
        <w:top w:val="none" w:sz="0" w:space="0" w:color="auto"/>
        <w:left w:val="none" w:sz="0" w:space="0" w:color="auto"/>
        <w:bottom w:val="none" w:sz="0" w:space="0" w:color="auto"/>
        <w:right w:val="none" w:sz="0" w:space="0" w:color="auto"/>
      </w:divBdr>
    </w:div>
    <w:div w:id="1432698341">
      <w:bodyDiv w:val="1"/>
      <w:marLeft w:val="0"/>
      <w:marRight w:val="0"/>
      <w:marTop w:val="0"/>
      <w:marBottom w:val="0"/>
      <w:divBdr>
        <w:top w:val="none" w:sz="0" w:space="0" w:color="auto"/>
        <w:left w:val="none" w:sz="0" w:space="0" w:color="auto"/>
        <w:bottom w:val="none" w:sz="0" w:space="0" w:color="auto"/>
        <w:right w:val="none" w:sz="0" w:space="0" w:color="auto"/>
      </w:divBdr>
      <w:divsChild>
        <w:div w:id="364529501">
          <w:marLeft w:val="1267"/>
          <w:marRight w:val="0"/>
          <w:marTop w:val="0"/>
          <w:marBottom w:val="0"/>
          <w:divBdr>
            <w:top w:val="none" w:sz="0" w:space="0" w:color="auto"/>
            <w:left w:val="none" w:sz="0" w:space="0" w:color="auto"/>
            <w:bottom w:val="none" w:sz="0" w:space="0" w:color="auto"/>
            <w:right w:val="none" w:sz="0" w:space="0" w:color="auto"/>
          </w:divBdr>
        </w:div>
      </w:divsChild>
    </w:div>
    <w:div w:id="1449737834">
      <w:bodyDiv w:val="1"/>
      <w:marLeft w:val="0"/>
      <w:marRight w:val="0"/>
      <w:marTop w:val="0"/>
      <w:marBottom w:val="0"/>
      <w:divBdr>
        <w:top w:val="none" w:sz="0" w:space="0" w:color="auto"/>
        <w:left w:val="none" w:sz="0" w:space="0" w:color="auto"/>
        <w:bottom w:val="none" w:sz="0" w:space="0" w:color="auto"/>
        <w:right w:val="none" w:sz="0" w:space="0" w:color="auto"/>
      </w:divBdr>
    </w:div>
    <w:div w:id="1476291092">
      <w:bodyDiv w:val="1"/>
      <w:marLeft w:val="0"/>
      <w:marRight w:val="0"/>
      <w:marTop w:val="0"/>
      <w:marBottom w:val="0"/>
      <w:divBdr>
        <w:top w:val="none" w:sz="0" w:space="0" w:color="auto"/>
        <w:left w:val="none" w:sz="0" w:space="0" w:color="auto"/>
        <w:bottom w:val="none" w:sz="0" w:space="0" w:color="auto"/>
        <w:right w:val="none" w:sz="0" w:space="0" w:color="auto"/>
      </w:divBdr>
    </w:div>
    <w:div w:id="1509366394">
      <w:bodyDiv w:val="1"/>
      <w:marLeft w:val="0"/>
      <w:marRight w:val="0"/>
      <w:marTop w:val="0"/>
      <w:marBottom w:val="0"/>
      <w:divBdr>
        <w:top w:val="none" w:sz="0" w:space="0" w:color="auto"/>
        <w:left w:val="none" w:sz="0" w:space="0" w:color="auto"/>
        <w:bottom w:val="none" w:sz="0" w:space="0" w:color="auto"/>
        <w:right w:val="none" w:sz="0" w:space="0" w:color="auto"/>
      </w:divBdr>
    </w:div>
    <w:div w:id="1527668676">
      <w:bodyDiv w:val="1"/>
      <w:marLeft w:val="0"/>
      <w:marRight w:val="0"/>
      <w:marTop w:val="0"/>
      <w:marBottom w:val="0"/>
      <w:divBdr>
        <w:top w:val="none" w:sz="0" w:space="0" w:color="auto"/>
        <w:left w:val="none" w:sz="0" w:space="0" w:color="auto"/>
        <w:bottom w:val="none" w:sz="0" w:space="0" w:color="auto"/>
        <w:right w:val="none" w:sz="0" w:space="0" w:color="auto"/>
      </w:divBdr>
    </w:div>
    <w:div w:id="1530409232">
      <w:bodyDiv w:val="1"/>
      <w:marLeft w:val="0"/>
      <w:marRight w:val="0"/>
      <w:marTop w:val="0"/>
      <w:marBottom w:val="0"/>
      <w:divBdr>
        <w:top w:val="none" w:sz="0" w:space="0" w:color="auto"/>
        <w:left w:val="none" w:sz="0" w:space="0" w:color="auto"/>
        <w:bottom w:val="none" w:sz="0" w:space="0" w:color="auto"/>
        <w:right w:val="none" w:sz="0" w:space="0" w:color="auto"/>
      </w:divBdr>
    </w:div>
    <w:div w:id="1565530601">
      <w:bodyDiv w:val="1"/>
      <w:marLeft w:val="0"/>
      <w:marRight w:val="0"/>
      <w:marTop w:val="0"/>
      <w:marBottom w:val="0"/>
      <w:divBdr>
        <w:top w:val="none" w:sz="0" w:space="0" w:color="auto"/>
        <w:left w:val="none" w:sz="0" w:space="0" w:color="auto"/>
        <w:bottom w:val="none" w:sz="0" w:space="0" w:color="auto"/>
        <w:right w:val="none" w:sz="0" w:space="0" w:color="auto"/>
      </w:divBdr>
    </w:div>
    <w:div w:id="1690328231">
      <w:bodyDiv w:val="1"/>
      <w:marLeft w:val="0"/>
      <w:marRight w:val="0"/>
      <w:marTop w:val="0"/>
      <w:marBottom w:val="0"/>
      <w:divBdr>
        <w:top w:val="none" w:sz="0" w:space="0" w:color="auto"/>
        <w:left w:val="none" w:sz="0" w:space="0" w:color="auto"/>
        <w:bottom w:val="none" w:sz="0" w:space="0" w:color="auto"/>
        <w:right w:val="none" w:sz="0" w:space="0" w:color="auto"/>
      </w:divBdr>
    </w:div>
    <w:div w:id="1759787007">
      <w:bodyDiv w:val="1"/>
      <w:marLeft w:val="0"/>
      <w:marRight w:val="0"/>
      <w:marTop w:val="0"/>
      <w:marBottom w:val="0"/>
      <w:divBdr>
        <w:top w:val="none" w:sz="0" w:space="0" w:color="auto"/>
        <w:left w:val="none" w:sz="0" w:space="0" w:color="auto"/>
        <w:bottom w:val="none" w:sz="0" w:space="0" w:color="auto"/>
        <w:right w:val="none" w:sz="0" w:space="0" w:color="auto"/>
      </w:divBdr>
    </w:div>
    <w:div w:id="1841118616">
      <w:bodyDiv w:val="1"/>
      <w:marLeft w:val="0"/>
      <w:marRight w:val="0"/>
      <w:marTop w:val="0"/>
      <w:marBottom w:val="0"/>
      <w:divBdr>
        <w:top w:val="none" w:sz="0" w:space="0" w:color="auto"/>
        <w:left w:val="none" w:sz="0" w:space="0" w:color="auto"/>
        <w:bottom w:val="none" w:sz="0" w:space="0" w:color="auto"/>
        <w:right w:val="none" w:sz="0" w:space="0" w:color="auto"/>
      </w:divBdr>
    </w:div>
    <w:div w:id="1930963734">
      <w:bodyDiv w:val="1"/>
      <w:marLeft w:val="0"/>
      <w:marRight w:val="0"/>
      <w:marTop w:val="0"/>
      <w:marBottom w:val="0"/>
      <w:divBdr>
        <w:top w:val="none" w:sz="0" w:space="0" w:color="auto"/>
        <w:left w:val="none" w:sz="0" w:space="0" w:color="auto"/>
        <w:bottom w:val="none" w:sz="0" w:space="0" w:color="auto"/>
        <w:right w:val="none" w:sz="0" w:space="0" w:color="auto"/>
      </w:divBdr>
      <w:divsChild>
        <w:div w:id="249971836">
          <w:marLeft w:val="1267"/>
          <w:marRight w:val="0"/>
          <w:marTop w:val="0"/>
          <w:marBottom w:val="0"/>
          <w:divBdr>
            <w:top w:val="none" w:sz="0" w:space="0" w:color="auto"/>
            <w:left w:val="none" w:sz="0" w:space="0" w:color="auto"/>
            <w:bottom w:val="none" w:sz="0" w:space="0" w:color="auto"/>
            <w:right w:val="none" w:sz="0" w:space="0" w:color="auto"/>
          </w:divBdr>
        </w:div>
        <w:div w:id="323633541">
          <w:marLeft w:val="1267"/>
          <w:marRight w:val="0"/>
          <w:marTop w:val="0"/>
          <w:marBottom w:val="0"/>
          <w:divBdr>
            <w:top w:val="none" w:sz="0" w:space="0" w:color="auto"/>
            <w:left w:val="none" w:sz="0" w:space="0" w:color="auto"/>
            <w:bottom w:val="none" w:sz="0" w:space="0" w:color="auto"/>
            <w:right w:val="none" w:sz="0" w:space="0" w:color="auto"/>
          </w:divBdr>
        </w:div>
        <w:div w:id="1129472015">
          <w:marLeft w:val="1267"/>
          <w:marRight w:val="0"/>
          <w:marTop w:val="0"/>
          <w:marBottom w:val="0"/>
          <w:divBdr>
            <w:top w:val="none" w:sz="0" w:space="0" w:color="auto"/>
            <w:left w:val="none" w:sz="0" w:space="0" w:color="auto"/>
            <w:bottom w:val="none" w:sz="0" w:space="0" w:color="auto"/>
            <w:right w:val="none" w:sz="0" w:space="0" w:color="auto"/>
          </w:divBdr>
        </w:div>
      </w:divsChild>
    </w:div>
    <w:div w:id="2024747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99" Type="http://schemas.openxmlformats.org/officeDocument/2006/relationships/oleObject" Target="embeddings/oleObject141.bin"/><Relationship Id="rId21" Type="http://schemas.openxmlformats.org/officeDocument/2006/relationships/oleObject" Target="embeddings/oleObject7.bin"/><Relationship Id="rId63" Type="http://schemas.openxmlformats.org/officeDocument/2006/relationships/image" Target="media/image29.wmf"/><Relationship Id="rId159" Type="http://schemas.openxmlformats.org/officeDocument/2006/relationships/oleObject" Target="embeddings/oleObject76.bin"/><Relationship Id="rId324" Type="http://schemas.openxmlformats.org/officeDocument/2006/relationships/image" Target="media/image163.wmf"/><Relationship Id="rId366" Type="http://schemas.openxmlformats.org/officeDocument/2006/relationships/oleObject" Target="embeddings/oleObject176.bin"/><Relationship Id="rId170" Type="http://schemas.openxmlformats.org/officeDocument/2006/relationships/oleObject" Target="embeddings/oleObject81.bin"/><Relationship Id="rId226" Type="http://schemas.openxmlformats.org/officeDocument/2006/relationships/image" Target="media/image114.wmf"/><Relationship Id="rId268" Type="http://schemas.openxmlformats.org/officeDocument/2006/relationships/image" Target="media/image135.wmf"/><Relationship Id="rId32" Type="http://schemas.openxmlformats.org/officeDocument/2006/relationships/oleObject" Target="embeddings/oleObject12.bin"/><Relationship Id="rId74" Type="http://schemas.openxmlformats.org/officeDocument/2006/relationships/oleObject" Target="embeddings/oleObject33.bin"/><Relationship Id="rId128" Type="http://schemas.openxmlformats.org/officeDocument/2006/relationships/image" Target="media/image61.wmf"/><Relationship Id="rId335" Type="http://schemas.openxmlformats.org/officeDocument/2006/relationships/oleObject" Target="embeddings/oleObject160.bin"/><Relationship Id="rId377" Type="http://schemas.openxmlformats.org/officeDocument/2006/relationships/image" Target="media/image190.wmf"/><Relationship Id="rId5" Type="http://schemas.openxmlformats.org/officeDocument/2006/relationships/webSettings" Target="webSettings.xml"/><Relationship Id="rId181" Type="http://schemas.openxmlformats.org/officeDocument/2006/relationships/image" Target="media/image88.wmf"/><Relationship Id="rId237" Type="http://schemas.openxmlformats.org/officeDocument/2006/relationships/oleObject" Target="embeddings/oleObject111.bin"/><Relationship Id="rId402" Type="http://schemas.openxmlformats.org/officeDocument/2006/relationships/oleObject" Target="embeddings/oleObject193.bin"/><Relationship Id="rId279" Type="http://schemas.openxmlformats.org/officeDocument/2006/relationships/image" Target="media/image142.wmf"/><Relationship Id="rId43" Type="http://schemas.openxmlformats.org/officeDocument/2006/relationships/image" Target="media/image19.wmf"/><Relationship Id="rId139" Type="http://schemas.openxmlformats.org/officeDocument/2006/relationships/oleObject" Target="embeddings/oleObject66.bin"/><Relationship Id="rId290" Type="http://schemas.openxmlformats.org/officeDocument/2006/relationships/oleObject" Target="embeddings/oleObject136.bin"/><Relationship Id="rId304" Type="http://schemas.openxmlformats.org/officeDocument/2006/relationships/image" Target="media/image153.wmf"/><Relationship Id="rId346" Type="http://schemas.openxmlformats.org/officeDocument/2006/relationships/oleObject" Target="embeddings/oleObject166.bin"/><Relationship Id="rId388" Type="http://schemas.openxmlformats.org/officeDocument/2006/relationships/oleObject" Target="embeddings/oleObject186.bin"/><Relationship Id="rId85" Type="http://schemas.openxmlformats.org/officeDocument/2006/relationships/image" Target="media/image40.wmf"/><Relationship Id="rId150" Type="http://schemas.openxmlformats.org/officeDocument/2006/relationships/image" Target="media/image72.wmf"/><Relationship Id="rId192" Type="http://schemas.openxmlformats.org/officeDocument/2006/relationships/oleObject" Target="embeddings/oleObject91.bin"/><Relationship Id="rId206" Type="http://schemas.openxmlformats.org/officeDocument/2006/relationships/oleObject" Target="embeddings/oleObject98.bin"/><Relationship Id="rId413" Type="http://schemas.openxmlformats.org/officeDocument/2006/relationships/image" Target="media/image208.wmf"/><Relationship Id="rId248" Type="http://schemas.openxmlformats.org/officeDocument/2006/relationships/image" Target="media/image125.wmf"/><Relationship Id="rId12" Type="http://schemas.openxmlformats.org/officeDocument/2006/relationships/image" Target="media/image3.wmf"/><Relationship Id="rId108" Type="http://schemas.openxmlformats.org/officeDocument/2006/relationships/image" Target="media/image51.wmf"/><Relationship Id="rId315" Type="http://schemas.openxmlformats.org/officeDocument/2006/relationships/oleObject" Target="embeddings/oleObject150.bin"/><Relationship Id="rId357" Type="http://schemas.openxmlformats.org/officeDocument/2006/relationships/image" Target="media/image179.wmf"/><Relationship Id="rId54" Type="http://schemas.openxmlformats.org/officeDocument/2006/relationships/oleObject" Target="embeddings/oleObject23.bin"/><Relationship Id="rId96" Type="http://schemas.openxmlformats.org/officeDocument/2006/relationships/image" Target="media/image45.wmf"/><Relationship Id="rId161" Type="http://schemas.openxmlformats.org/officeDocument/2006/relationships/oleObject" Target="embeddings/oleObject77.bin"/><Relationship Id="rId217" Type="http://schemas.openxmlformats.org/officeDocument/2006/relationships/oleObject" Target="embeddings/oleObject103.bin"/><Relationship Id="rId399" Type="http://schemas.openxmlformats.org/officeDocument/2006/relationships/image" Target="media/image201.wmf"/><Relationship Id="rId259" Type="http://schemas.openxmlformats.org/officeDocument/2006/relationships/oleObject" Target="embeddings/oleObject122.bin"/><Relationship Id="rId23" Type="http://schemas.openxmlformats.org/officeDocument/2006/relationships/image" Target="media/image9.wmf"/><Relationship Id="rId119" Type="http://schemas.openxmlformats.org/officeDocument/2006/relationships/oleObject" Target="embeddings/oleObject56.bin"/><Relationship Id="rId270" Type="http://schemas.openxmlformats.org/officeDocument/2006/relationships/image" Target="media/image136.wmf"/><Relationship Id="rId326" Type="http://schemas.openxmlformats.org/officeDocument/2006/relationships/image" Target="media/image164.wmf"/><Relationship Id="rId65" Type="http://schemas.openxmlformats.org/officeDocument/2006/relationships/image" Target="media/image30.wmf"/><Relationship Id="rId130" Type="http://schemas.openxmlformats.org/officeDocument/2006/relationships/image" Target="media/image62.wmf"/><Relationship Id="rId368" Type="http://schemas.openxmlformats.org/officeDocument/2006/relationships/oleObject" Target="embeddings/oleObject177.bin"/><Relationship Id="rId172" Type="http://schemas.openxmlformats.org/officeDocument/2006/relationships/oleObject" Target="embeddings/oleObject82.bin"/><Relationship Id="rId228" Type="http://schemas.openxmlformats.org/officeDocument/2006/relationships/image" Target="media/image115.wmf"/><Relationship Id="rId281" Type="http://schemas.openxmlformats.org/officeDocument/2006/relationships/image" Target="media/image143.wmf"/><Relationship Id="rId337" Type="http://schemas.openxmlformats.org/officeDocument/2006/relationships/oleObject" Target="embeddings/oleObject161.bin"/><Relationship Id="rId34" Type="http://schemas.openxmlformats.org/officeDocument/2006/relationships/oleObject" Target="embeddings/oleObject13.bin"/><Relationship Id="rId76" Type="http://schemas.openxmlformats.org/officeDocument/2006/relationships/oleObject" Target="embeddings/oleObject34.bin"/><Relationship Id="rId141" Type="http://schemas.openxmlformats.org/officeDocument/2006/relationships/oleObject" Target="embeddings/oleObject67.bin"/><Relationship Id="rId379" Type="http://schemas.openxmlformats.org/officeDocument/2006/relationships/image" Target="media/image191.wmf"/><Relationship Id="rId7" Type="http://schemas.openxmlformats.org/officeDocument/2006/relationships/endnotes" Target="endnotes.xml"/><Relationship Id="rId183" Type="http://schemas.openxmlformats.org/officeDocument/2006/relationships/image" Target="media/image89.wmf"/><Relationship Id="rId239" Type="http://schemas.openxmlformats.org/officeDocument/2006/relationships/oleObject" Target="embeddings/oleObject112.bin"/><Relationship Id="rId390" Type="http://schemas.openxmlformats.org/officeDocument/2006/relationships/oleObject" Target="embeddings/oleObject187.bin"/><Relationship Id="rId404" Type="http://schemas.openxmlformats.org/officeDocument/2006/relationships/oleObject" Target="embeddings/oleObject194.bin"/><Relationship Id="rId250" Type="http://schemas.openxmlformats.org/officeDocument/2006/relationships/image" Target="media/image126.wmf"/><Relationship Id="rId292" Type="http://schemas.openxmlformats.org/officeDocument/2006/relationships/oleObject" Target="embeddings/oleObject137.bin"/><Relationship Id="rId306" Type="http://schemas.openxmlformats.org/officeDocument/2006/relationships/image" Target="media/image154.wmf"/><Relationship Id="rId45" Type="http://schemas.openxmlformats.org/officeDocument/2006/relationships/image" Target="media/image20.wmf"/><Relationship Id="rId87" Type="http://schemas.openxmlformats.org/officeDocument/2006/relationships/image" Target="media/image41.wmf"/><Relationship Id="rId110" Type="http://schemas.openxmlformats.org/officeDocument/2006/relationships/image" Target="media/image52.wmf"/><Relationship Id="rId348" Type="http://schemas.openxmlformats.org/officeDocument/2006/relationships/oleObject" Target="embeddings/oleObject167.bin"/><Relationship Id="rId152" Type="http://schemas.openxmlformats.org/officeDocument/2006/relationships/image" Target="media/image73.wmf"/><Relationship Id="rId194" Type="http://schemas.openxmlformats.org/officeDocument/2006/relationships/oleObject" Target="embeddings/oleObject92.bin"/><Relationship Id="rId208" Type="http://schemas.openxmlformats.org/officeDocument/2006/relationships/oleObject" Target="embeddings/oleObject99.bin"/><Relationship Id="rId415" Type="http://schemas.openxmlformats.org/officeDocument/2006/relationships/footer" Target="footer1.xml"/><Relationship Id="rId261" Type="http://schemas.openxmlformats.org/officeDocument/2006/relationships/oleObject" Target="embeddings/oleObject123.bin"/><Relationship Id="rId14" Type="http://schemas.openxmlformats.org/officeDocument/2006/relationships/image" Target="media/image4.wmf"/><Relationship Id="rId56" Type="http://schemas.openxmlformats.org/officeDocument/2006/relationships/oleObject" Target="embeddings/oleObject24.bin"/><Relationship Id="rId317" Type="http://schemas.openxmlformats.org/officeDocument/2006/relationships/oleObject" Target="embeddings/oleObject151.bin"/><Relationship Id="rId359" Type="http://schemas.openxmlformats.org/officeDocument/2006/relationships/image" Target="media/image180.wmf"/><Relationship Id="rId98" Type="http://schemas.openxmlformats.org/officeDocument/2006/relationships/image" Target="media/image46.wmf"/><Relationship Id="rId121" Type="http://schemas.openxmlformats.org/officeDocument/2006/relationships/oleObject" Target="embeddings/oleObject57.bin"/><Relationship Id="rId163" Type="http://schemas.openxmlformats.org/officeDocument/2006/relationships/oleObject" Target="embeddings/oleObject78.bin"/><Relationship Id="rId219" Type="http://schemas.openxmlformats.org/officeDocument/2006/relationships/image" Target="media/image109.png"/><Relationship Id="rId370" Type="http://schemas.openxmlformats.org/officeDocument/2006/relationships/oleObject" Target="embeddings/oleObject178.bin"/><Relationship Id="rId230" Type="http://schemas.openxmlformats.org/officeDocument/2006/relationships/image" Target="media/image116.wmf"/><Relationship Id="rId25" Type="http://schemas.openxmlformats.org/officeDocument/2006/relationships/image" Target="media/image10.wmf"/><Relationship Id="rId67" Type="http://schemas.openxmlformats.org/officeDocument/2006/relationships/image" Target="media/image31.wmf"/><Relationship Id="rId272" Type="http://schemas.openxmlformats.org/officeDocument/2006/relationships/image" Target="media/image137.wmf"/><Relationship Id="rId328" Type="http://schemas.openxmlformats.org/officeDocument/2006/relationships/image" Target="media/image165.wmf"/><Relationship Id="rId132" Type="http://schemas.openxmlformats.org/officeDocument/2006/relationships/image" Target="media/image63.wmf"/><Relationship Id="rId174" Type="http://schemas.openxmlformats.org/officeDocument/2006/relationships/oleObject" Target="embeddings/oleObject83.bin"/><Relationship Id="rId381" Type="http://schemas.openxmlformats.org/officeDocument/2006/relationships/image" Target="media/image192.wmf"/><Relationship Id="rId241" Type="http://schemas.openxmlformats.org/officeDocument/2006/relationships/oleObject" Target="embeddings/oleObject113.bin"/><Relationship Id="rId36" Type="http://schemas.openxmlformats.org/officeDocument/2006/relationships/oleObject" Target="embeddings/oleObject14.bin"/><Relationship Id="rId283" Type="http://schemas.openxmlformats.org/officeDocument/2006/relationships/image" Target="media/image144.wmf"/><Relationship Id="rId339" Type="http://schemas.openxmlformats.org/officeDocument/2006/relationships/oleObject" Target="embeddings/oleObject162.bin"/><Relationship Id="rId78" Type="http://schemas.openxmlformats.org/officeDocument/2006/relationships/oleObject" Target="embeddings/oleObject35.bin"/><Relationship Id="rId101" Type="http://schemas.openxmlformats.org/officeDocument/2006/relationships/oleObject" Target="embeddings/oleObject47.bin"/><Relationship Id="rId143" Type="http://schemas.openxmlformats.org/officeDocument/2006/relationships/oleObject" Target="embeddings/oleObject68.bin"/><Relationship Id="rId185" Type="http://schemas.openxmlformats.org/officeDocument/2006/relationships/image" Target="media/image90.png"/><Relationship Id="rId350" Type="http://schemas.openxmlformats.org/officeDocument/2006/relationships/oleObject" Target="embeddings/oleObject168.bin"/><Relationship Id="rId406" Type="http://schemas.openxmlformats.org/officeDocument/2006/relationships/oleObject" Target="embeddings/oleObject195.bin"/><Relationship Id="rId9" Type="http://schemas.openxmlformats.org/officeDocument/2006/relationships/oleObject" Target="embeddings/oleObject1.bin"/><Relationship Id="rId210" Type="http://schemas.openxmlformats.org/officeDocument/2006/relationships/oleObject" Target="embeddings/oleObject100.bin"/><Relationship Id="rId392" Type="http://schemas.openxmlformats.org/officeDocument/2006/relationships/oleObject" Target="embeddings/oleObject188.bin"/><Relationship Id="rId252" Type="http://schemas.openxmlformats.org/officeDocument/2006/relationships/image" Target="media/image127.wmf"/><Relationship Id="rId294" Type="http://schemas.openxmlformats.org/officeDocument/2006/relationships/oleObject" Target="embeddings/oleObject139.bin"/><Relationship Id="rId308" Type="http://schemas.openxmlformats.org/officeDocument/2006/relationships/image" Target="media/image155.wmf"/><Relationship Id="rId47" Type="http://schemas.openxmlformats.org/officeDocument/2006/relationships/image" Target="media/image21.wmf"/><Relationship Id="rId89" Type="http://schemas.openxmlformats.org/officeDocument/2006/relationships/image" Target="media/image42.wmf"/><Relationship Id="rId112" Type="http://schemas.openxmlformats.org/officeDocument/2006/relationships/image" Target="media/image53.wmf"/><Relationship Id="rId154" Type="http://schemas.openxmlformats.org/officeDocument/2006/relationships/image" Target="media/image74.wmf"/><Relationship Id="rId361" Type="http://schemas.openxmlformats.org/officeDocument/2006/relationships/image" Target="media/image181.wmf"/><Relationship Id="rId196" Type="http://schemas.openxmlformats.org/officeDocument/2006/relationships/oleObject" Target="embeddings/oleObject93.bin"/><Relationship Id="rId417" Type="http://schemas.openxmlformats.org/officeDocument/2006/relationships/theme" Target="theme/theme1.xml"/><Relationship Id="rId16" Type="http://schemas.openxmlformats.org/officeDocument/2006/relationships/image" Target="media/image5.wmf"/><Relationship Id="rId221" Type="http://schemas.openxmlformats.org/officeDocument/2006/relationships/image" Target="media/image111.png"/><Relationship Id="rId263" Type="http://schemas.openxmlformats.org/officeDocument/2006/relationships/oleObject" Target="embeddings/oleObject124.bin"/><Relationship Id="rId319" Type="http://schemas.openxmlformats.org/officeDocument/2006/relationships/oleObject" Target="embeddings/oleObject152.bin"/><Relationship Id="rId58" Type="http://schemas.openxmlformats.org/officeDocument/2006/relationships/oleObject" Target="embeddings/oleObject25.bin"/><Relationship Id="rId123" Type="http://schemas.openxmlformats.org/officeDocument/2006/relationships/oleObject" Target="embeddings/oleObject58.bin"/><Relationship Id="rId330" Type="http://schemas.openxmlformats.org/officeDocument/2006/relationships/image" Target="media/image166.wmf"/><Relationship Id="rId165" Type="http://schemas.openxmlformats.org/officeDocument/2006/relationships/oleObject" Target="embeddings/oleObject79.bin"/><Relationship Id="rId372" Type="http://schemas.openxmlformats.org/officeDocument/2006/relationships/oleObject" Target="embeddings/oleObject179.bin"/><Relationship Id="rId232" Type="http://schemas.openxmlformats.org/officeDocument/2006/relationships/image" Target="media/image117.wmf"/><Relationship Id="rId274" Type="http://schemas.openxmlformats.org/officeDocument/2006/relationships/image" Target="media/image138.png"/><Relationship Id="rId27" Type="http://schemas.openxmlformats.org/officeDocument/2006/relationships/image" Target="media/image11.wmf"/><Relationship Id="rId69" Type="http://schemas.openxmlformats.org/officeDocument/2006/relationships/image" Target="media/image32.wmf"/><Relationship Id="rId134" Type="http://schemas.openxmlformats.org/officeDocument/2006/relationships/image" Target="media/image64.wmf"/><Relationship Id="rId80" Type="http://schemas.openxmlformats.org/officeDocument/2006/relationships/oleObject" Target="embeddings/oleObject36.bin"/><Relationship Id="rId176" Type="http://schemas.openxmlformats.org/officeDocument/2006/relationships/oleObject" Target="embeddings/oleObject84.bin"/><Relationship Id="rId341" Type="http://schemas.openxmlformats.org/officeDocument/2006/relationships/image" Target="media/image171.wmf"/><Relationship Id="rId383" Type="http://schemas.openxmlformats.org/officeDocument/2006/relationships/image" Target="media/image193.wmf"/><Relationship Id="rId201" Type="http://schemas.openxmlformats.org/officeDocument/2006/relationships/image" Target="media/image99.wmf"/><Relationship Id="rId222" Type="http://schemas.openxmlformats.org/officeDocument/2006/relationships/image" Target="media/image112.wmf"/><Relationship Id="rId243" Type="http://schemas.openxmlformats.org/officeDocument/2006/relationships/oleObject" Target="embeddings/oleObject114.bin"/><Relationship Id="rId264" Type="http://schemas.openxmlformats.org/officeDocument/2006/relationships/image" Target="media/image133.wmf"/><Relationship Id="rId285" Type="http://schemas.openxmlformats.org/officeDocument/2006/relationships/image" Target="media/image145.wmf"/><Relationship Id="rId17" Type="http://schemas.openxmlformats.org/officeDocument/2006/relationships/oleObject" Target="embeddings/oleObject5.bin"/><Relationship Id="rId38" Type="http://schemas.openxmlformats.org/officeDocument/2006/relationships/oleObject" Target="embeddings/oleObject15.bin"/><Relationship Id="rId59" Type="http://schemas.openxmlformats.org/officeDocument/2006/relationships/image" Target="media/image27.wmf"/><Relationship Id="rId103" Type="http://schemas.openxmlformats.org/officeDocument/2006/relationships/oleObject" Target="embeddings/oleObject48.bin"/><Relationship Id="rId124" Type="http://schemas.openxmlformats.org/officeDocument/2006/relationships/image" Target="media/image59.wmf"/><Relationship Id="rId310" Type="http://schemas.openxmlformats.org/officeDocument/2006/relationships/image" Target="media/image156.wmf"/><Relationship Id="rId70" Type="http://schemas.openxmlformats.org/officeDocument/2006/relationships/oleObject" Target="embeddings/oleObject31.bin"/><Relationship Id="rId91" Type="http://schemas.openxmlformats.org/officeDocument/2006/relationships/oleObject" Target="embeddings/oleObject42.bin"/><Relationship Id="rId145" Type="http://schemas.openxmlformats.org/officeDocument/2006/relationships/oleObject" Target="embeddings/oleObject69.bin"/><Relationship Id="rId166" Type="http://schemas.openxmlformats.org/officeDocument/2006/relationships/image" Target="media/image80.wmf"/><Relationship Id="rId187" Type="http://schemas.openxmlformats.org/officeDocument/2006/relationships/image" Target="media/image92.wmf"/><Relationship Id="rId331" Type="http://schemas.openxmlformats.org/officeDocument/2006/relationships/oleObject" Target="embeddings/oleObject158.bin"/><Relationship Id="rId352" Type="http://schemas.openxmlformats.org/officeDocument/2006/relationships/oleObject" Target="embeddings/oleObject169.bin"/><Relationship Id="rId373" Type="http://schemas.openxmlformats.org/officeDocument/2006/relationships/image" Target="media/image187.wmf"/><Relationship Id="rId394" Type="http://schemas.openxmlformats.org/officeDocument/2006/relationships/oleObject" Target="embeddings/oleObject189.bin"/><Relationship Id="rId408" Type="http://schemas.openxmlformats.org/officeDocument/2006/relationships/oleObject" Target="embeddings/oleObject196.bin"/><Relationship Id="rId1" Type="http://schemas.openxmlformats.org/officeDocument/2006/relationships/customXml" Target="../customXml/item1.xml"/><Relationship Id="rId212" Type="http://schemas.openxmlformats.org/officeDocument/2006/relationships/image" Target="media/image105.wmf"/><Relationship Id="rId233" Type="http://schemas.openxmlformats.org/officeDocument/2006/relationships/oleObject" Target="embeddings/oleObject109.bin"/><Relationship Id="rId254" Type="http://schemas.openxmlformats.org/officeDocument/2006/relationships/image" Target="media/image128.wmf"/><Relationship Id="rId28" Type="http://schemas.openxmlformats.org/officeDocument/2006/relationships/oleObject" Target="embeddings/oleObject10.bin"/><Relationship Id="rId49" Type="http://schemas.openxmlformats.org/officeDocument/2006/relationships/image" Target="media/image22.wmf"/><Relationship Id="rId114" Type="http://schemas.openxmlformats.org/officeDocument/2006/relationships/image" Target="media/image54.wmf"/><Relationship Id="rId275" Type="http://schemas.openxmlformats.org/officeDocument/2006/relationships/image" Target="media/image139.svg"/><Relationship Id="rId296" Type="http://schemas.openxmlformats.org/officeDocument/2006/relationships/image" Target="media/image150.wmf"/><Relationship Id="rId300" Type="http://schemas.openxmlformats.org/officeDocument/2006/relationships/image" Target="media/image152.wmf"/><Relationship Id="rId60" Type="http://schemas.openxmlformats.org/officeDocument/2006/relationships/oleObject" Target="embeddings/oleObject26.bin"/><Relationship Id="rId81" Type="http://schemas.openxmlformats.org/officeDocument/2006/relationships/image" Target="media/image38.wmf"/><Relationship Id="rId135" Type="http://schemas.openxmlformats.org/officeDocument/2006/relationships/oleObject" Target="embeddings/oleObject64.bin"/><Relationship Id="rId156" Type="http://schemas.openxmlformats.org/officeDocument/2006/relationships/image" Target="media/image75.wmf"/><Relationship Id="rId177" Type="http://schemas.openxmlformats.org/officeDocument/2006/relationships/image" Target="media/image86.wmf"/><Relationship Id="rId198" Type="http://schemas.openxmlformats.org/officeDocument/2006/relationships/oleObject" Target="embeddings/oleObject94.bin"/><Relationship Id="rId321" Type="http://schemas.openxmlformats.org/officeDocument/2006/relationships/oleObject" Target="embeddings/oleObject153.bin"/><Relationship Id="rId342" Type="http://schemas.openxmlformats.org/officeDocument/2006/relationships/oleObject" Target="embeddings/oleObject164.bin"/><Relationship Id="rId363" Type="http://schemas.openxmlformats.org/officeDocument/2006/relationships/image" Target="media/image182.wmf"/><Relationship Id="rId384" Type="http://schemas.openxmlformats.org/officeDocument/2006/relationships/oleObject" Target="embeddings/oleObject184.bin"/><Relationship Id="rId202" Type="http://schemas.openxmlformats.org/officeDocument/2006/relationships/oleObject" Target="embeddings/oleObject96.bin"/><Relationship Id="rId223" Type="http://schemas.openxmlformats.org/officeDocument/2006/relationships/oleObject" Target="embeddings/oleObject104.bin"/><Relationship Id="rId244" Type="http://schemas.openxmlformats.org/officeDocument/2006/relationships/image" Target="media/image123.wmf"/><Relationship Id="rId18" Type="http://schemas.openxmlformats.org/officeDocument/2006/relationships/image" Target="media/image6.wmf"/><Relationship Id="rId39" Type="http://schemas.openxmlformats.org/officeDocument/2006/relationships/image" Target="media/image17.wmf"/><Relationship Id="rId265" Type="http://schemas.openxmlformats.org/officeDocument/2006/relationships/oleObject" Target="embeddings/oleObject125.bin"/><Relationship Id="rId286" Type="http://schemas.openxmlformats.org/officeDocument/2006/relationships/oleObject" Target="embeddings/oleObject134.bin"/><Relationship Id="rId50" Type="http://schemas.openxmlformats.org/officeDocument/2006/relationships/oleObject" Target="embeddings/oleObject21.bin"/><Relationship Id="rId104" Type="http://schemas.openxmlformats.org/officeDocument/2006/relationships/image" Target="media/image49.wmf"/><Relationship Id="rId125" Type="http://schemas.openxmlformats.org/officeDocument/2006/relationships/oleObject" Target="embeddings/oleObject59.bin"/><Relationship Id="rId146" Type="http://schemas.openxmlformats.org/officeDocument/2006/relationships/image" Target="media/image70.wmf"/><Relationship Id="rId167" Type="http://schemas.openxmlformats.org/officeDocument/2006/relationships/oleObject" Target="embeddings/oleObject80.bin"/><Relationship Id="rId188" Type="http://schemas.openxmlformats.org/officeDocument/2006/relationships/oleObject" Target="embeddings/oleObject89.bin"/><Relationship Id="rId311" Type="http://schemas.openxmlformats.org/officeDocument/2006/relationships/oleObject" Target="embeddings/oleObject148.bin"/><Relationship Id="rId332" Type="http://schemas.openxmlformats.org/officeDocument/2006/relationships/image" Target="media/image167.wmf"/><Relationship Id="rId353" Type="http://schemas.openxmlformats.org/officeDocument/2006/relationships/image" Target="media/image177.wmf"/><Relationship Id="rId374" Type="http://schemas.openxmlformats.org/officeDocument/2006/relationships/oleObject" Target="embeddings/oleObject180.bin"/><Relationship Id="rId395" Type="http://schemas.openxmlformats.org/officeDocument/2006/relationships/image" Target="media/image199.wmf"/><Relationship Id="rId409" Type="http://schemas.openxmlformats.org/officeDocument/2006/relationships/image" Target="media/image206.wmf"/><Relationship Id="rId71" Type="http://schemas.openxmlformats.org/officeDocument/2006/relationships/image" Target="media/image33.wmf"/><Relationship Id="rId92" Type="http://schemas.openxmlformats.org/officeDocument/2006/relationships/image" Target="media/image43.wmf"/><Relationship Id="rId213" Type="http://schemas.openxmlformats.org/officeDocument/2006/relationships/oleObject" Target="embeddings/oleObject101.bin"/><Relationship Id="rId234" Type="http://schemas.openxmlformats.org/officeDocument/2006/relationships/image" Target="media/image118.wmf"/><Relationship Id="rId2" Type="http://schemas.openxmlformats.org/officeDocument/2006/relationships/numbering" Target="numbering.xml"/><Relationship Id="rId29" Type="http://schemas.openxmlformats.org/officeDocument/2006/relationships/image" Target="media/image12.wmf"/><Relationship Id="rId255" Type="http://schemas.openxmlformats.org/officeDocument/2006/relationships/oleObject" Target="embeddings/oleObject120.bin"/><Relationship Id="rId276" Type="http://schemas.openxmlformats.org/officeDocument/2006/relationships/image" Target="media/image140.png"/><Relationship Id="rId297" Type="http://schemas.openxmlformats.org/officeDocument/2006/relationships/oleObject" Target="embeddings/oleObject140.bin"/><Relationship Id="rId40" Type="http://schemas.openxmlformats.org/officeDocument/2006/relationships/oleObject" Target="embeddings/oleObject16.bin"/><Relationship Id="rId115" Type="http://schemas.openxmlformats.org/officeDocument/2006/relationships/oleObject" Target="embeddings/oleObject54.bin"/><Relationship Id="rId136" Type="http://schemas.openxmlformats.org/officeDocument/2006/relationships/image" Target="media/image65.wmf"/><Relationship Id="rId157" Type="http://schemas.openxmlformats.org/officeDocument/2006/relationships/oleObject" Target="embeddings/oleObject75.bin"/><Relationship Id="rId178" Type="http://schemas.openxmlformats.org/officeDocument/2006/relationships/oleObject" Target="embeddings/oleObject85.bin"/><Relationship Id="rId301" Type="http://schemas.openxmlformats.org/officeDocument/2006/relationships/oleObject" Target="embeddings/oleObject142.bin"/><Relationship Id="rId322" Type="http://schemas.openxmlformats.org/officeDocument/2006/relationships/image" Target="media/image162.wmf"/><Relationship Id="rId343" Type="http://schemas.openxmlformats.org/officeDocument/2006/relationships/image" Target="media/image172.wmf"/><Relationship Id="rId364" Type="http://schemas.openxmlformats.org/officeDocument/2006/relationships/oleObject" Target="embeddings/oleObject175.bin"/><Relationship Id="rId61" Type="http://schemas.openxmlformats.org/officeDocument/2006/relationships/image" Target="media/image28.wmf"/><Relationship Id="rId82" Type="http://schemas.openxmlformats.org/officeDocument/2006/relationships/oleObject" Target="embeddings/oleObject37.bin"/><Relationship Id="rId199" Type="http://schemas.openxmlformats.org/officeDocument/2006/relationships/image" Target="media/image98.wmf"/><Relationship Id="rId203" Type="http://schemas.openxmlformats.org/officeDocument/2006/relationships/image" Target="media/image100.wmf"/><Relationship Id="rId385" Type="http://schemas.openxmlformats.org/officeDocument/2006/relationships/image" Target="media/image194.wmf"/><Relationship Id="rId19" Type="http://schemas.openxmlformats.org/officeDocument/2006/relationships/oleObject" Target="embeddings/oleObject6.bin"/><Relationship Id="rId224" Type="http://schemas.openxmlformats.org/officeDocument/2006/relationships/image" Target="media/image113.wmf"/><Relationship Id="rId245" Type="http://schemas.openxmlformats.org/officeDocument/2006/relationships/oleObject" Target="embeddings/oleObject115.bin"/><Relationship Id="rId266" Type="http://schemas.openxmlformats.org/officeDocument/2006/relationships/image" Target="media/image134.wmf"/><Relationship Id="rId287" Type="http://schemas.openxmlformats.org/officeDocument/2006/relationships/image" Target="media/image146.wmf"/><Relationship Id="rId410" Type="http://schemas.openxmlformats.org/officeDocument/2006/relationships/oleObject" Target="embeddings/oleObject197.bin"/><Relationship Id="rId30" Type="http://schemas.openxmlformats.org/officeDocument/2006/relationships/oleObject" Target="embeddings/oleObject11.bin"/><Relationship Id="rId105" Type="http://schemas.openxmlformats.org/officeDocument/2006/relationships/oleObject" Target="embeddings/oleObject49.bin"/><Relationship Id="rId126" Type="http://schemas.openxmlformats.org/officeDocument/2006/relationships/image" Target="media/image60.wmf"/><Relationship Id="rId147" Type="http://schemas.openxmlformats.org/officeDocument/2006/relationships/oleObject" Target="embeddings/oleObject70.bin"/><Relationship Id="rId168" Type="http://schemas.openxmlformats.org/officeDocument/2006/relationships/image" Target="media/image81.png"/><Relationship Id="rId312" Type="http://schemas.openxmlformats.org/officeDocument/2006/relationships/image" Target="media/image157.wmf"/><Relationship Id="rId333" Type="http://schemas.openxmlformats.org/officeDocument/2006/relationships/oleObject" Target="embeddings/oleObject159.bin"/><Relationship Id="rId354" Type="http://schemas.openxmlformats.org/officeDocument/2006/relationships/oleObject" Target="embeddings/oleObject170.bin"/><Relationship Id="rId51" Type="http://schemas.openxmlformats.org/officeDocument/2006/relationships/image" Target="media/image23.wmf"/><Relationship Id="rId72" Type="http://schemas.openxmlformats.org/officeDocument/2006/relationships/oleObject" Target="embeddings/oleObject32.bin"/><Relationship Id="rId93" Type="http://schemas.openxmlformats.org/officeDocument/2006/relationships/oleObject" Target="embeddings/oleObject43.bin"/><Relationship Id="rId189" Type="http://schemas.openxmlformats.org/officeDocument/2006/relationships/image" Target="media/image93.wmf"/><Relationship Id="rId375" Type="http://schemas.openxmlformats.org/officeDocument/2006/relationships/image" Target="media/image188.png"/><Relationship Id="rId396" Type="http://schemas.openxmlformats.org/officeDocument/2006/relationships/oleObject" Target="embeddings/oleObject190.bin"/><Relationship Id="rId3" Type="http://schemas.openxmlformats.org/officeDocument/2006/relationships/styles" Target="styles.xml"/><Relationship Id="rId214" Type="http://schemas.openxmlformats.org/officeDocument/2006/relationships/image" Target="media/image106.wmf"/><Relationship Id="rId235" Type="http://schemas.openxmlformats.org/officeDocument/2006/relationships/oleObject" Target="embeddings/oleObject110.bin"/><Relationship Id="rId256" Type="http://schemas.openxmlformats.org/officeDocument/2006/relationships/image" Target="media/image129.wmf"/><Relationship Id="rId277" Type="http://schemas.openxmlformats.org/officeDocument/2006/relationships/image" Target="media/image141.wmf"/><Relationship Id="rId298" Type="http://schemas.openxmlformats.org/officeDocument/2006/relationships/image" Target="media/image151.wmf"/><Relationship Id="rId400" Type="http://schemas.openxmlformats.org/officeDocument/2006/relationships/oleObject" Target="embeddings/oleObject192.bin"/><Relationship Id="rId116" Type="http://schemas.openxmlformats.org/officeDocument/2006/relationships/image" Target="media/image55.wmf"/><Relationship Id="rId137" Type="http://schemas.openxmlformats.org/officeDocument/2006/relationships/oleObject" Target="embeddings/oleObject65.bin"/><Relationship Id="rId158" Type="http://schemas.openxmlformats.org/officeDocument/2006/relationships/image" Target="media/image76.wmf"/><Relationship Id="rId302" Type="http://schemas.openxmlformats.org/officeDocument/2006/relationships/oleObject" Target="embeddings/oleObject143.bin"/><Relationship Id="rId323" Type="http://schemas.openxmlformats.org/officeDocument/2006/relationships/oleObject" Target="embeddings/oleObject154.bin"/><Relationship Id="rId344" Type="http://schemas.openxmlformats.org/officeDocument/2006/relationships/oleObject" Target="embeddings/oleObject165.bin"/><Relationship Id="rId20" Type="http://schemas.openxmlformats.org/officeDocument/2006/relationships/image" Target="media/image7.wmf"/><Relationship Id="rId41" Type="http://schemas.openxmlformats.org/officeDocument/2006/relationships/image" Target="media/image18.wmf"/><Relationship Id="rId62" Type="http://schemas.openxmlformats.org/officeDocument/2006/relationships/oleObject" Target="embeddings/oleObject27.bin"/><Relationship Id="rId83" Type="http://schemas.openxmlformats.org/officeDocument/2006/relationships/image" Target="media/image39.wmf"/><Relationship Id="rId179" Type="http://schemas.openxmlformats.org/officeDocument/2006/relationships/image" Target="media/image87.wmf"/><Relationship Id="rId365" Type="http://schemas.openxmlformats.org/officeDocument/2006/relationships/image" Target="media/image183.wmf"/><Relationship Id="rId386" Type="http://schemas.openxmlformats.org/officeDocument/2006/relationships/oleObject" Target="embeddings/oleObject185.bin"/><Relationship Id="rId190" Type="http://schemas.openxmlformats.org/officeDocument/2006/relationships/oleObject" Target="embeddings/oleObject90.bin"/><Relationship Id="rId204" Type="http://schemas.openxmlformats.org/officeDocument/2006/relationships/oleObject" Target="embeddings/oleObject97.bin"/><Relationship Id="rId225" Type="http://schemas.openxmlformats.org/officeDocument/2006/relationships/oleObject" Target="embeddings/oleObject105.bin"/><Relationship Id="rId246" Type="http://schemas.openxmlformats.org/officeDocument/2006/relationships/image" Target="media/image124.wmf"/><Relationship Id="rId267" Type="http://schemas.openxmlformats.org/officeDocument/2006/relationships/oleObject" Target="embeddings/oleObject126.bin"/><Relationship Id="rId288" Type="http://schemas.openxmlformats.org/officeDocument/2006/relationships/oleObject" Target="embeddings/oleObject135.bin"/><Relationship Id="rId411" Type="http://schemas.openxmlformats.org/officeDocument/2006/relationships/image" Target="media/image207.wmf"/><Relationship Id="rId106" Type="http://schemas.openxmlformats.org/officeDocument/2006/relationships/image" Target="media/image50.wmf"/><Relationship Id="rId127" Type="http://schemas.openxmlformats.org/officeDocument/2006/relationships/oleObject" Target="embeddings/oleObject60.bin"/><Relationship Id="rId313" Type="http://schemas.openxmlformats.org/officeDocument/2006/relationships/oleObject" Target="embeddings/oleObject149.bin"/><Relationship Id="rId10" Type="http://schemas.openxmlformats.org/officeDocument/2006/relationships/image" Target="media/image2.wmf"/><Relationship Id="rId31" Type="http://schemas.openxmlformats.org/officeDocument/2006/relationships/image" Target="media/image13.wmf"/><Relationship Id="rId52" Type="http://schemas.openxmlformats.org/officeDocument/2006/relationships/oleObject" Target="embeddings/oleObject22.bin"/><Relationship Id="rId73" Type="http://schemas.openxmlformats.org/officeDocument/2006/relationships/image" Target="media/image34.wmf"/><Relationship Id="rId94" Type="http://schemas.openxmlformats.org/officeDocument/2006/relationships/image" Target="media/image44.wmf"/><Relationship Id="rId148" Type="http://schemas.openxmlformats.org/officeDocument/2006/relationships/image" Target="media/image71.wmf"/><Relationship Id="rId169" Type="http://schemas.openxmlformats.org/officeDocument/2006/relationships/image" Target="media/image82.wmf"/><Relationship Id="rId334" Type="http://schemas.openxmlformats.org/officeDocument/2006/relationships/image" Target="media/image168.wmf"/><Relationship Id="rId355" Type="http://schemas.openxmlformats.org/officeDocument/2006/relationships/image" Target="media/image178.wmf"/><Relationship Id="rId376" Type="http://schemas.openxmlformats.org/officeDocument/2006/relationships/image" Target="media/image189.tif"/><Relationship Id="rId397" Type="http://schemas.openxmlformats.org/officeDocument/2006/relationships/image" Target="media/image200.wmf"/><Relationship Id="rId4" Type="http://schemas.openxmlformats.org/officeDocument/2006/relationships/settings" Target="settings.xml"/><Relationship Id="rId180" Type="http://schemas.openxmlformats.org/officeDocument/2006/relationships/oleObject" Target="embeddings/oleObject86.bin"/><Relationship Id="rId215" Type="http://schemas.openxmlformats.org/officeDocument/2006/relationships/oleObject" Target="embeddings/oleObject102.bin"/><Relationship Id="rId236" Type="http://schemas.openxmlformats.org/officeDocument/2006/relationships/image" Target="media/image119.wmf"/><Relationship Id="rId257" Type="http://schemas.openxmlformats.org/officeDocument/2006/relationships/oleObject" Target="embeddings/oleObject121.bin"/><Relationship Id="rId278" Type="http://schemas.openxmlformats.org/officeDocument/2006/relationships/oleObject" Target="embeddings/oleObject130.bin"/><Relationship Id="rId401" Type="http://schemas.openxmlformats.org/officeDocument/2006/relationships/image" Target="media/image202.wmf"/><Relationship Id="rId303" Type="http://schemas.openxmlformats.org/officeDocument/2006/relationships/oleObject" Target="embeddings/oleObject144.bin"/><Relationship Id="rId42" Type="http://schemas.openxmlformats.org/officeDocument/2006/relationships/oleObject" Target="embeddings/oleObject17.bin"/><Relationship Id="rId84" Type="http://schemas.openxmlformats.org/officeDocument/2006/relationships/oleObject" Target="embeddings/oleObject38.bin"/><Relationship Id="rId138" Type="http://schemas.openxmlformats.org/officeDocument/2006/relationships/image" Target="media/image66.wmf"/><Relationship Id="rId345" Type="http://schemas.openxmlformats.org/officeDocument/2006/relationships/image" Target="media/image173.wmf"/><Relationship Id="rId387" Type="http://schemas.openxmlformats.org/officeDocument/2006/relationships/image" Target="media/image195.wmf"/><Relationship Id="rId191" Type="http://schemas.openxmlformats.org/officeDocument/2006/relationships/image" Target="media/image94.wmf"/><Relationship Id="rId205" Type="http://schemas.openxmlformats.org/officeDocument/2006/relationships/image" Target="media/image101.wmf"/><Relationship Id="rId247" Type="http://schemas.openxmlformats.org/officeDocument/2006/relationships/oleObject" Target="embeddings/oleObject116.bin"/><Relationship Id="rId412" Type="http://schemas.openxmlformats.org/officeDocument/2006/relationships/oleObject" Target="embeddings/oleObject198.bin"/><Relationship Id="rId107" Type="http://schemas.openxmlformats.org/officeDocument/2006/relationships/oleObject" Target="embeddings/oleObject50.bin"/><Relationship Id="rId289" Type="http://schemas.openxmlformats.org/officeDocument/2006/relationships/image" Target="media/image147.wmf"/><Relationship Id="rId11" Type="http://schemas.openxmlformats.org/officeDocument/2006/relationships/oleObject" Target="embeddings/oleObject2.bin"/><Relationship Id="rId53" Type="http://schemas.openxmlformats.org/officeDocument/2006/relationships/image" Target="media/image24.wmf"/><Relationship Id="rId149" Type="http://schemas.openxmlformats.org/officeDocument/2006/relationships/oleObject" Target="embeddings/oleObject71.bin"/><Relationship Id="rId314" Type="http://schemas.openxmlformats.org/officeDocument/2006/relationships/image" Target="media/image158.wmf"/><Relationship Id="rId356" Type="http://schemas.openxmlformats.org/officeDocument/2006/relationships/oleObject" Target="embeddings/oleObject171.bin"/><Relationship Id="rId398" Type="http://schemas.openxmlformats.org/officeDocument/2006/relationships/oleObject" Target="embeddings/oleObject191.bin"/><Relationship Id="rId95" Type="http://schemas.openxmlformats.org/officeDocument/2006/relationships/oleObject" Target="embeddings/oleObject44.bin"/><Relationship Id="rId160" Type="http://schemas.openxmlformats.org/officeDocument/2006/relationships/image" Target="media/image77.wmf"/><Relationship Id="rId216" Type="http://schemas.openxmlformats.org/officeDocument/2006/relationships/image" Target="media/image107.wmf"/><Relationship Id="rId258" Type="http://schemas.openxmlformats.org/officeDocument/2006/relationships/image" Target="media/image130.wmf"/><Relationship Id="rId22" Type="http://schemas.openxmlformats.org/officeDocument/2006/relationships/image" Target="media/image8.png"/><Relationship Id="rId64" Type="http://schemas.openxmlformats.org/officeDocument/2006/relationships/oleObject" Target="embeddings/oleObject28.bin"/><Relationship Id="rId118" Type="http://schemas.openxmlformats.org/officeDocument/2006/relationships/image" Target="media/image56.wmf"/><Relationship Id="rId325" Type="http://schemas.openxmlformats.org/officeDocument/2006/relationships/oleObject" Target="embeddings/oleObject155.bin"/><Relationship Id="rId367" Type="http://schemas.openxmlformats.org/officeDocument/2006/relationships/image" Target="media/image184.wmf"/><Relationship Id="rId171" Type="http://schemas.openxmlformats.org/officeDocument/2006/relationships/image" Target="media/image83.wmf"/><Relationship Id="rId227" Type="http://schemas.openxmlformats.org/officeDocument/2006/relationships/oleObject" Target="embeddings/oleObject106.bin"/><Relationship Id="rId269" Type="http://schemas.openxmlformats.org/officeDocument/2006/relationships/oleObject" Target="embeddings/oleObject127.bin"/><Relationship Id="rId33" Type="http://schemas.openxmlformats.org/officeDocument/2006/relationships/image" Target="media/image14.wmf"/><Relationship Id="rId129" Type="http://schemas.openxmlformats.org/officeDocument/2006/relationships/oleObject" Target="embeddings/oleObject61.bin"/><Relationship Id="rId280" Type="http://schemas.openxmlformats.org/officeDocument/2006/relationships/oleObject" Target="embeddings/oleObject131.bin"/><Relationship Id="rId336" Type="http://schemas.openxmlformats.org/officeDocument/2006/relationships/image" Target="media/image169.wmf"/><Relationship Id="rId75" Type="http://schemas.openxmlformats.org/officeDocument/2006/relationships/image" Target="media/image35.wmf"/><Relationship Id="rId140" Type="http://schemas.openxmlformats.org/officeDocument/2006/relationships/image" Target="media/image67.wmf"/><Relationship Id="rId182" Type="http://schemas.openxmlformats.org/officeDocument/2006/relationships/oleObject" Target="embeddings/oleObject87.bin"/><Relationship Id="rId378" Type="http://schemas.openxmlformats.org/officeDocument/2006/relationships/oleObject" Target="embeddings/oleObject181.bin"/><Relationship Id="rId403" Type="http://schemas.openxmlformats.org/officeDocument/2006/relationships/image" Target="media/image203.wmf"/><Relationship Id="rId6" Type="http://schemas.openxmlformats.org/officeDocument/2006/relationships/footnotes" Target="footnotes.xml"/><Relationship Id="rId238" Type="http://schemas.openxmlformats.org/officeDocument/2006/relationships/image" Target="media/image120.wmf"/><Relationship Id="rId291" Type="http://schemas.openxmlformats.org/officeDocument/2006/relationships/image" Target="media/image148.wmf"/><Relationship Id="rId305" Type="http://schemas.openxmlformats.org/officeDocument/2006/relationships/oleObject" Target="embeddings/oleObject145.bin"/><Relationship Id="rId347" Type="http://schemas.openxmlformats.org/officeDocument/2006/relationships/image" Target="media/image174.wmf"/><Relationship Id="rId44" Type="http://schemas.openxmlformats.org/officeDocument/2006/relationships/oleObject" Target="embeddings/oleObject18.bin"/><Relationship Id="rId86" Type="http://schemas.openxmlformats.org/officeDocument/2006/relationships/oleObject" Target="embeddings/oleObject39.bin"/><Relationship Id="rId151" Type="http://schemas.openxmlformats.org/officeDocument/2006/relationships/oleObject" Target="embeddings/oleObject72.bin"/><Relationship Id="rId389" Type="http://schemas.openxmlformats.org/officeDocument/2006/relationships/image" Target="media/image196.wmf"/><Relationship Id="rId193" Type="http://schemas.openxmlformats.org/officeDocument/2006/relationships/image" Target="media/image95.wmf"/><Relationship Id="rId207" Type="http://schemas.openxmlformats.org/officeDocument/2006/relationships/image" Target="media/image102.wmf"/><Relationship Id="rId249" Type="http://schemas.openxmlformats.org/officeDocument/2006/relationships/oleObject" Target="embeddings/oleObject117.bin"/><Relationship Id="rId414" Type="http://schemas.openxmlformats.org/officeDocument/2006/relationships/oleObject" Target="embeddings/oleObject199.bin"/><Relationship Id="rId13" Type="http://schemas.openxmlformats.org/officeDocument/2006/relationships/oleObject" Target="embeddings/oleObject3.bin"/><Relationship Id="rId109" Type="http://schemas.openxmlformats.org/officeDocument/2006/relationships/oleObject" Target="embeddings/oleObject51.bin"/><Relationship Id="rId260" Type="http://schemas.openxmlformats.org/officeDocument/2006/relationships/image" Target="media/image131.wmf"/><Relationship Id="rId316" Type="http://schemas.openxmlformats.org/officeDocument/2006/relationships/image" Target="media/image159.wmf"/><Relationship Id="rId55" Type="http://schemas.openxmlformats.org/officeDocument/2006/relationships/image" Target="media/image25.wmf"/><Relationship Id="rId97" Type="http://schemas.openxmlformats.org/officeDocument/2006/relationships/oleObject" Target="embeddings/oleObject45.bin"/><Relationship Id="rId120" Type="http://schemas.openxmlformats.org/officeDocument/2006/relationships/image" Target="media/image57.wmf"/><Relationship Id="rId358" Type="http://schemas.openxmlformats.org/officeDocument/2006/relationships/oleObject" Target="embeddings/oleObject172.bin"/><Relationship Id="rId162" Type="http://schemas.openxmlformats.org/officeDocument/2006/relationships/image" Target="media/image78.wmf"/><Relationship Id="rId218" Type="http://schemas.openxmlformats.org/officeDocument/2006/relationships/image" Target="media/image108.png"/><Relationship Id="rId271" Type="http://schemas.openxmlformats.org/officeDocument/2006/relationships/oleObject" Target="embeddings/oleObject128.bin"/><Relationship Id="rId24" Type="http://schemas.openxmlformats.org/officeDocument/2006/relationships/oleObject" Target="embeddings/oleObject8.bin"/><Relationship Id="rId66" Type="http://schemas.openxmlformats.org/officeDocument/2006/relationships/oleObject" Target="embeddings/oleObject29.bin"/><Relationship Id="rId131" Type="http://schemas.openxmlformats.org/officeDocument/2006/relationships/oleObject" Target="embeddings/oleObject62.bin"/><Relationship Id="rId327" Type="http://schemas.openxmlformats.org/officeDocument/2006/relationships/oleObject" Target="embeddings/oleObject156.bin"/><Relationship Id="rId369" Type="http://schemas.openxmlformats.org/officeDocument/2006/relationships/image" Target="media/image185.wmf"/><Relationship Id="rId173" Type="http://schemas.openxmlformats.org/officeDocument/2006/relationships/image" Target="media/image84.wmf"/><Relationship Id="rId229" Type="http://schemas.openxmlformats.org/officeDocument/2006/relationships/oleObject" Target="embeddings/oleObject107.bin"/><Relationship Id="rId380" Type="http://schemas.openxmlformats.org/officeDocument/2006/relationships/oleObject" Target="embeddings/oleObject182.bin"/><Relationship Id="rId240" Type="http://schemas.openxmlformats.org/officeDocument/2006/relationships/image" Target="media/image121.wmf"/><Relationship Id="rId35" Type="http://schemas.openxmlformats.org/officeDocument/2006/relationships/image" Target="media/image15.wmf"/><Relationship Id="rId77" Type="http://schemas.openxmlformats.org/officeDocument/2006/relationships/image" Target="media/image36.wmf"/><Relationship Id="rId100" Type="http://schemas.openxmlformats.org/officeDocument/2006/relationships/image" Target="media/image47.wmf"/><Relationship Id="rId282" Type="http://schemas.openxmlformats.org/officeDocument/2006/relationships/oleObject" Target="embeddings/oleObject132.bin"/><Relationship Id="rId338" Type="http://schemas.openxmlformats.org/officeDocument/2006/relationships/image" Target="media/image170.wmf"/><Relationship Id="rId8" Type="http://schemas.openxmlformats.org/officeDocument/2006/relationships/image" Target="media/image1.wmf"/><Relationship Id="rId142" Type="http://schemas.openxmlformats.org/officeDocument/2006/relationships/image" Target="media/image68.wmf"/><Relationship Id="rId184" Type="http://schemas.openxmlformats.org/officeDocument/2006/relationships/oleObject" Target="embeddings/oleObject88.bin"/><Relationship Id="rId391" Type="http://schemas.openxmlformats.org/officeDocument/2006/relationships/image" Target="media/image197.wmf"/><Relationship Id="rId405" Type="http://schemas.openxmlformats.org/officeDocument/2006/relationships/image" Target="media/image204.wmf"/><Relationship Id="rId251" Type="http://schemas.openxmlformats.org/officeDocument/2006/relationships/oleObject" Target="embeddings/oleObject118.bin"/><Relationship Id="rId46" Type="http://schemas.openxmlformats.org/officeDocument/2006/relationships/oleObject" Target="embeddings/oleObject19.bin"/><Relationship Id="rId293" Type="http://schemas.openxmlformats.org/officeDocument/2006/relationships/oleObject" Target="embeddings/oleObject138.bin"/><Relationship Id="rId307" Type="http://schemas.openxmlformats.org/officeDocument/2006/relationships/oleObject" Target="embeddings/oleObject146.bin"/><Relationship Id="rId349" Type="http://schemas.openxmlformats.org/officeDocument/2006/relationships/image" Target="media/image175.wmf"/><Relationship Id="rId88" Type="http://schemas.openxmlformats.org/officeDocument/2006/relationships/oleObject" Target="embeddings/oleObject40.bin"/><Relationship Id="rId111" Type="http://schemas.openxmlformats.org/officeDocument/2006/relationships/oleObject" Target="embeddings/oleObject52.bin"/><Relationship Id="rId153" Type="http://schemas.openxmlformats.org/officeDocument/2006/relationships/oleObject" Target="embeddings/oleObject73.bin"/><Relationship Id="rId195" Type="http://schemas.openxmlformats.org/officeDocument/2006/relationships/image" Target="media/image96.wmf"/><Relationship Id="rId209" Type="http://schemas.openxmlformats.org/officeDocument/2006/relationships/image" Target="media/image103.wmf"/><Relationship Id="rId360" Type="http://schemas.openxmlformats.org/officeDocument/2006/relationships/oleObject" Target="embeddings/oleObject173.bin"/><Relationship Id="rId416" Type="http://schemas.openxmlformats.org/officeDocument/2006/relationships/fontTable" Target="fontTable.xml"/><Relationship Id="rId220" Type="http://schemas.openxmlformats.org/officeDocument/2006/relationships/image" Target="media/image110.png"/><Relationship Id="rId15" Type="http://schemas.openxmlformats.org/officeDocument/2006/relationships/oleObject" Target="embeddings/oleObject4.bin"/><Relationship Id="rId57" Type="http://schemas.openxmlformats.org/officeDocument/2006/relationships/image" Target="media/image26.wmf"/><Relationship Id="rId262" Type="http://schemas.openxmlformats.org/officeDocument/2006/relationships/image" Target="media/image132.wmf"/><Relationship Id="rId318" Type="http://schemas.openxmlformats.org/officeDocument/2006/relationships/image" Target="media/image160.wmf"/><Relationship Id="rId99" Type="http://schemas.openxmlformats.org/officeDocument/2006/relationships/oleObject" Target="embeddings/oleObject46.bin"/><Relationship Id="rId122" Type="http://schemas.openxmlformats.org/officeDocument/2006/relationships/image" Target="media/image58.wmf"/><Relationship Id="rId164" Type="http://schemas.openxmlformats.org/officeDocument/2006/relationships/image" Target="media/image79.wmf"/><Relationship Id="rId371" Type="http://schemas.openxmlformats.org/officeDocument/2006/relationships/image" Target="media/image186.wmf"/><Relationship Id="rId26" Type="http://schemas.openxmlformats.org/officeDocument/2006/relationships/oleObject" Target="embeddings/oleObject9.bin"/><Relationship Id="rId231" Type="http://schemas.openxmlformats.org/officeDocument/2006/relationships/oleObject" Target="embeddings/oleObject108.bin"/><Relationship Id="rId273" Type="http://schemas.openxmlformats.org/officeDocument/2006/relationships/oleObject" Target="embeddings/oleObject129.bin"/><Relationship Id="rId329" Type="http://schemas.openxmlformats.org/officeDocument/2006/relationships/oleObject" Target="embeddings/oleObject157.bin"/><Relationship Id="rId68" Type="http://schemas.openxmlformats.org/officeDocument/2006/relationships/oleObject" Target="embeddings/oleObject30.bin"/><Relationship Id="rId133" Type="http://schemas.openxmlformats.org/officeDocument/2006/relationships/oleObject" Target="embeddings/oleObject63.bin"/><Relationship Id="rId175" Type="http://schemas.openxmlformats.org/officeDocument/2006/relationships/image" Target="media/image85.wmf"/><Relationship Id="rId340" Type="http://schemas.openxmlformats.org/officeDocument/2006/relationships/oleObject" Target="embeddings/oleObject163.bin"/><Relationship Id="rId200" Type="http://schemas.openxmlformats.org/officeDocument/2006/relationships/oleObject" Target="embeddings/oleObject95.bin"/><Relationship Id="rId382" Type="http://schemas.openxmlformats.org/officeDocument/2006/relationships/oleObject" Target="embeddings/oleObject183.bin"/><Relationship Id="rId242" Type="http://schemas.openxmlformats.org/officeDocument/2006/relationships/image" Target="media/image122.wmf"/><Relationship Id="rId284" Type="http://schemas.openxmlformats.org/officeDocument/2006/relationships/oleObject" Target="embeddings/oleObject133.bin"/><Relationship Id="rId37" Type="http://schemas.openxmlformats.org/officeDocument/2006/relationships/image" Target="media/image16.wmf"/><Relationship Id="rId79" Type="http://schemas.openxmlformats.org/officeDocument/2006/relationships/image" Target="media/image37.wmf"/><Relationship Id="rId102" Type="http://schemas.openxmlformats.org/officeDocument/2006/relationships/image" Target="media/image48.wmf"/><Relationship Id="rId144" Type="http://schemas.openxmlformats.org/officeDocument/2006/relationships/image" Target="media/image69.wmf"/><Relationship Id="rId90" Type="http://schemas.openxmlformats.org/officeDocument/2006/relationships/oleObject" Target="embeddings/oleObject41.bin"/><Relationship Id="rId186" Type="http://schemas.openxmlformats.org/officeDocument/2006/relationships/image" Target="media/image91.png"/><Relationship Id="rId351" Type="http://schemas.openxmlformats.org/officeDocument/2006/relationships/image" Target="media/image176.wmf"/><Relationship Id="rId393" Type="http://schemas.openxmlformats.org/officeDocument/2006/relationships/image" Target="media/image198.wmf"/><Relationship Id="rId407" Type="http://schemas.openxmlformats.org/officeDocument/2006/relationships/image" Target="media/image205.wmf"/><Relationship Id="rId211" Type="http://schemas.openxmlformats.org/officeDocument/2006/relationships/image" Target="media/image104.png"/><Relationship Id="rId253" Type="http://schemas.openxmlformats.org/officeDocument/2006/relationships/oleObject" Target="embeddings/oleObject119.bin"/><Relationship Id="rId295" Type="http://schemas.openxmlformats.org/officeDocument/2006/relationships/image" Target="media/image149.png"/><Relationship Id="rId309" Type="http://schemas.openxmlformats.org/officeDocument/2006/relationships/oleObject" Target="embeddings/oleObject147.bin"/><Relationship Id="rId48" Type="http://schemas.openxmlformats.org/officeDocument/2006/relationships/oleObject" Target="embeddings/oleObject20.bin"/><Relationship Id="rId113" Type="http://schemas.openxmlformats.org/officeDocument/2006/relationships/oleObject" Target="embeddings/oleObject53.bin"/><Relationship Id="rId320" Type="http://schemas.openxmlformats.org/officeDocument/2006/relationships/image" Target="media/image161.wmf"/><Relationship Id="rId155" Type="http://schemas.openxmlformats.org/officeDocument/2006/relationships/oleObject" Target="embeddings/oleObject74.bin"/><Relationship Id="rId197" Type="http://schemas.openxmlformats.org/officeDocument/2006/relationships/image" Target="media/image97.wmf"/><Relationship Id="rId362" Type="http://schemas.openxmlformats.org/officeDocument/2006/relationships/oleObject" Target="embeddings/oleObject17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A11BD-D49E-466F-B389-6FB274707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47</Pages>
  <Words>19708</Words>
  <Characters>112341</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Xianling Long</dc:creator>
  <cp:keywords/>
  <dc:description/>
  <cp:lastModifiedBy>Xianling Long</cp:lastModifiedBy>
  <cp:revision>10</cp:revision>
  <cp:lastPrinted>2023-10-09T23:44:00Z</cp:lastPrinted>
  <dcterms:created xsi:type="dcterms:W3CDTF">2023-10-09T23:44:00Z</dcterms:created>
  <dcterms:modified xsi:type="dcterms:W3CDTF">2023-10-16T05:03:00Z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id="qWnEECx7"/&gt;&lt;style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y fmtid="{D5CDD505-2E9C-101B-9397-08002B2CF9AE}" pid="4" name="GrammarlyDocumentId">
    <vt:lpwstr>45738f9cd686c056f0ee56b2845e130b72ce8cff7de83c7b8563fa0fa38fb104</vt:lpwstr>
  </property>
  <property fmtid="{D5CDD505-2E9C-101B-9397-08002B2CF9AE}" pid="5" name="MTEquationNumber2">
    <vt:lpwstr>(#S1.#E1)</vt:lpwstr>
  </property>
  <property fmtid="{D5CDD505-2E9C-101B-9397-08002B2CF9AE}" pid="6" name="MTEquationSection">
    <vt:lpwstr>1</vt:lpwstr>
  </property>
  <property fmtid="{D5CDD505-2E9C-101B-9397-08002B2CF9AE}" pid="7" name="MTWinEqns">
    <vt:bool>true</vt:bool>
  </property>
</Properties>
</file>