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75FE6" w14:textId="595E110D" w:rsidR="005B307F" w:rsidRPr="00206144" w:rsidRDefault="00F67A98" w:rsidP="005B307F">
      <w:pPr>
        <w:rPr>
          <w:rFonts w:ascii="Times New Roman" w:hAnsi="Times New Roman" w:cs="Times New Roman"/>
          <w:b/>
          <w:sz w:val="28"/>
          <w:szCs w:val="28"/>
        </w:rPr>
      </w:pPr>
      <w:r>
        <w:rPr>
          <w:rFonts w:ascii="Times New Roman" w:hAnsi="Times New Roman" w:cs="Times New Roman"/>
          <w:b/>
          <w:sz w:val="28"/>
          <w:szCs w:val="28"/>
        </w:rPr>
        <w:t>A</w:t>
      </w:r>
      <w:r w:rsidR="00E97506">
        <w:rPr>
          <w:rFonts w:ascii="Times New Roman" w:hAnsi="Times New Roman" w:cs="Times New Roman"/>
          <w:b/>
          <w:sz w:val="28"/>
          <w:szCs w:val="28"/>
        </w:rPr>
        <w:t xml:space="preserve">ppendix </w:t>
      </w:r>
      <w:r w:rsidR="004013EE">
        <w:rPr>
          <w:rFonts w:ascii="Times New Roman" w:hAnsi="Times New Roman" w:cs="Times New Roman"/>
          <w:b/>
          <w:sz w:val="28"/>
          <w:szCs w:val="28"/>
        </w:rPr>
        <w:t xml:space="preserve">A. </w:t>
      </w:r>
      <w:r w:rsidR="005B307F" w:rsidRPr="00206144">
        <w:rPr>
          <w:rFonts w:ascii="Times New Roman" w:hAnsi="Times New Roman" w:cs="Times New Roman"/>
          <w:b/>
          <w:sz w:val="28"/>
          <w:szCs w:val="28"/>
        </w:rPr>
        <w:t>Appendix Figures</w:t>
      </w:r>
      <w:r w:rsidR="004013EE">
        <w:rPr>
          <w:rFonts w:ascii="Times New Roman" w:hAnsi="Times New Roman" w:cs="Times New Roman"/>
          <w:b/>
          <w:sz w:val="28"/>
          <w:szCs w:val="28"/>
        </w:rPr>
        <w:t xml:space="preserve"> and Tables</w:t>
      </w:r>
    </w:p>
    <w:p w14:paraId="1263A640" w14:textId="4BB34FDC" w:rsidR="0074616D" w:rsidRDefault="0074616D" w:rsidP="0074616D">
      <w:pPr>
        <w:spacing w:after="0" w:line="240"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t>Figure</w:t>
      </w:r>
      <w:r w:rsidRPr="00031C8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A1</w:t>
      </w:r>
      <w:r w:rsidR="007117C6">
        <w:rPr>
          <w:rFonts w:ascii="Times New Roman" w:eastAsia="Times New Roman" w:hAnsi="Times New Roman" w:cs="Times New Roman"/>
          <w:b/>
          <w:bCs/>
          <w:color w:val="000000"/>
          <w:sz w:val="24"/>
          <w:szCs w:val="24"/>
        </w:rPr>
        <w:t>.</w:t>
      </w:r>
      <w:r w:rsidR="007117C6" w:rsidRPr="00031C8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Share of </w:t>
      </w:r>
      <w:r w:rsidR="00E21A75">
        <w:rPr>
          <w:rFonts w:ascii="Times New Roman" w:eastAsia="Times New Roman" w:hAnsi="Times New Roman" w:cs="Times New Roman"/>
          <w:b/>
          <w:bCs/>
          <w:color w:val="000000"/>
          <w:sz w:val="24"/>
          <w:szCs w:val="24"/>
        </w:rPr>
        <w:t xml:space="preserve">population waived: </w:t>
      </w:r>
      <w:r w:rsidR="00456489">
        <w:rPr>
          <w:rFonts w:ascii="Times New Roman" w:eastAsia="Times New Roman" w:hAnsi="Times New Roman" w:cs="Times New Roman"/>
          <w:b/>
          <w:bCs/>
          <w:color w:val="000000"/>
          <w:sz w:val="24"/>
          <w:szCs w:val="24"/>
        </w:rPr>
        <w:t>c</w:t>
      </w:r>
      <w:r w:rsidR="00E21A75">
        <w:rPr>
          <w:rFonts w:ascii="Times New Roman" w:eastAsia="Times New Roman" w:hAnsi="Times New Roman" w:cs="Times New Roman"/>
          <w:b/>
          <w:bCs/>
          <w:color w:val="000000"/>
          <w:sz w:val="24"/>
          <w:szCs w:val="24"/>
        </w:rPr>
        <w:t xml:space="preserve">omparison between our data and </w:t>
      </w:r>
      <w:r>
        <w:rPr>
          <w:rFonts w:ascii="Times New Roman" w:eastAsia="Times New Roman" w:hAnsi="Times New Roman" w:cs="Times New Roman"/>
          <w:b/>
          <w:bCs/>
          <w:color w:val="000000"/>
          <w:sz w:val="24"/>
          <w:szCs w:val="24"/>
        </w:rPr>
        <w:t xml:space="preserve">Harris (2021) </w:t>
      </w:r>
    </w:p>
    <w:p w14:paraId="13EDA372" w14:textId="30A1ADE6" w:rsidR="0074616D" w:rsidRDefault="00F9500C" w:rsidP="0074616D">
      <w:pPr>
        <w:spacing w:after="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38DDFCCD" wp14:editId="6E1736AB">
            <wp:extent cx="5943600" cy="4326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rris-comparison.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1EA3F6C0" w14:textId="31EBE137" w:rsidR="0074616D" w:rsidRDefault="0074616D" w:rsidP="0074616D">
      <w:pPr>
        <w:spacing w:after="0"/>
        <w:rPr>
          <w:rFonts w:ascii="Times New Roman" w:eastAsia="Times New Roman" w:hAnsi="Times New Roman" w:cs="Times New Roman"/>
          <w:color w:val="000000"/>
          <w:sz w:val="16"/>
          <w:szCs w:val="16"/>
        </w:rPr>
      </w:pPr>
      <w:r w:rsidRPr="0043132D">
        <w:rPr>
          <w:rFonts w:ascii="Times New Roman" w:eastAsia="Times New Roman" w:hAnsi="Times New Roman" w:cs="Times New Roman"/>
          <w:color w:val="000000"/>
          <w:sz w:val="20"/>
          <w:szCs w:val="20"/>
        </w:rPr>
        <w:t xml:space="preserve">Notes: </w:t>
      </w:r>
      <w:r>
        <w:rPr>
          <w:rFonts w:ascii="Times New Roman" w:eastAsia="Times New Roman" w:hAnsi="Times New Roman" w:cs="Times New Roman"/>
          <w:color w:val="000000"/>
          <w:sz w:val="20"/>
          <w:szCs w:val="20"/>
        </w:rPr>
        <w:t xml:space="preserve">Figure reports share of the </w:t>
      </w:r>
      <w:r w:rsidR="009F61A2">
        <w:rPr>
          <w:rFonts w:ascii="Times New Roman" w:eastAsia="Times New Roman" w:hAnsi="Times New Roman" w:cs="Times New Roman"/>
          <w:color w:val="000000"/>
          <w:sz w:val="20"/>
          <w:szCs w:val="20"/>
        </w:rPr>
        <w:t xml:space="preserve">U.S. </w:t>
      </w:r>
      <w:r>
        <w:rPr>
          <w:rFonts w:ascii="Times New Roman" w:eastAsia="Times New Roman" w:hAnsi="Times New Roman" w:cs="Times New Roman"/>
          <w:color w:val="000000"/>
          <w:sz w:val="20"/>
          <w:szCs w:val="20"/>
        </w:rPr>
        <w:t xml:space="preserve">population that is waived according to our data collection and according to </w:t>
      </w:r>
      <w:r w:rsidR="005E02FF">
        <w:rPr>
          <w:rFonts w:ascii="Times New Roman" w:eastAsia="Times New Roman" w:hAnsi="Times New Roman" w:cs="Times New Roman"/>
          <w:color w:val="000000"/>
          <w:sz w:val="20"/>
          <w:szCs w:val="20"/>
        </w:rPr>
        <w:fldChar w:fldCharType="begin"/>
      </w:r>
      <w:r w:rsidR="00C172BC">
        <w:rPr>
          <w:rFonts w:ascii="Times New Roman" w:eastAsia="Times New Roman" w:hAnsi="Times New Roman" w:cs="Times New Roman"/>
          <w:color w:val="000000"/>
          <w:sz w:val="20"/>
          <w:szCs w:val="20"/>
        </w:rPr>
        <w:instrText xml:space="preserve"> ADDIN ZOTERO_ITEM CSL_CITATION {"citationID":"7Q98kzaJ","properties":{"formattedCitation":"(Harris 2021)","plainCitation":"(Harris 2021)","dontUpdate":true,"noteIndex":0},"citationItems":[{"id":210,"uris":["http://zotero.org/users/local/VGvcU9LK/items/GUZY3SPQ"],"itemData":{"id":210,"type":"article-journal","abstract":"The American Recovery and Reinvestment Act waived work requirements nationally in 2010 and broadened waiver eligibility in subsequent years for Able‐Bodied Adults without Dependents (ABAWDs) receiving Supplemental Nutrition Assistance Program (SNAP) benefits. From 2011 to 2017, many states voluntarily imposed work requirements, while other areas became ineligible for waivers because of improved economic conditions. Using data from the American Community Survey from 2010 to 2017, I analyze the influence of work requirements on employment and SNAP participation for ABAWDs. I find that work requirements increased employment for ABAWDs and also significantly decreased SNAP participation.(\n              JEL\n              J21, J68, H42)","container-title":"Economic Inquiry","DOI":"10.1111/ecin.12948","ISSN":"0095-2583, 1465-7295","issue":"1","journalAbbreviation":"Economic Inquiry","language":"en","page":"72-94","source":"DOI.org (Crossref)","title":"Do SNAP Work Requirements Work?","title-short":"DO &lt;span style=\"font-variant","volume":"59","author":[{"family":"Harris","given":"Timothy F."}],"issued":{"date-parts":[["2021",1]]}}}],"schema":"https://github.com/citation-style-language/schema/raw/master/csl-citation.json"} </w:instrText>
      </w:r>
      <w:r w:rsidR="005E02FF">
        <w:rPr>
          <w:rFonts w:ascii="Times New Roman" w:eastAsia="Times New Roman" w:hAnsi="Times New Roman" w:cs="Times New Roman"/>
          <w:color w:val="000000"/>
          <w:sz w:val="20"/>
          <w:szCs w:val="20"/>
        </w:rPr>
        <w:fldChar w:fldCharType="separate"/>
      </w:r>
      <w:r w:rsidR="005E02FF" w:rsidRPr="005E02FF">
        <w:rPr>
          <w:rFonts w:ascii="Times New Roman" w:hAnsi="Times New Roman" w:cs="Times New Roman"/>
          <w:sz w:val="20"/>
        </w:rPr>
        <w:t xml:space="preserve">Harris </w:t>
      </w:r>
      <w:r w:rsidR="005E02FF">
        <w:rPr>
          <w:rFonts w:ascii="Times New Roman" w:hAnsi="Times New Roman" w:cs="Times New Roman"/>
          <w:sz w:val="20"/>
        </w:rPr>
        <w:t>(</w:t>
      </w:r>
      <w:r w:rsidR="005E02FF" w:rsidRPr="005E02FF">
        <w:rPr>
          <w:rFonts w:ascii="Times New Roman" w:hAnsi="Times New Roman" w:cs="Times New Roman"/>
          <w:sz w:val="20"/>
        </w:rPr>
        <w:t>2021)</w:t>
      </w:r>
      <w:r w:rsidR="005E02FF">
        <w:rPr>
          <w:rFonts w:ascii="Times New Roman" w:eastAsia="Times New Roman" w:hAnsi="Times New Roman" w:cs="Times New Roman"/>
          <w:color w:val="000000"/>
          <w:sz w:val="20"/>
          <w:szCs w:val="20"/>
        </w:rPr>
        <w:fldChar w:fldCharType="end"/>
      </w:r>
      <w:r w:rsidR="005E02FF">
        <w:rPr>
          <w:rFonts w:ascii="Times New Roman" w:eastAsia="Times New Roman" w:hAnsi="Times New Roman" w:cs="Times New Roman"/>
          <w:color w:val="000000"/>
          <w:sz w:val="20"/>
          <w:szCs w:val="20"/>
        </w:rPr>
        <w:t>.</w:t>
      </w:r>
    </w:p>
    <w:p w14:paraId="133DEF48" w14:textId="77777777" w:rsidR="0074616D" w:rsidRDefault="0074616D" w:rsidP="0074616D">
      <w:pPr>
        <w:rPr>
          <w:rFonts w:ascii="Times New Roman" w:hAnsi="Times New Roman" w:cs="Times New Roman"/>
          <w:sz w:val="20"/>
          <w:szCs w:val="20"/>
        </w:rPr>
      </w:pPr>
      <w:r>
        <w:rPr>
          <w:rFonts w:ascii="Times New Roman" w:hAnsi="Times New Roman" w:cs="Times New Roman"/>
          <w:sz w:val="20"/>
          <w:szCs w:val="20"/>
        </w:rPr>
        <w:t>Sources: Harris (2021); United States Department of Agriculture; Authors’ calculations.</w:t>
      </w:r>
    </w:p>
    <w:p w14:paraId="37FE2261" w14:textId="06196381" w:rsidR="0074616D" w:rsidRDefault="0074616D" w:rsidP="005B307F">
      <w:pPr>
        <w:spacing w:before="120" w:after="120"/>
        <w:rPr>
          <w:rFonts w:ascii="Times New Roman" w:hAnsi="Times New Roman" w:cs="Times New Roman"/>
          <w:b/>
          <w:sz w:val="24"/>
          <w:szCs w:val="24"/>
        </w:rPr>
      </w:pPr>
    </w:p>
    <w:p w14:paraId="170B0616" w14:textId="1269628D" w:rsidR="009F61A2" w:rsidRDefault="009F61A2" w:rsidP="005B307F">
      <w:pPr>
        <w:spacing w:before="120" w:after="120"/>
        <w:rPr>
          <w:rFonts w:ascii="Times New Roman" w:hAnsi="Times New Roman" w:cs="Times New Roman"/>
          <w:b/>
          <w:sz w:val="24"/>
          <w:szCs w:val="24"/>
        </w:rPr>
      </w:pPr>
    </w:p>
    <w:p w14:paraId="6FF67CEF" w14:textId="20A5C3A0" w:rsidR="009F61A2" w:rsidRDefault="009F61A2" w:rsidP="005B307F">
      <w:pPr>
        <w:spacing w:before="120" w:after="120"/>
        <w:rPr>
          <w:rFonts w:ascii="Times New Roman" w:hAnsi="Times New Roman" w:cs="Times New Roman"/>
          <w:b/>
          <w:sz w:val="24"/>
          <w:szCs w:val="24"/>
        </w:rPr>
      </w:pPr>
    </w:p>
    <w:p w14:paraId="124E8BF2" w14:textId="4F72D67A" w:rsidR="009F61A2" w:rsidRDefault="009F61A2" w:rsidP="005B307F">
      <w:pPr>
        <w:spacing w:before="120" w:after="120"/>
        <w:rPr>
          <w:rFonts w:ascii="Times New Roman" w:hAnsi="Times New Roman" w:cs="Times New Roman"/>
          <w:b/>
          <w:sz w:val="24"/>
          <w:szCs w:val="24"/>
        </w:rPr>
      </w:pPr>
    </w:p>
    <w:p w14:paraId="039AF897" w14:textId="363D845D" w:rsidR="009F61A2" w:rsidRDefault="009F61A2" w:rsidP="005B307F">
      <w:pPr>
        <w:spacing w:before="120" w:after="120"/>
        <w:rPr>
          <w:rFonts w:ascii="Times New Roman" w:hAnsi="Times New Roman" w:cs="Times New Roman"/>
          <w:b/>
          <w:sz w:val="24"/>
          <w:szCs w:val="24"/>
        </w:rPr>
      </w:pPr>
    </w:p>
    <w:p w14:paraId="710BBFF2" w14:textId="75131B9D" w:rsidR="009F61A2" w:rsidRDefault="009F61A2" w:rsidP="005B307F">
      <w:pPr>
        <w:spacing w:before="120" w:after="120"/>
        <w:rPr>
          <w:rFonts w:ascii="Times New Roman" w:hAnsi="Times New Roman" w:cs="Times New Roman"/>
          <w:b/>
          <w:sz w:val="24"/>
          <w:szCs w:val="24"/>
        </w:rPr>
      </w:pPr>
    </w:p>
    <w:p w14:paraId="79174B72" w14:textId="06291C9A" w:rsidR="009F61A2" w:rsidRDefault="009F61A2" w:rsidP="005B307F">
      <w:pPr>
        <w:spacing w:before="120" w:after="120"/>
        <w:rPr>
          <w:rFonts w:ascii="Times New Roman" w:hAnsi="Times New Roman" w:cs="Times New Roman"/>
          <w:b/>
          <w:sz w:val="24"/>
          <w:szCs w:val="24"/>
        </w:rPr>
      </w:pPr>
    </w:p>
    <w:p w14:paraId="723AE81B" w14:textId="26CEB950" w:rsidR="009F61A2" w:rsidRDefault="009F61A2" w:rsidP="005B307F">
      <w:pPr>
        <w:spacing w:before="120" w:after="120"/>
        <w:rPr>
          <w:rFonts w:ascii="Times New Roman" w:hAnsi="Times New Roman" w:cs="Times New Roman"/>
          <w:b/>
          <w:sz w:val="24"/>
          <w:szCs w:val="24"/>
        </w:rPr>
      </w:pPr>
    </w:p>
    <w:p w14:paraId="63A7F63F" w14:textId="77777777" w:rsidR="00E97506" w:rsidRDefault="00E97506" w:rsidP="005B307F">
      <w:pPr>
        <w:spacing w:before="120" w:after="120"/>
        <w:rPr>
          <w:rFonts w:ascii="Times New Roman" w:hAnsi="Times New Roman" w:cs="Times New Roman"/>
          <w:b/>
          <w:sz w:val="24"/>
          <w:szCs w:val="24"/>
        </w:rPr>
      </w:pPr>
    </w:p>
    <w:p w14:paraId="2DDC0DD7" w14:textId="77777777" w:rsidR="009F61A2" w:rsidRDefault="009F61A2" w:rsidP="005B307F">
      <w:pPr>
        <w:spacing w:before="120" w:after="120"/>
        <w:rPr>
          <w:rFonts w:ascii="Times New Roman" w:hAnsi="Times New Roman" w:cs="Times New Roman"/>
          <w:b/>
          <w:sz w:val="24"/>
          <w:szCs w:val="24"/>
        </w:rPr>
      </w:pPr>
    </w:p>
    <w:p w14:paraId="6906D13F" w14:textId="609A2348" w:rsidR="005B307F" w:rsidRPr="009F0F64" w:rsidRDefault="005B307F" w:rsidP="005B307F">
      <w:pPr>
        <w:spacing w:before="120" w:after="120"/>
        <w:rPr>
          <w:rFonts w:ascii="Times New Roman" w:hAnsi="Times New Roman" w:cs="Times New Roman"/>
          <w:sz w:val="24"/>
          <w:szCs w:val="24"/>
        </w:rPr>
      </w:pPr>
      <w:r w:rsidRPr="00EF1079">
        <w:rPr>
          <w:rFonts w:ascii="Times New Roman" w:hAnsi="Times New Roman" w:cs="Times New Roman"/>
          <w:b/>
          <w:sz w:val="24"/>
          <w:szCs w:val="24"/>
        </w:rPr>
        <w:lastRenderedPageBreak/>
        <w:t xml:space="preserve">Figure </w:t>
      </w:r>
      <w:r w:rsidR="004150D8">
        <w:rPr>
          <w:rFonts w:ascii="Times New Roman" w:hAnsi="Times New Roman" w:cs="Times New Roman"/>
          <w:b/>
          <w:sz w:val="24"/>
          <w:szCs w:val="24"/>
        </w:rPr>
        <w:t>A2</w:t>
      </w:r>
      <w:r w:rsidR="007117C6">
        <w:rPr>
          <w:rFonts w:ascii="Times New Roman" w:hAnsi="Times New Roman" w:cs="Times New Roman"/>
          <w:b/>
          <w:sz w:val="24"/>
          <w:szCs w:val="24"/>
        </w:rPr>
        <w:t>.</w:t>
      </w:r>
      <w:r w:rsidR="007117C6" w:rsidRPr="00EF1079">
        <w:rPr>
          <w:rFonts w:ascii="Times New Roman" w:hAnsi="Times New Roman" w:cs="Times New Roman"/>
          <w:b/>
          <w:sz w:val="24"/>
          <w:szCs w:val="24"/>
        </w:rPr>
        <w:t xml:space="preserve"> </w:t>
      </w:r>
      <w:r>
        <w:rPr>
          <w:rFonts w:ascii="Times New Roman" w:hAnsi="Times New Roman" w:cs="Times New Roman"/>
          <w:b/>
          <w:sz w:val="24"/>
          <w:szCs w:val="24"/>
        </w:rPr>
        <w:t xml:space="preserve">Unemployment rate among </w:t>
      </w:r>
      <w:r w:rsidR="008F2898">
        <w:rPr>
          <w:rFonts w:ascii="Times New Roman" w:hAnsi="Times New Roman" w:cs="Times New Roman"/>
          <w:b/>
          <w:sz w:val="24"/>
          <w:szCs w:val="24"/>
        </w:rPr>
        <w:t>various groups of</w:t>
      </w:r>
      <w:r>
        <w:rPr>
          <w:rFonts w:ascii="Times New Roman" w:hAnsi="Times New Roman" w:cs="Times New Roman"/>
          <w:b/>
          <w:sz w:val="24"/>
          <w:szCs w:val="24"/>
        </w:rPr>
        <w:t xml:space="preserve"> counties, monthly, </w:t>
      </w:r>
      <w:r w:rsidR="00627191">
        <w:rPr>
          <w:rFonts w:ascii="Times New Roman" w:hAnsi="Times New Roman" w:cs="Times New Roman"/>
          <w:b/>
          <w:sz w:val="24"/>
          <w:szCs w:val="24"/>
        </w:rPr>
        <w:t xml:space="preserve">January </w:t>
      </w:r>
      <w:r>
        <w:rPr>
          <w:rFonts w:ascii="Times New Roman" w:hAnsi="Times New Roman" w:cs="Times New Roman"/>
          <w:b/>
          <w:sz w:val="24"/>
          <w:szCs w:val="24"/>
        </w:rPr>
        <w:t>1997-</w:t>
      </w:r>
      <w:r w:rsidR="00627191">
        <w:rPr>
          <w:rFonts w:ascii="Times New Roman" w:hAnsi="Times New Roman" w:cs="Times New Roman"/>
          <w:b/>
          <w:sz w:val="24"/>
          <w:szCs w:val="24"/>
        </w:rPr>
        <w:t xml:space="preserve">December </w:t>
      </w:r>
      <w:r w:rsidRPr="00EF1079">
        <w:rPr>
          <w:rFonts w:ascii="Times New Roman" w:hAnsi="Times New Roman" w:cs="Times New Roman"/>
          <w:b/>
          <w:sz w:val="24"/>
          <w:szCs w:val="24"/>
        </w:rPr>
        <w:t>2023</w:t>
      </w:r>
      <w:r w:rsidR="00233E1F">
        <w:rPr>
          <w:rFonts w:ascii="Times New Roman" w:hAnsi="Times New Roman" w:cs="Times New Roman"/>
          <w:b/>
          <w:sz w:val="24"/>
          <w:szCs w:val="24"/>
        </w:rPr>
        <w:t>:</w:t>
      </w:r>
      <w:r w:rsidR="00233E1F" w:rsidRPr="00233E1F">
        <w:rPr>
          <w:rFonts w:ascii="Times New Roman" w:hAnsi="Times New Roman" w:cs="Times New Roman"/>
          <w:b/>
          <w:sz w:val="24"/>
          <w:szCs w:val="24"/>
        </w:rPr>
        <w:t xml:space="preserve"> </w:t>
      </w:r>
      <w:r w:rsidR="00233E1F">
        <w:rPr>
          <w:rFonts w:ascii="Times New Roman" w:hAnsi="Times New Roman" w:cs="Times New Roman"/>
          <w:b/>
          <w:sz w:val="24"/>
          <w:szCs w:val="24"/>
        </w:rPr>
        <w:t>waived counties and comparison groups</w:t>
      </w:r>
    </w:p>
    <w:p w14:paraId="45963DCB" w14:textId="32EF69BA" w:rsidR="005B307F" w:rsidRDefault="00F9500C" w:rsidP="005B307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28ABBF" wp14:editId="63E9B14F">
            <wp:extent cx="5943600" cy="4326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2FCD81C5" w14:textId="1C661290" w:rsidR="005B307F" w:rsidRDefault="005B307F" w:rsidP="005B307F">
      <w:pPr>
        <w:spacing w:after="0"/>
        <w:rPr>
          <w:rFonts w:ascii="Times New Roman" w:hAnsi="Times New Roman" w:cs="Times New Roman"/>
          <w:sz w:val="20"/>
          <w:szCs w:val="20"/>
        </w:rPr>
      </w:pPr>
      <w:r>
        <w:rPr>
          <w:rFonts w:ascii="Times New Roman" w:hAnsi="Times New Roman" w:cs="Times New Roman"/>
          <w:sz w:val="20"/>
          <w:szCs w:val="20"/>
        </w:rPr>
        <w:t xml:space="preserve">Notes: Figure reports the unemployment rate among </w:t>
      </w:r>
      <w:r w:rsidR="008F2898">
        <w:rPr>
          <w:rFonts w:ascii="Times New Roman" w:hAnsi="Times New Roman" w:cs="Times New Roman"/>
          <w:sz w:val="20"/>
          <w:szCs w:val="20"/>
        </w:rPr>
        <w:t xml:space="preserve">various groups of </w:t>
      </w:r>
      <w:r>
        <w:rPr>
          <w:rFonts w:ascii="Times New Roman" w:hAnsi="Times New Roman" w:cs="Times New Roman"/>
          <w:sz w:val="20"/>
          <w:szCs w:val="20"/>
        </w:rPr>
        <w:t xml:space="preserve">counties in a given month. </w:t>
      </w:r>
      <w:r w:rsidR="008F2898">
        <w:rPr>
          <w:rFonts w:ascii="Times New Roman" w:hAnsi="Times New Roman" w:cs="Times New Roman"/>
          <w:sz w:val="20"/>
          <w:szCs w:val="20"/>
        </w:rPr>
        <w:t xml:space="preserve">Waived counties include all counties with a waiver. Highest-unemployment counties include in a given month the counties with the highest rates of unemployment, whose total population equals the population of waived counties in that month. Non-waived counties include all counties without a waiver. All counties include all counties regardless of waiver status. </w:t>
      </w:r>
      <w:r>
        <w:rPr>
          <w:rFonts w:ascii="Times New Roman" w:hAnsi="Times New Roman" w:cs="Times New Roman"/>
          <w:sz w:val="20"/>
          <w:szCs w:val="20"/>
        </w:rPr>
        <w:t>Grey shaded areas indicate recessions as defined by the National Bureau of Economic Research.</w:t>
      </w:r>
    </w:p>
    <w:p w14:paraId="79F8210E" w14:textId="77777777" w:rsidR="005B307F" w:rsidRDefault="005B307F" w:rsidP="005B307F">
      <w:pPr>
        <w:rPr>
          <w:rFonts w:ascii="Times New Roman" w:hAnsi="Times New Roman" w:cs="Times New Roman"/>
          <w:sz w:val="20"/>
          <w:szCs w:val="20"/>
        </w:rPr>
      </w:pPr>
      <w:r>
        <w:rPr>
          <w:rFonts w:ascii="Times New Roman" w:hAnsi="Times New Roman" w:cs="Times New Roman"/>
          <w:sz w:val="20"/>
          <w:szCs w:val="20"/>
        </w:rPr>
        <w:t xml:space="preserve">Sources: United States Department of Agriculture; Bureau of Labor Statistics Local Area Unemployment Statistics; Authors’ calculations. </w:t>
      </w:r>
    </w:p>
    <w:p w14:paraId="3D87C883" w14:textId="3D476AE7" w:rsidR="005B307F" w:rsidRDefault="005B307F" w:rsidP="005B307F">
      <w:pPr>
        <w:spacing w:before="120" w:after="120"/>
        <w:rPr>
          <w:rFonts w:ascii="Times New Roman" w:hAnsi="Times New Roman" w:cs="Times New Roman"/>
          <w:sz w:val="24"/>
          <w:szCs w:val="24"/>
        </w:rPr>
      </w:pPr>
    </w:p>
    <w:p w14:paraId="77DCE2FA" w14:textId="19B7732D" w:rsidR="00A21992" w:rsidRDefault="00A21992" w:rsidP="005B307F">
      <w:pPr>
        <w:spacing w:before="120" w:after="120"/>
        <w:rPr>
          <w:rFonts w:ascii="Times New Roman" w:hAnsi="Times New Roman" w:cs="Times New Roman"/>
          <w:sz w:val="24"/>
          <w:szCs w:val="24"/>
        </w:rPr>
      </w:pPr>
    </w:p>
    <w:p w14:paraId="2DCA5620" w14:textId="77777777" w:rsidR="00A21992" w:rsidRDefault="00A21992" w:rsidP="005B307F">
      <w:pPr>
        <w:spacing w:before="120" w:after="120"/>
        <w:rPr>
          <w:rFonts w:ascii="Times New Roman" w:hAnsi="Times New Roman" w:cs="Times New Roman"/>
          <w:b/>
          <w:sz w:val="24"/>
          <w:szCs w:val="24"/>
        </w:rPr>
      </w:pPr>
    </w:p>
    <w:p w14:paraId="1D242F7F" w14:textId="77777777" w:rsidR="005B307F" w:rsidRDefault="005B307F" w:rsidP="005B307F">
      <w:pPr>
        <w:spacing w:before="120" w:after="120"/>
        <w:rPr>
          <w:rFonts w:ascii="Times New Roman" w:hAnsi="Times New Roman" w:cs="Times New Roman"/>
          <w:b/>
          <w:sz w:val="24"/>
          <w:szCs w:val="24"/>
        </w:rPr>
      </w:pPr>
    </w:p>
    <w:p w14:paraId="103ECFD1" w14:textId="77777777" w:rsidR="005B307F" w:rsidRDefault="005B307F" w:rsidP="005B307F">
      <w:pPr>
        <w:spacing w:before="120" w:after="120"/>
        <w:rPr>
          <w:rFonts w:ascii="Times New Roman" w:hAnsi="Times New Roman" w:cs="Times New Roman"/>
          <w:b/>
          <w:sz w:val="24"/>
          <w:szCs w:val="24"/>
        </w:rPr>
      </w:pPr>
    </w:p>
    <w:p w14:paraId="54B72CA3" w14:textId="7159E012" w:rsidR="005B307F" w:rsidRDefault="005B307F" w:rsidP="005B307F">
      <w:pPr>
        <w:spacing w:before="120" w:after="120"/>
        <w:rPr>
          <w:rFonts w:ascii="Times New Roman" w:hAnsi="Times New Roman" w:cs="Times New Roman"/>
          <w:b/>
          <w:sz w:val="24"/>
          <w:szCs w:val="24"/>
        </w:rPr>
      </w:pPr>
    </w:p>
    <w:p w14:paraId="1FF60A0D" w14:textId="59019201" w:rsidR="00685A3F" w:rsidRDefault="00685A3F" w:rsidP="005B307F">
      <w:pPr>
        <w:spacing w:before="120" w:after="120"/>
        <w:rPr>
          <w:rFonts w:ascii="Times New Roman" w:hAnsi="Times New Roman" w:cs="Times New Roman"/>
          <w:b/>
          <w:sz w:val="24"/>
          <w:szCs w:val="24"/>
        </w:rPr>
      </w:pPr>
    </w:p>
    <w:p w14:paraId="2C4B1E22" w14:textId="77777777" w:rsidR="00685A3F" w:rsidRDefault="00685A3F" w:rsidP="005B307F">
      <w:pPr>
        <w:spacing w:before="120" w:after="120"/>
        <w:rPr>
          <w:rFonts w:ascii="Times New Roman" w:hAnsi="Times New Roman" w:cs="Times New Roman"/>
          <w:b/>
          <w:sz w:val="24"/>
          <w:szCs w:val="24"/>
        </w:rPr>
      </w:pPr>
    </w:p>
    <w:p w14:paraId="12384D66" w14:textId="1BBD8F89" w:rsidR="005B307F" w:rsidRPr="009F0F64" w:rsidRDefault="005B307F" w:rsidP="005B307F">
      <w:pPr>
        <w:spacing w:before="120" w:after="120"/>
        <w:rPr>
          <w:rFonts w:ascii="Times New Roman" w:hAnsi="Times New Roman" w:cs="Times New Roman"/>
          <w:sz w:val="24"/>
          <w:szCs w:val="24"/>
        </w:rPr>
      </w:pPr>
      <w:r w:rsidRPr="00EF1079">
        <w:rPr>
          <w:rFonts w:ascii="Times New Roman" w:hAnsi="Times New Roman" w:cs="Times New Roman"/>
          <w:b/>
          <w:sz w:val="24"/>
          <w:szCs w:val="24"/>
        </w:rPr>
        <w:lastRenderedPageBreak/>
        <w:t xml:space="preserve">Figure </w:t>
      </w:r>
      <w:r w:rsidR="0077256C">
        <w:rPr>
          <w:rFonts w:ascii="Times New Roman" w:hAnsi="Times New Roman" w:cs="Times New Roman"/>
          <w:b/>
          <w:sz w:val="24"/>
          <w:szCs w:val="24"/>
        </w:rPr>
        <w:t>A3</w:t>
      </w:r>
      <w:r w:rsidR="007117C6">
        <w:rPr>
          <w:rFonts w:ascii="Times New Roman" w:hAnsi="Times New Roman" w:cs="Times New Roman"/>
          <w:b/>
          <w:sz w:val="24"/>
          <w:szCs w:val="24"/>
        </w:rPr>
        <w:t>.</w:t>
      </w:r>
      <w:r w:rsidR="007117C6" w:rsidRPr="00EF1079">
        <w:rPr>
          <w:rFonts w:ascii="Times New Roman" w:hAnsi="Times New Roman" w:cs="Times New Roman"/>
          <w:b/>
          <w:sz w:val="24"/>
          <w:szCs w:val="24"/>
        </w:rPr>
        <w:t xml:space="preserve"> </w:t>
      </w:r>
      <w:r>
        <w:rPr>
          <w:rFonts w:ascii="Times New Roman" w:hAnsi="Times New Roman" w:cs="Times New Roman"/>
          <w:b/>
          <w:sz w:val="24"/>
          <w:szCs w:val="24"/>
        </w:rPr>
        <w:t xml:space="preserve">Unemployment rate among counties eligible for a </w:t>
      </w:r>
      <w:r w:rsidRPr="00EF1079">
        <w:rPr>
          <w:rFonts w:ascii="Times New Roman" w:hAnsi="Times New Roman" w:cs="Times New Roman"/>
          <w:b/>
          <w:sz w:val="24"/>
          <w:szCs w:val="24"/>
        </w:rPr>
        <w:t>work requirement waiver</w:t>
      </w:r>
      <w:r>
        <w:rPr>
          <w:rFonts w:ascii="Times New Roman" w:hAnsi="Times New Roman" w:cs="Times New Roman"/>
          <w:b/>
          <w:sz w:val="24"/>
          <w:szCs w:val="24"/>
        </w:rPr>
        <w:t xml:space="preserve"> under existing and </w:t>
      </w:r>
      <w:r w:rsidR="00982779">
        <w:rPr>
          <w:rFonts w:ascii="Times New Roman" w:hAnsi="Times New Roman" w:cs="Times New Roman"/>
          <w:b/>
          <w:sz w:val="24"/>
          <w:szCs w:val="24"/>
        </w:rPr>
        <w:t>counterfactual</w:t>
      </w:r>
      <w:r>
        <w:rPr>
          <w:rFonts w:ascii="Times New Roman" w:hAnsi="Times New Roman" w:cs="Times New Roman"/>
          <w:b/>
          <w:sz w:val="24"/>
          <w:szCs w:val="24"/>
        </w:rPr>
        <w:t xml:space="preserve"> policies</w:t>
      </w:r>
      <w:r w:rsidR="00982779">
        <w:rPr>
          <w:rFonts w:ascii="Times New Roman" w:hAnsi="Times New Roman" w:cs="Times New Roman"/>
          <w:b/>
          <w:sz w:val="24"/>
          <w:szCs w:val="24"/>
        </w:rPr>
        <w:t>,</w:t>
      </w:r>
      <w:r>
        <w:rPr>
          <w:rFonts w:ascii="Times New Roman" w:hAnsi="Times New Roman" w:cs="Times New Roman"/>
          <w:b/>
          <w:sz w:val="24"/>
          <w:szCs w:val="24"/>
        </w:rPr>
        <w:t xml:space="preserve"> monthly, </w:t>
      </w:r>
      <w:r w:rsidR="00627191">
        <w:rPr>
          <w:rFonts w:ascii="Times New Roman" w:hAnsi="Times New Roman" w:cs="Times New Roman"/>
          <w:b/>
          <w:sz w:val="24"/>
          <w:szCs w:val="24"/>
        </w:rPr>
        <w:t xml:space="preserve">January </w:t>
      </w:r>
      <w:r>
        <w:rPr>
          <w:rFonts w:ascii="Times New Roman" w:hAnsi="Times New Roman" w:cs="Times New Roman"/>
          <w:b/>
          <w:sz w:val="24"/>
          <w:szCs w:val="24"/>
        </w:rPr>
        <w:t>1997-</w:t>
      </w:r>
      <w:r w:rsidR="00627191">
        <w:rPr>
          <w:rFonts w:ascii="Times New Roman" w:hAnsi="Times New Roman" w:cs="Times New Roman"/>
          <w:b/>
          <w:sz w:val="24"/>
          <w:szCs w:val="24"/>
        </w:rPr>
        <w:t xml:space="preserve"> December </w:t>
      </w:r>
      <w:r w:rsidRPr="00EF1079">
        <w:rPr>
          <w:rFonts w:ascii="Times New Roman" w:hAnsi="Times New Roman" w:cs="Times New Roman"/>
          <w:b/>
          <w:sz w:val="24"/>
          <w:szCs w:val="24"/>
        </w:rPr>
        <w:t>2023</w:t>
      </w:r>
    </w:p>
    <w:p w14:paraId="14FDEFEA" w14:textId="3E7BB1CA" w:rsidR="005B307F" w:rsidRDefault="00F9500C" w:rsidP="005B307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4910CD" wp14:editId="3F50EFAC">
            <wp:extent cx="5943600" cy="4326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2-1year.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4C6F2A04" w14:textId="706FE5A9" w:rsidR="00B81FC5" w:rsidRDefault="00B81FC5" w:rsidP="00B81FC5">
      <w:pPr>
        <w:spacing w:after="0"/>
        <w:rPr>
          <w:rFonts w:ascii="Times New Roman" w:hAnsi="Times New Roman" w:cs="Times New Roman"/>
          <w:sz w:val="20"/>
          <w:szCs w:val="20"/>
        </w:rPr>
      </w:pPr>
      <w:r>
        <w:rPr>
          <w:rFonts w:ascii="Times New Roman" w:hAnsi="Times New Roman" w:cs="Times New Roman"/>
          <w:sz w:val="20"/>
          <w:szCs w:val="20"/>
        </w:rPr>
        <w:t xml:space="preserve">Notes: Figure reports the unemployment rate among counties </w:t>
      </w:r>
      <w:r w:rsidR="00073247">
        <w:rPr>
          <w:rFonts w:ascii="Times New Roman" w:hAnsi="Times New Roman" w:cs="Times New Roman"/>
          <w:sz w:val="20"/>
          <w:szCs w:val="20"/>
        </w:rPr>
        <w:t xml:space="preserve">eligible for a waiver </w:t>
      </w:r>
      <w:r>
        <w:rPr>
          <w:rFonts w:ascii="Times New Roman" w:hAnsi="Times New Roman" w:cs="Times New Roman"/>
          <w:sz w:val="20"/>
          <w:szCs w:val="20"/>
        </w:rPr>
        <w:t>in a given month</w:t>
      </w:r>
      <w:r w:rsidR="00073247">
        <w:rPr>
          <w:rFonts w:ascii="Times New Roman" w:hAnsi="Times New Roman" w:cs="Times New Roman"/>
          <w:sz w:val="20"/>
          <w:szCs w:val="20"/>
        </w:rPr>
        <w:t>, under existing and counterfactual policies</w:t>
      </w:r>
      <w:r>
        <w:rPr>
          <w:rFonts w:ascii="Times New Roman" w:hAnsi="Times New Roman" w:cs="Times New Roman"/>
          <w:sz w:val="20"/>
          <w:szCs w:val="20"/>
        </w:rPr>
        <w:t>. Grey shaded areas indicate recessions as defined by the National Bureau of Economic Research.</w:t>
      </w:r>
      <w:r w:rsidR="00D97FC2">
        <w:rPr>
          <w:rFonts w:ascii="Times New Roman" w:hAnsi="Times New Roman" w:cs="Times New Roman"/>
          <w:sz w:val="20"/>
          <w:szCs w:val="20"/>
        </w:rPr>
        <w:t xml:space="preserve"> Policy [0A] refers to existing waiver policy as of 2024 with federal waivers. Policy [0B] refers to existing waiver policy without federal waivers. Policy [1] revokes eligibility for states eligible only based on eligibility for Extended Unemployment Benefits (EB). Policy [2] prohibits grouping of counties into a single area, and instead requires counties to be eligible on their own accord. Policy [3] imposes a 6 percent unemployment rate floor for any county eligible under the 20 percent rule. Policy [4] requires Labor Market Areas (LMAs) rather than counties to qualify for waivers. Policy [4] represents the major provisions of the 2019 final rule published by the Department of Agriculture, which was ultimately not put into effect.</w:t>
      </w:r>
      <w:r w:rsidR="00C95F22">
        <w:rPr>
          <w:rFonts w:ascii="Times New Roman" w:hAnsi="Times New Roman" w:cs="Times New Roman"/>
          <w:sz w:val="20"/>
          <w:szCs w:val="20"/>
        </w:rPr>
        <w:t xml:space="preserve"> When simulating states’ grouping, we exclude the District of Columbia, Hawaii, and Alaska.</w:t>
      </w:r>
    </w:p>
    <w:p w14:paraId="5FABC2ED" w14:textId="7E9D1CA2" w:rsidR="00B81FC5" w:rsidRDefault="00B81FC5" w:rsidP="00B81FC5">
      <w:pPr>
        <w:rPr>
          <w:rFonts w:ascii="Times New Roman" w:hAnsi="Times New Roman" w:cs="Times New Roman"/>
          <w:sz w:val="20"/>
          <w:szCs w:val="20"/>
        </w:rPr>
      </w:pPr>
      <w:r>
        <w:rPr>
          <w:rFonts w:ascii="Times New Roman" w:hAnsi="Times New Roman" w:cs="Times New Roman"/>
          <w:sz w:val="20"/>
          <w:szCs w:val="20"/>
        </w:rPr>
        <w:t>Sources: United States Department of Agriculture; Bureau of Labor Statistics Local Area Unemployment Statistics;</w:t>
      </w:r>
      <w:r w:rsidR="005E02FF">
        <w:rPr>
          <w:rFonts w:ascii="Times New Roman" w:hAnsi="Times New Roman" w:cs="Times New Roman"/>
          <w:sz w:val="20"/>
          <w:szCs w:val="20"/>
        </w:rPr>
        <w:t xml:space="preserve"> Department of Labor;</w:t>
      </w:r>
      <w:r>
        <w:rPr>
          <w:rFonts w:ascii="Times New Roman" w:hAnsi="Times New Roman" w:cs="Times New Roman"/>
          <w:sz w:val="20"/>
          <w:szCs w:val="20"/>
        </w:rPr>
        <w:t xml:space="preserve"> Authors’ calculations. </w:t>
      </w:r>
    </w:p>
    <w:p w14:paraId="37398F14" w14:textId="2821C6CD" w:rsidR="00FB505C" w:rsidRDefault="00FB505C" w:rsidP="00B81FC5">
      <w:pPr>
        <w:rPr>
          <w:rFonts w:ascii="Times New Roman" w:hAnsi="Times New Roman" w:cs="Times New Roman"/>
          <w:sz w:val="20"/>
          <w:szCs w:val="20"/>
        </w:rPr>
      </w:pPr>
    </w:p>
    <w:p w14:paraId="32D48170" w14:textId="35079A47" w:rsidR="00FB505C" w:rsidRDefault="00FB505C" w:rsidP="00B81FC5">
      <w:pPr>
        <w:rPr>
          <w:rFonts w:ascii="Times New Roman" w:hAnsi="Times New Roman" w:cs="Times New Roman"/>
          <w:sz w:val="20"/>
          <w:szCs w:val="20"/>
        </w:rPr>
      </w:pPr>
    </w:p>
    <w:p w14:paraId="7FB65674" w14:textId="536E39D5" w:rsidR="00FB505C" w:rsidRDefault="00FB505C" w:rsidP="00B81FC5">
      <w:pPr>
        <w:rPr>
          <w:rFonts w:ascii="Times New Roman" w:hAnsi="Times New Roman" w:cs="Times New Roman"/>
          <w:sz w:val="20"/>
          <w:szCs w:val="20"/>
        </w:rPr>
      </w:pPr>
    </w:p>
    <w:p w14:paraId="46AD7559" w14:textId="4DAF4BCE" w:rsidR="00FB505C" w:rsidRDefault="00FB505C" w:rsidP="00B81FC5">
      <w:pPr>
        <w:rPr>
          <w:rFonts w:ascii="Times New Roman" w:hAnsi="Times New Roman" w:cs="Times New Roman"/>
          <w:sz w:val="20"/>
          <w:szCs w:val="20"/>
        </w:rPr>
      </w:pPr>
    </w:p>
    <w:p w14:paraId="51CD681C" w14:textId="703512BA" w:rsidR="00FB505C" w:rsidRDefault="00FB505C" w:rsidP="00B81FC5">
      <w:pPr>
        <w:rPr>
          <w:rFonts w:ascii="Times New Roman" w:hAnsi="Times New Roman" w:cs="Times New Roman"/>
          <w:sz w:val="20"/>
          <w:szCs w:val="20"/>
        </w:rPr>
      </w:pPr>
    </w:p>
    <w:p w14:paraId="7D53420D" w14:textId="2D2F6D3D" w:rsidR="00500E42" w:rsidRPr="009F0F64" w:rsidRDefault="00500E42" w:rsidP="00500E42">
      <w:pPr>
        <w:spacing w:before="120" w:after="120"/>
        <w:rPr>
          <w:rFonts w:ascii="Times New Roman" w:hAnsi="Times New Roman" w:cs="Times New Roman"/>
          <w:sz w:val="24"/>
          <w:szCs w:val="24"/>
        </w:rPr>
      </w:pPr>
      <w:r w:rsidRPr="00EF1079">
        <w:rPr>
          <w:rFonts w:ascii="Times New Roman" w:hAnsi="Times New Roman" w:cs="Times New Roman"/>
          <w:b/>
          <w:sz w:val="24"/>
          <w:szCs w:val="24"/>
        </w:rPr>
        <w:lastRenderedPageBreak/>
        <w:t xml:space="preserve">Figure </w:t>
      </w:r>
      <w:r w:rsidR="00B61885">
        <w:rPr>
          <w:rFonts w:ascii="Times New Roman" w:hAnsi="Times New Roman" w:cs="Times New Roman"/>
          <w:b/>
          <w:sz w:val="24"/>
          <w:szCs w:val="24"/>
        </w:rPr>
        <w:t>A4</w:t>
      </w:r>
      <w:r w:rsidR="007117C6">
        <w:rPr>
          <w:rFonts w:ascii="Times New Roman" w:hAnsi="Times New Roman" w:cs="Times New Roman"/>
          <w:b/>
          <w:sz w:val="24"/>
          <w:szCs w:val="24"/>
        </w:rPr>
        <w:t>.</w:t>
      </w:r>
      <w:r w:rsidR="007117C6" w:rsidRPr="00EF1079">
        <w:rPr>
          <w:rFonts w:ascii="Times New Roman" w:hAnsi="Times New Roman" w:cs="Times New Roman"/>
          <w:b/>
          <w:sz w:val="24"/>
          <w:szCs w:val="24"/>
        </w:rPr>
        <w:t xml:space="preserve"> </w:t>
      </w:r>
      <w:r>
        <w:rPr>
          <w:rFonts w:ascii="Times New Roman" w:hAnsi="Times New Roman" w:cs="Times New Roman"/>
          <w:b/>
          <w:sz w:val="24"/>
          <w:szCs w:val="24"/>
        </w:rPr>
        <w:t xml:space="preserve">Population-weighted </w:t>
      </w:r>
      <w:r w:rsidRPr="00EF1079">
        <w:rPr>
          <w:rFonts w:ascii="Times New Roman" w:hAnsi="Times New Roman" w:cs="Times New Roman"/>
          <w:b/>
          <w:sz w:val="24"/>
          <w:szCs w:val="24"/>
        </w:rPr>
        <w:t xml:space="preserve">share of U.S. counties </w:t>
      </w:r>
      <w:r>
        <w:rPr>
          <w:rFonts w:ascii="Times New Roman" w:hAnsi="Times New Roman" w:cs="Times New Roman"/>
          <w:b/>
          <w:sz w:val="24"/>
          <w:szCs w:val="24"/>
        </w:rPr>
        <w:t xml:space="preserve">eligible for a </w:t>
      </w:r>
      <w:r w:rsidRPr="00EF1079">
        <w:rPr>
          <w:rFonts w:ascii="Times New Roman" w:hAnsi="Times New Roman" w:cs="Times New Roman"/>
          <w:b/>
          <w:sz w:val="24"/>
          <w:szCs w:val="24"/>
        </w:rPr>
        <w:t>work requirement waiver</w:t>
      </w:r>
      <w:r>
        <w:rPr>
          <w:rFonts w:ascii="Times New Roman" w:hAnsi="Times New Roman" w:cs="Times New Roman"/>
          <w:b/>
          <w:sz w:val="24"/>
          <w:szCs w:val="24"/>
        </w:rPr>
        <w:t xml:space="preserve">, monthly, </w:t>
      </w:r>
      <w:r w:rsidRPr="00EF1079">
        <w:rPr>
          <w:rFonts w:ascii="Times New Roman" w:hAnsi="Times New Roman" w:cs="Times New Roman"/>
          <w:b/>
          <w:sz w:val="24"/>
          <w:szCs w:val="24"/>
        </w:rPr>
        <w:t>January 1997-December 2023</w:t>
      </w:r>
      <w:r>
        <w:rPr>
          <w:rFonts w:ascii="Times New Roman" w:hAnsi="Times New Roman" w:cs="Times New Roman"/>
          <w:b/>
          <w:sz w:val="24"/>
          <w:szCs w:val="24"/>
        </w:rPr>
        <w:t>: various periods for calculating Labor Market Area average unemployment rate</w:t>
      </w:r>
    </w:p>
    <w:p w14:paraId="7E19DFBC" w14:textId="7D467C2F" w:rsidR="00500E42" w:rsidRDefault="00F9500C" w:rsidP="00500E42">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3EEFA9" wp14:editId="2ABF9029">
            <wp:extent cx="5943600" cy="43268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m2-altperiods-1year.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41A9289B" w14:textId="77777777" w:rsidR="00500E42" w:rsidRDefault="00500E42" w:rsidP="00500E42">
      <w:pPr>
        <w:spacing w:after="0" w:line="240" w:lineRule="auto"/>
        <w:rPr>
          <w:rFonts w:ascii="Times New Roman" w:hAnsi="Times New Roman" w:cs="Times New Roman"/>
          <w:sz w:val="20"/>
          <w:szCs w:val="20"/>
        </w:rPr>
      </w:pPr>
      <w:r>
        <w:rPr>
          <w:rFonts w:ascii="Times New Roman" w:hAnsi="Times New Roman" w:cs="Times New Roman"/>
          <w:sz w:val="20"/>
          <w:szCs w:val="20"/>
        </w:rPr>
        <w:t>Notes: Figure reports share of population-weighted counties in the United States eligible for a work requirement waiver in a given month, as simulated under counterfactual policies with various periods for calculating Labor Market Area average unemployment rates for purposes of the 20 percent rule. Under the 2019 final rule, a 24-month average is used for the Labor Market Area unemployment rate. Each of the simulations eliminate Extended Unemployment Benefits criterion, prohibit grouping, impose a 6 percent unemployment rate floor for the 20 percent rule, and switch to the Labor Market Area as the geographic unit of analysis. Grey shaded areas indicate recessions as defined by the National Bureau of Economic Research.</w:t>
      </w:r>
    </w:p>
    <w:p w14:paraId="11879F26" w14:textId="3E0A0E66" w:rsidR="00500E42" w:rsidRPr="00230518" w:rsidRDefault="00500E42" w:rsidP="00500E42">
      <w:pPr>
        <w:spacing w:line="240" w:lineRule="auto"/>
        <w:rPr>
          <w:rFonts w:ascii="Times New Roman" w:hAnsi="Times New Roman" w:cs="Times New Roman"/>
          <w:sz w:val="20"/>
          <w:szCs w:val="20"/>
        </w:rPr>
      </w:pPr>
      <w:r>
        <w:rPr>
          <w:rFonts w:ascii="Times New Roman" w:hAnsi="Times New Roman" w:cs="Times New Roman"/>
          <w:sz w:val="20"/>
          <w:szCs w:val="20"/>
        </w:rPr>
        <w:t>Sources: United States Department of Agriculture; Bureau of Labor Statistics Local Area Unemployment Statistics;</w:t>
      </w:r>
      <w:r w:rsidR="005E02FF">
        <w:rPr>
          <w:rFonts w:ascii="Times New Roman" w:hAnsi="Times New Roman" w:cs="Times New Roman"/>
          <w:sz w:val="20"/>
          <w:szCs w:val="20"/>
        </w:rPr>
        <w:t xml:space="preserve"> Department of Labor; </w:t>
      </w:r>
      <w:r>
        <w:rPr>
          <w:rFonts w:ascii="Times New Roman" w:hAnsi="Times New Roman" w:cs="Times New Roman"/>
          <w:sz w:val="20"/>
          <w:szCs w:val="20"/>
        </w:rPr>
        <w:t xml:space="preserve">Authors’ calculations. </w:t>
      </w:r>
    </w:p>
    <w:p w14:paraId="1AF12A4E" w14:textId="77777777" w:rsidR="00500E42" w:rsidRDefault="00500E42" w:rsidP="00500E42">
      <w:pPr>
        <w:spacing w:before="120" w:after="120"/>
        <w:rPr>
          <w:rFonts w:ascii="Times New Roman" w:hAnsi="Times New Roman" w:cs="Times New Roman"/>
          <w:sz w:val="24"/>
          <w:szCs w:val="24"/>
          <w:highlight w:val="yellow"/>
        </w:rPr>
      </w:pPr>
    </w:p>
    <w:p w14:paraId="30F0C056" w14:textId="77777777" w:rsidR="00500E42" w:rsidRDefault="00500E42" w:rsidP="00500E42">
      <w:pPr>
        <w:spacing w:before="120" w:after="120"/>
        <w:rPr>
          <w:rFonts w:ascii="Times New Roman" w:hAnsi="Times New Roman" w:cs="Times New Roman"/>
          <w:sz w:val="24"/>
          <w:szCs w:val="24"/>
        </w:rPr>
      </w:pPr>
    </w:p>
    <w:p w14:paraId="1F0F8075" w14:textId="77777777" w:rsidR="00500E42" w:rsidRDefault="00500E42" w:rsidP="00500E42">
      <w:pPr>
        <w:spacing w:before="120" w:after="120"/>
        <w:rPr>
          <w:rFonts w:ascii="Times New Roman" w:hAnsi="Times New Roman" w:cs="Times New Roman"/>
          <w:sz w:val="24"/>
          <w:szCs w:val="24"/>
        </w:rPr>
      </w:pPr>
    </w:p>
    <w:p w14:paraId="30BFBA7B" w14:textId="77777777" w:rsidR="00500E42" w:rsidRDefault="00500E42" w:rsidP="00500E42">
      <w:pPr>
        <w:spacing w:before="120" w:after="120"/>
        <w:rPr>
          <w:rFonts w:ascii="Times New Roman" w:hAnsi="Times New Roman" w:cs="Times New Roman"/>
          <w:sz w:val="24"/>
          <w:szCs w:val="24"/>
        </w:rPr>
      </w:pPr>
    </w:p>
    <w:p w14:paraId="4661E071" w14:textId="77777777" w:rsidR="00500E42" w:rsidRDefault="00500E42" w:rsidP="00500E42">
      <w:pPr>
        <w:spacing w:before="120" w:after="120"/>
        <w:rPr>
          <w:rFonts w:ascii="Times New Roman" w:hAnsi="Times New Roman" w:cs="Times New Roman"/>
          <w:sz w:val="24"/>
          <w:szCs w:val="24"/>
        </w:rPr>
      </w:pPr>
    </w:p>
    <w:p w14:paraId="33EC2E23" w14:textId="723F81F2" w:rsidR="00500E42" w:rsidRDefault="00500E42" w:rsidP="00500E42">
      <w:pPr>
        <w:spacing w:before="120" w:after="120"/>
        <w:rPr>
          <w:rFonts w:ascii="Times New Roman" w:hAnsi="Times New Roman" w:cs="Times New Roman"/>
          <w:b/>
          <w:sz w:val="24"/>
          <w:szCs w:val="24"/>
        </w:rPr>
      </w:pPr>
      <w:r w:rsidRPr="00EF1079">
        <w:rPr>
          <w:rFonts w:ascii="Times New Roman" w:hAnsi="Times New Roman" w:cs="Times New Roman"/>
          <w:b/>
          <w:sz w:val="24"/>
          <w:szCs w:val="24"/>
        </w:rPr>
        <w:lastRenderedPageBreak/>
        <w:t xml:space="preserve">Figure </w:t>
      </w:r>
      <w:r w:rsidR="00B61885">
        <w:rPr>
          <w:rFonts w:ascii="Times New Roman" w:hAnsi="Times New Roman" w:cs="Times New Roman"/>
          <w:b/>
          <w:sz w:val="24"/>
          <w:szCs w:val="24"/>
        </w:rPr>
        <w:t>A5</w:t>
      </w:r>
      <w:r w:rsidR="007117C6">
        <w:rPr>
          <w:rFonts w:ascii="Times New Roman" w:hAnsi="Times New Roman" w:cs="Times New Roman"/>
          <w:b/>
          <w:sz w:val="24"/>
          <w:szCs w:val="24"/>
        </w:rPr>
        <w:t>.</w:t>
      </w:r>
      <w:r w:rsidR="007117C6" w:rsidRPr="00EF1079">
        <w:rPr>
          <w:rFonts w:ascii="Times New Roman" w:hAnsi="Times New Roman" w:cs="Times New Roman"/>
          <w:b/>
          <w:sz w:val="24"/>
          <w:szCs w:val="24"/>
        </w:rPr>
        <w:t xml:space="preserve"> </w:t>
      </w:r>
      <w:r>
        <w:rPr>
          <w:rFonts w:ascii="Times New Roman" w:hAnsi="Times New Roman" w:cs="Times New Roman"/>
          <w:b/>
          <w:sz w:val="24"/>
          <w:szCs w:val="24"/>
        </w:rPr>
        <w:t xml:space="preserve">Population-weighted </w:t>
      </w:r>
      <w:r w:rsidRPr="00EF1079">
        <w:rPr>
          <w:rFonts w:ascii="Times New Roman" w:hAnsi="Times New Roman" w:cs="Times New Roman"/>
          <w:b/>
          <w:sz w:val="24"/>
          <w:szCs w:val="24"/>
        </w:rPr>
        <w:t xml:space="preserve">share of U.S. counties </w:t>
      </w:r>
      <w:r>
        <w:rPr>
          <w:rFonts w:ascii="Times New Roman" w:hAnsi="Times New Roman" w:cs="Times New Roman"/>
          <w:b/>
          <w:sz w:val="24"/>
          <w:szCs w:val="24"/>
        </w:rPr>
        <w:t xml:space="preserve">eligible for a </w:t>
      </w:r>
      <w:r w:rsidRPr="00EF1079">
        <w:rPr>
          <w:rFonts w:ascii="Times New Roman" w:hAnsi="Times New Roman" w:cs="Times New Roman"/>
          <w:b/>
          <w:sz w:val="24"/>
          <w:szCs w:val="24"/>
        </w:rPr>
        <w:t>work requirement waiver</w:t>
      </w:r>
      <w:r>
        <w:rPr>
          <w:rFonts w:ascii="Times New Roman" w:hAnsi="Times New Roman" w:cs="Times New Roman"/>
          <w:b/>
          <w:sz w:val="24"/>
          <w:szCs w:val="24"/>
        </w:rPr>
        <w:t xml:space="preserve">, monthly, </w:t>
      </w:r>
      <w:r w:rsidRPr="00EF1079">
        <w:rPr>
          <w:rFonts w:ascii="Times New Roman" w:hAnsi="Times New Roman" w:cs="Times New Roman"/>
          <w:b/>
          <w:sz w:val="24"/>
          <w:szCs w:val="24"/>
        </w:rPr>
        <w:t>January 1997-December 2023</w:t>
      </w:r>
      <w:r>
        <w:rPr>
          <w:rFonts w:ascii="Times New Roman" w:hAnsi="Times New Roman" w:cs="Times New Roman"/>
          <w:b/>
          <w:sz w:val="24"/>
          <w:szCs w:val="24"/>
        </w:rPr>
        <w:t>: various periods for calculating national average unemployment rate</w:t>
      </w:r>
    </w:p>
    <w:p w14:paraId="06B2BB73" w14:textId="61917485" w:rsidR="00500E42" w:rsidRPr="009F0F64" w:rsidRDefault="00F9500C" w:rsidP="00500E42">
      <w:pPr>
        <w:spacing w:before="120"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732E5" wp14:editId="7DE7E0DF">
            <wp:extent cx="5943600" cy="4326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m2-altperiods-v2-1year.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11CDF03D" w14:textId="2541EFCA" w:rsidR="00500E42" w:rsidRDefault="00500E42" w:rsidP="00500E42">
      <w:pPr>
        <w:spacing w:after="0"/>
        <w:rPr>
          <w:rFonts w:ascii="Times New Roman" w:hAnsi="Times New Roman" w:cs="Times New Roman"/>
          <w:sz w:val="20"/>
          <w:szCs w:val="20"/>
        </w:rPr>
      </w:pPr>
      <w:r>
        <w:rPr>
          <w:rFonts w:ascii="Times New Roman" w:hAnsi="Times New Roman" w:cs="Times New Roman"/>
          <w:sz w:val="20"/>
          <w:szCs w:val="20"/>
        </w:rPr>
        <w:t>Notes: Figure reports share of population-weighted counties in the United States eligible for a work requirement waiver in a given month, as simulated under counterfactual policies with various periods for calculating U.S. average unemployment rates for purposes of the 20 percent rule. All policies shown in figure use a 3-month average Labor Market Area unemployment rate, differing from the 24-month average used in the 2019 final rule. Policy [</w:t>
      </w:r>
      <w:r w:rsidR="007117C6">
        <w:rPr>
          <w:rFonts w:ascii="Times New Roman" w:hAnsi="Times New Roman" w:cs="Times New Roman"/>
          <w:sz w:val="20"/>
          <w:szCs w:val="20"/>
        </w:rPr>
        <w:t>4C</w:t>
      </w:r>
      <w:r>
        <w:rPr>
          <w:rFonts w:ascii="Times New Roman" w:hAnsi="Times New Roman" w:cs="Times New Roman"/>
          <w:sz w:val="20"/>
          <w:szCs w:val="20"/>
        </w:rPr>
        <w:t>] uses a 24-month average U.S. unemployment rate for purposes of the 20 percent rule, the same as used in the 2019 final rule. Each of the simulations eliminate Extended Unemployment Benefits criterion, prohibit grouping, impose a 6 percent unemployment rate floor for the 20 percent rule, and switch to the Labor Market Area as the geographic unit of analysis. Grey shaded areas indicate recessions as defined by the National Bureau of Economic Research.</w:t>
      </w:r>
    </w:p>
    <w:p w14:paraId="24861640" w14:textId="7BFB7C45" w:rsidR="00500E42" w:rsidRDefault="00500E42" w:rsidP="00500E42">
      <w:pPr>
        <w:spacing w:after="120"/>
        <w:rPr>
          <w:rFonts w:ascii="Times New Roman" w:hAnsi="Times New Roman" w:cs="Times New Roman"/>
          <w:sz w:val="24"/>
          <w:szCs w:val="24"/>
        </w:rPr>
      </w:pPr>
      <w:r>
        <w:rPr>
          <w:rFonts w:ascii="Times New Roman" w:hAnsi="Times New Roman" w:cs="Times New Roman"/>
          <w:sz w:val="20"/>
          <w:szCs w:val="20"/>
        </w:rPr>
        <w:t>Sources: United States Department of Agriculture; Bureau of Labor Statistics Local Area Unemployment Statistics;</w:t>
      </w:r>
      <w:r w:rsidR="005E02FF">
        <w:rPr>
          <w:rFonts w:ascii="Times New Roman" w:hAnsi="Times New Roman" w:cs="Times New Roman"/>
          <w:sz w:val="20"/>
          <w:szCs w:val="20"/>
        </w:rPr>
        <w:t xml:space="preserve"> Department of Labor;</w:t>
      </w:r>
      <w:r>
        <w:rPr>
          <w:rFonts w:ascii="Times New Roman" w:hAnsi="Times New Roman" w:cs="Times New Roman"/>
          <w:sz w:val="20"/>
          <w:szCs w:val="20"/>
        </w:rPr>
        <w:t xml:space="preserve"> Authors’ calculations.</w:t>
      </w:r>
    </w:p>
    <w:p w14:paraId="471050AB" w14:textId="77777777" w:rsidR="00500E42" w:rsidRDefault="00500E42" w:rsidP="00500E42">
      <w:pPr>
        <w:spacing w:before="120" w:after="120" w:line="360" w:lineRule="auto"/>
        <w:rPr>
          <w:rFonts w:ascii="Times New Roman" w:hAnsi="Times New Roman" w:cs="Times New Roman"/>
          <w:sz w:val="24"/>
          <w:szCs w:val="24"/>
        </w:rPr>
      </w:pPr>
    </w:p>
    <w:p w14:paraId="2157E841" w14:textId="77777777" w:rsidR="00500E42" w:rsidRDefault="00500E42" w:rsidP="00FB505C">
      <w:pPr>
        <w:spacing w:after="0" w:line="276" w:lineRule="auto"/>
        <w:rPr>
          <w:rFonts w:ascii="Times New Roman" w:eastAsia="Times New Roman" w:hAnsi="Times New Roman" w:cs="Times New Roman"/>
          <w:b/>
          <w:bCs/>
          <w:color w:val="000000"/>
          <w:sz w:val="24"/>
          <w:szCs w:val="24"/>
        </w:rPr>
      </w:pPr>
    </w:p>
    <w:p w14:paraId="02ED8E96" w14:textId="0366FFA5" w:rsidR="001E3B9C" w:rsidRDefault="001E3B9C" w:rsidP="00FB505C">
      <w:pPr>
        <w:spacing w:after="0" w:line="276" w:lineRule="auto"/>
        <w:rPr>
          <w:rFonts w:ascii="Times New Roman" w:eastAsia="Times New Roman" w:hAnsi="Times New Roman" w:cs="Times New Roman"/>
          <w:b/>
          <w:bCs/>
          <w:color w:val="000000"/>
          <w:sz w:val="24"/>
          <w:szCs w:val="24"/>
        </w:rPr>
      </w:pPr>
    </w:p>
    <w:p w14:paraId="216A11FE" w14:textId="40709D71" w:rsidR="00500E42" w:rsidRDefault="00500E42" w:rsidP="00FB505C">
      <w:pPr>
        <w:spacing w:after="0" w:line="276" w:lineRule="auto"/>
        <w:rPr>
          <w:rFonts w:ascii="Times New Roman" w:eastAsia="Times New Roman" w:hAnsi="Times New Roman" w:cs="Times New Roman"/>
          <w:b/>
          <w:bCs/>
          <w:color w:val="000000"/>
          <w:sz w:val="24"/>
          <w:szCs w:val="24"/>
        </w:rPr>
      </w:pPr>
    </w:p>
    <w:p w14:paraId="3B54C3E1" w14:textId="77777777" w:rsidR="006513B1" w:rsidRDefault="006513B1" w:rsidP="00FB505C">
      <w:pPr>
        <w:spacing w:after="0" w:line="276" w:lineRule="auto"/>
        <w:rPr>
          <w:rFonts w:ascii="Times New Roman" w:eastAsia="Times New Roman" w:hAnsi="Times New Roman" w:cs="Times New Roman"/>
          <w:b/>
          <w:bCs/>
          <w:color w:val="000000"/>
          <w:sz w:val="24"/>
          <w:szCs w:val="24"/>
        </w:rPr>
      </w:pPr>
    </w:p>
    <w:p w14:paraId="211D60E3" w14:textId="449BB72D" w:rsidR="00500E42" w:rsidRPr="006513B1" w:rsidRDefault="00500E42" w:rsidP="00500E42">
      <w:pPr>
        <w:spacing w:before="120" w:after="120"/>
        <w:rPr>
          <w:rFonts w:ascii="Times New Roman" w:hAnsi="Times New Roman" w:cs="Times New Roman"/>
          <w:b/>
          <w:sz w:val="24"/>
          <w:szCs w:val="24"/>
        </w:rPr>
      </w:pPr>
      <w:r w:rsidRPr="00EF1079">
        <w:rPr>
          <w:rFonts w:ascii="Times New Roman" w:hAnsi="Times New Roman" w:cs="Times New Roman"/>
          <w:b/>
          <w:sz w:val="24"/>
          <w:szCs w:val="24"/>
        </w:rPr>
        <w:lastRenderedPageBreak/>
        <w:t xml:space="preserve">Figure </w:t>
      </w:r>
      <w:r w:rsidR="00B61885">
        <w:rPr>
          <w:rFonts w:ascii="Times New Roman" w:hAnsi="Times New Roman" w:cs="Times New Roman"/>
          <w:b/>
          <w:sz w:val="24"/>
          <w:szCs w:val="24"/>
        </w:rPr>
        <w:t>A6</w:t>
      </w:r>
      <w:r w:rsidR="007117C6">
        <w:rPr>
          <w:rFonts w:ascii="Times New Roman" w:hAnsi="Times New Roman" w:cs="Times New Roman"/>
          <w:b/>
          <w:sz w:val="24"/>
          <w:szCs w:val="24"/>
        </w:rPr>
        <w:t>.</w:t>
      </w:r>
      <w:r w:rsidR="007117C6" w:rsidRPr="00EF1079">
        <w:rPr>
          <w:rFonts w:ascii="Times New Roman" w:hAnsi="Times New Roman" w:cs="Times New Roman"/>
          <w:b/>
          <w:sz w:val="24"/>
          <w:szCs w:val="24"/>
        </w:rPr>
        <w:t xml:space="preserve"> </w:t>
      </w:r>
      <w:r>
        <w:rPr>
          <w:rFonts w:ascii="Times New Roman" w:hAnsi="Times New Roman" w:cs="Times New Roman"/>
          <w:b/>
          <w:sz w:val="24"/>
          <w:szCs w:val="24"/>
        </w:rPr>
        <w:t xml:space="preserve">Cumulative unemployment rate distribution among counties eligible for a </w:t>
      </w:r>
      <w:r w:rsidRPr="00EF1079">
        <w:rPr>
          <w:rFonts w:ascii="Times New Roman" w:hAnsi="Times New Roman" w:cs="Times New Roman"/>
          <w:b/>
          <w:sz w:val="24"/>
          <w:szCs w:val="24"/>
        </w:rPr>
        <w:t>work requirement waiver</w:t>
      </w:r>
      <w:r>
        <w:rPr>
          <w:rFonts w:ascii="Times New Roman" w:hAnsi="Times New Roman" w:cs="Times New Roman"/>
          <w:b/>
          <w:sz w:val="24"/>
          <w:szCs w:val="24"/>
        </w:rPr>
        <w:t xml:space="preserve"> in 1997-</w:t>
      </w:r>
      <w:r w:rsidRPr="00EF1079">
        <w:rPr>
          <w:rFonts w:ascii="Times New Roman" w:hAnsi="Times New Roman" w:cs="Times New Roman"/>
          <w:b/>
          <w:sz w:val="24"/>
          <w:szCs w:val="24"/>
        </w:rPr>
        <w:t>2023</w:t>
      </w:r>
      <w:r>
        <w:rPr>
          <w:rFonts w:ascii="Times New Roman" w:hAnsi="Times New Roman" w:cs="Times New Roman"/>
          <w:b/>
          <w:sz w:val="24"/>
          <w:szCs w:val="24"/>
        </w:rPr>
        <w:t>: various periods for calculating Labor Market Area average unemployment rate</w:t>
      </w:r>
    </w:p>
    <w:p w14:paraId="7F1AB935" w14:textId="0278B42A" w:rsidR="00500E42" w:rsidRDefault="00F9500C" w:rsidP="00500E42">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DEDF77" wp14:editId="1E69EBE5">
            <wp:extent cx="5943600" cy="43268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4b-1year.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3F4010CD" w14:textId="77777777" w:rsidR="00500E42" w:rsidRDefault="00500E42" w:rsidP="00500E42">
      <w:pPr>
        <w:spacing w:after="0" w:line="240" w:lineRule="auto"/>
        <w:rPr>
          <w:rFonts w:ascii="Times New Roman" w:hAnsi="Times New Roman" w:cs="Times New Roman"/>
          <w:sz w:val="20"/>
          <w:szCs w:val="20"/>
        </w:rPr>
      </w:pPr>
      <w:r>
        <w:rPr>
          <w:rFonts w:ascii="Times New Roman" w:hAnsi="Times New Roman" w:cs="Times New Roman"/>
          <w:sz w:val="20"/>
          <w:szCs w:val="20"/>
        </w:rPr>
        <w:t>Notes: Figure reports, among county-months with a work requirement waiver in 1997-2023, the population-weighted share with an unemployment rate equal to or below any given level, as simulated under counterfactual policies with various periods for calculating Labor Market Area average unemployment rates for purposes of the 20 percent rule. Under the 2019 final rule, a 24-month average is used for the Labor Market Area unemployment rate. Each of the simulations eliminate Extended Unemployment Benefits criterion, prohibit grouping, impose a 6 percent unemployment rate floor for the 20 percent rule, and switch to the Labor Market Area as the geographic unit of analysis.</w:t>
      </w:r>
    </w:p>
    <w:p w14:paraId="17D16DB4" w14:textId="14D9D09B" w:rsidR="00500E42" w:rsidRDefault="00500E42" w:rsidP="00500E42">
      <w:pPr>
        <w:spacing w:line="240" w:lineRule="auto"/>
        <w:rPr>
          <w:rFonts w:ascii="Times New Roman" w:hAnsi="Times New Roman" w:cs="Times New Roman"/>
          <w:sz w:val="20"/>
          <w:szCs w:val="20"/>
        </w:rPr>
      </w:pPr>
      <w:r>
        <w:rPr>
          <w:rFonts w:ascii="Times New Roman" w:hAnsi="Times New Roman" w:cs="Times New Roman"/>
          <w:sz w:val="20"/>
          <w:szCs w:val="20"/>
        </w:rPr>
        <w:t>Sources: United States Department of Agriculture; Bureau of Labor Statistics Local Area Unemployment Statistics;</w:t>
      </w:r>
      <w:r w:rsidR="00D60D81">
        <w:rPr>
          <w:rFonts w:ascii="Times New Roman" w:hAnsi="Times New Roman" w:cs="Times New Roman"/>
          <w:sz w:val="20"/>
          <w:szCs w:val="20"/>
        </w:rPr>
        <w:t xml:space="preserve"> Department of Labor;</w:t>
      </w:r>
      <w:r>
        <w:rPr>
          <w:rFonts w:ascii="Times New Roman" w:hAnsi="Times New Roman" w:cs="Times New Roman"/>
          <w:sz w:val="20"/>
          <w:szCs w:val="20"/>
        </w:rPr>
        <w:t xml:space="preserve"> Authors’ calculations. </w:t>
      </w:r>
    </w:p>
    <w:p w14:paraId="586A5513" w14:textId="77777777" w:rsidR="00500E42" w:rsidRDefault="00500E42" w:rsidP="00500E42">
      <w:pPr>
        <w:spacing w:before="120" w:after="120" w:line="360" w:lineRule="auto"/>
        <w:rPr>
          <w:rFonts w:ascii="Times New Roman" w:hAnsi="Times New Roman" w:cs="Times New Roman"/>
          <w:sz w:val="24"/>
          <w:szCs w:val="24"/>
        </w:rPr>
      </w:pPr>
    </w:p>
    <w:p w14:paraId="024EAD12" w14:textId="77777777" w:rsidR="00500E42" w:rsidRDefault="00500E42" w:rsidP="00500E42">
      <w:pPr>
        <w:spacing w:before="120" w:after="120"/>
        <w:rPr>
          <w:rFonts w:ascii="Times New Roman" w:hAnsi="Times New Roman" w:cs="Times New Roman"/>
          <w:sz w:val="24"/>
          <w:szCs w:val="24"/>
        </w:rPr>
      </w:pPr>
    </w:p>
    <w:p w14:paraId="1F5245FC" w14:textId="77777777" w:rsidR="00500E42" w:rsidRDefault="00500E42" w:rsidP="00500E42">
      <w:pPr>
        <w:spacing w:before="120" w:after="120"/>
        <w:rPr>
          <w:rFonts w:ascii="Times New Roman" w:hAnsi="Times New Roman" w:cs="Times New Roman"/>
          <w:sz w:val="24"/>
          <w:szCs w:val="24"/>
        </w:rPr>
      </w:pPr>
    </w:p>
    <w:p w14:paraId="3253A21A" w14:textId="77777777" w:rsidR="00500E42" w:rsidRDefault="00500E42" w:rsidP="00500E42">
      <w:pPr>
        <w:spacing w:before="120" w:after="120" w:line="360" w:lineRule="auto"/>
        <w:rPr>
          <w:rFonts w:ascii="Times New Roman" w:hAnsi="Times New Roman" w:cs="Times New Roman"/>
          <w:sz w:val="24"/>
          <w:szCs w:val="24"/>
        </w:rPr>
      </w:pPr>
    </w:p>
    <w:p w14:paraId="4D7E89D9" w14:textId="77777777" w:rsidR="00500E42" w:rsidRDefault="00500E42" w:rsidP="00500E42">
      <w:pPr>
        <w:spacing w:before="120" w:after="120" w:line="360" w:lineRule="auto"/>
        <w:rPr>
          <w:rFonts w:ascii="Times New Roman" w:hAnsi="Times New Roman" w:cs="Times New Roman"/>
          <w:sz w:val="24"/>
          <w:szCs w:val="24"/>
        </w:rPr>
      </w:pPr>
    </w:p>
    <w:p w14:paraId="0A7B31D6" w14:textId="7DE27095" w:rsidR="00500E42" w:rsidRDefault="00500E42" w:rsidP="00500E42">
      <w:pPr>
        <w:spacing w:before="120" w:after="120"/>
        <w:rPr>
          <w:rFonts w:ascii="Times New Roman" w:hAnsi="Times New Roman" w:cs="Times New Roman"/>
          <w:b/>
          <w:sz w:val="24"/>
          <w:szCs w:val="24"/>
        </w:rPr>
      </w:pPr>
      <w:r w:rsidRPr="00EF1079">
        <w:rPr>
          <w:rFonts w:ascii="Times New Roman" w:hAnsi="Times New Roman" w:cs="Times New Roman"/>
          <w:b/>
          <w:sz w:val="24"/>
          <w:szCs w:val="24"/>
        </w:rPr>
        <w:lastRenderedPageBreak/>
        <w:t xml:space="preserve">Figure </w:t>
      </w:r>
      <w:r w:rsidR="00B61885">
        <w:rPr>
          <w:rFonts w:ascii="Times New Roman" w:hAnsi="Times New Roman" w:cs="Times New Roman"/>
          <w:b/>
          <w:sz w:val="24"/>
          <w:szCs w:val="24"/>
        </w:rPr>
        <w:t>A7</w:t>
      </w:r>
      <w:r w:rsidR="007117C6">
        <w:rPr>
          <w:rFonts w:ascii="Times New Roman" w:hAnsi="Times New Roman" w:cs="Times New Roman"/>
          <w:b/>
          <w:sz w:val="24"/>
          <w:szCs w:val="24"/>
        </w:rPr>
        <w:t>.</w:t>
      </w:r>
      <w:r w:rsidR="007117C6" w:rsidRPr="00EF1079">
        <w:rPr>
          <w:rFonts w:ascii="Times New Roman" w:hAnsi="Times New Roman" w:cs="Times New Roman"/>
          <w:b/>
          <w:sz w:val="24"/>
          <w:szCs w:val="24"/>
        </w:rPr>
        <w:t xml:space="preserve"> </w:t>
      </w:r>
      <w:r>
        <w:rPr>
          <w:rFonts w:ascii="Times New Roman" w:hAnsi="Times New Roman" w:cs="Times New Roman"/>
          <w:b/>
          <w:sz w:val="24"/>
          <w:szCs w:val="24"/>
        </w:rPr>
        <w:t xml:space="preserve">Unemployment rate distribution among counties eligible for a </w:t>
      </w:r>
      <w:r w:rsidRPr="00EF1079">
        <w:rPr>
          <w:rFonts w:ascii="Times New Roman" w:hAnsi="Times New Roman" w:cs="Times New Roman"/>
          <w:b/>
          <w:sz w:val="24"/>
          <w:szCs w:val="24"/>
        </w:rPr>
        <w:t>work requirement waiver</w:t>
      </w:r>
      <w:r>
        <w:rPr>
          <w:rFonts w:ascii="Times New Roman" w:hAnsi="Times New Roman" w:cs="Times New Roman"/>
          <w:b/>
          <w:sz w:val="24"/>
          <w:szCs w:val="24"/>
        </w:rPr>
        <w:t xml:space="preserve"> in 1997-</w:t>
      </w:r>
      <w:r w:rsidRPr="00EF1079">
        <w:rPr>
          <w:rFonts w:ascii="Times New Roman" w:hAnsi="Times New Roman" w:cs="Times New Roman"/>
          <w:b/>
          <w:sz w:val="24"/>
          <w:szCs w:val="24"/>
        </w:rPr>
        <w:t>2023</w:t>
      </w:r>
      <w:r>
        <w:rPr>
          <w:rFonts w:ascii="Times New Roman" w:hAnsi="Times New Roman" w:cs="Times New Roman"/>
          <w:b/>
          <w:sz w:val="24"/>
          <w:szCs w:val="24"/>
        </w:rPr>
        <w:t>: various periods for calculating national average unemployment</w:t>
      </w:r>
    </w:p>
    <w:p w14:paraId="333396B7" w14:textId="3B600FC4" w:rsidR="00500E42" w:rsidRPr="009F0F64" w:rsidRDefault="00F9500C" w:rsidP="00500E42">
      <w:pPr>
        <w:spacing w:before="120"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DF7B28" wp14:editId="4A6EA545">
            <wp:extent cx="5943600" cy="4326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4c-1year.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5D29B841" w14:textId="47F8AC03" w:rsidR="00500E42" w:rsidRDefault="00500E42" w:rsidP="00500E42">
      <w:pPr>
        <w:spacing w:after="0" w:line="240" w:lineRule="auto"/>
        <w:rPr>
          <w:rFonts w:ascii="Times New Roman" w:hAnsi="Times New Roman" w:cs="Times New Roman"/>
          <w:sz w:val="20"/>
          <w:szCs w:val="20"/>
        </w:rPr>
      </w:pPr>
      <w:r>
        <w:rPr>
          <w:rFonts w:ascii="Times New Roman" w:hAnsi="Times New Roman" w:cs="Times New Roman"/>
          <w:sz w:val="20"/>
          <w:szCs w:val="20"/>
        </w:rPr>
        <w:t>Notes: Figure reports, among county-months with a work requirement waiver in 1997-2023, the population-weighted share with an unemployment rate equal to or below any given level, as simulated under counterfactual policies with various periods for calculating U.S. average unemployment rates for purposes of the 20 percent rule. All policies shown in figure use a 3-month average Labor Market Area unemployment rate, differing from the 24-month average used in the 2019 final rule. Policy [</w:t>
      </w:r>
      <w:r w:rsidR="007117C6">
        <w:rPr>
          <w:rFonts w:ascii="Times New Roman" w:hAnsi="Times New Roman" w:cs="Times New Roman"/>
          <w:sz w:val="20"/>
          <w:szCs w:val="20"/>
        </w:rPr>
        <w:t>4C</w:t>
      </w:r>
      <w:r>
        <w:rPr>
          <w:rFonts w:ascii="Times New Roman" w:hAnsi="Times New Roman" w:cs="Times New Roman"/>
          <w:sz w:val="20"/>
          <w:szCs w:val="20"/>
        </w:rPr>
        <w:t>] uses a 24-month average U.S. unemployment rate for purposes of the 20 percent rule, the same as used in the 2019 final rule. Each of the simulations eliminate Extended Unemployment Benefits criterion, prohibit grouping, impose a 6 percent unemployment rate floor for the 20 percent rule, and switch to the Labor Market Area as the geographic unit of analysis. Grey shaded areas indicate recessions as defined by the National Bureau of Economic Research.</w:t>
      </w:r>
    </w:p>
    <w:p w14:paraId="248E8449" w14:textId="779DF642" w:rsidR="00500E42" w:rsidRDefault="00500E42" w:rsidP="00500E42">
      <w:pPr>
        <w:spacing w:after="120" w:line="240" w:lineRule="auto"/>
        <w:rPr>
          <w:rFonts w:ascii="Times New Roman" w:hAnsi="Times New Roman" w:cs="Times New Roman"/>
          <w:sz w:val="24"/>
          <w:szCs w:val="24"/>
        </w:rPr>
      </w:pPr>
      <w:r>
        <w:rPr>
          <w:rFonts w:ascii="Times New Roman" w:hAnsi="Times New Roman" w:cs="Times New Roman"/>
          <w:sz w:val="20"/>
          <w:szCs w:val="20"/>
        </w:rPr>
        <w:t>Sources: United States Department of Agriculture; Bureau of Labor Statistics Local Area Unemployment Statistics;</w:t>
      </w:r>
      <w:r w:rsidR="005E02FF">
        <w:rPr>
          <w:rFonts w:ascii="Times New Roman" w:hAnsi="Times New Roman" w:cs="Times New Roman"/>
          <w:sz w:val="20"/>
          <w:szCs w:val="20"/>
        </w:rPr>
        <w:t xml:space="preserve"> Department of Labor;</w:t>
      </w:r>
      <w:r>
        <w:rPr>
          <w:rFonts w:ascii="Times New Roman" w:hAnsi="Times New Roman" w:cs="Times New Roman"/>
          <w:sz w:val="20"/>
          <w:szCs w:val="20"/>
        </w:rPr>
        <w:t xml:space="preserve"> Authors’ calculations.</w:t>
      </w:r>
    </w:p>
    <w:p w14:paraId="48973EB3" w14:textId="77777777" w:rsidR="00500E42" w:rsidRDefault="00500E42" w:rsidP="00FB505C">
      <w:pPr>
        <w:spacing w:after="0" w:line="276" w:lineRule="auto"/>
        <w:rPr>
          <w:rFonts w:ascii="Times New Roman" w:eastAsia="Times New Roman" w:hAnsi="Times New Roman" w:cs="Times New Roman"/>
          <w:b/>
          <w:bCs/>
          <w:color w:val="000000"/>
          <w:sz w:val="24"/>
          <w:szCs w:val="24"/>
        </w:rPr>
      </w:pPr>
    </w:p>
    <w:p w14:paraId="66F5AD46" w14:textId="1BF29084" w:rsidR="001E3B9C" w:rsidRDefault="001E3B9C" w:rsidP="00FB505C">
      <w:pPr>
        <w:spacing w:after="0" w:line="276" w:lineRule="auto"/>
        <w:rPr>
          <w:rFonts w:ascii="Times New Roman" w:eastAsia="Times New Roman" w:hAnsi="Times New Roman" w:cs="Times New Roman"/>
          <w:b/>
          <w:bCs/>
          <w:color w:val="000000"/>
          <w:sz w:val="24"/>
          <w:szCs w:val="24"/>
        </w:rPr>
      </w:pPr>
    </w:p>
    <w:p w14:paraId="439ED59F" w14:textId="566F9A0B" w:rsidR="006513B1" w:rsidRDefault="006513B1" w:rsidP="00FB505C">
      <w:pPr>
        <w:spacing w:after="0" w:line="276" w:lineRule="auto"/>
        <w:rPr>
          <w:rFonts w:ascii="Times New Roman" w:eastAsia="Times New Roman" w:hAnsi="Times New Roman" w:cs="Times New Roman"/>
          <w:b/>
          <w:bCs/>
          <w:color w:val="000000"/>
          <w:sz w:val="24"/>
          <w:szCs w:val="24"/>
        </w:rPr>
      </w:pPr>
    </w:p>
    <w:p w14:paraId="12756DF1" w14:textId="15C0B962" w:rsidR="006513B1" w:rsidRDefault="006513B1" w:rsidP="00FB505C">
      <w:pPr>
        <w:spacing w:after="0" w:line="276" w:lineRule="auto"/>
        <w:rPr>
          <w:rFonts w:ascii="Times New Roman" w:eastAsia="Times New Roman" w:hAnsi="Times New Roman" w:cs="Times New Roman"/>
          <w:b/>
          <w:bCs/>
          <w:color w:val="000000"/>
          <w:sz w:val="24"/>
          <w:szCs w:val="24"/>
        </w:rPr>
      </w:pPr>
    </w:p>
    <w:p w14:paraId="1D949DED" w14:textId="747E8298" w:rsidR="006513B1" w:rsidRDefault="006513B1" w:rsidP="00FB505C">
      <w:pPr>
        <w:spacing w:after="0" w:line="276" w:lineRule="auto"/>
        <w:rPr>
          <w:rFonts w:ascii="Times New Roman" w:eastAsia="Times New Roman" w:hAnsi="Times New Roman" w:cs="Times New Roman"/>
          <w:b/>
          <w:bCs/>
          <w:color w:val="000000"/>
          <w:sz w:val="24"/>
          <w:szCs w:val="24"/>
        </w:rPr>
      </w:pPr>
    </w:p>
    <w:p w14:paraId="3464EED7" w14:textId="13E2EDF2" w:rsidR="006513B1" w:rsidRDefault="006513B1" w:rsidP="00FB505C">
      <w:pPr>
        <w:spacing w:after="0" w:line="276" w:lineRule="auto"/>
        <w:rPr>
          <w:rFonts w:ascii="Times New Roman" w:eastAsia="Times New Roman" w:hAnsi="Times New Roman" w:cs="Times New Roman"/>
          <w:b/>
          <w:bCs/>
          <w:color w:val="000000"/>
          <w:sz w:val="24"/>
          <w:szCs w:val="24"/>
        </w:rPr>
      </w:pPr>
    </w:p>
    <w:p w14:paraId="03CF2107" w14:textId="77777777" w:rsidR="006513B1" w:rsidRDefault="006513B1" w:rsidP="00FB505C">
      <w:pPr>
        <w:spacing w:after="0" w:line="276" w:lineRule="auto"/>
        <w:rPr>
          <w:rFonts w:ascii="Times New Roman" w:eastAsia="Times New Roman" w:hAnsi="Times New Roman" w:cs="Times New Roman"/>
          <w:b/>
          <w:bCs/>
          <w:color w:val="000000"/>
          <w:sz w:val="24"/>
          <w:szCs w:val="24"/>
        </w:rPr>
      </w:pPr>
    </w:p>
    <w:p w14:paraId="655F7CFF" w14:textId="3B10BD05" w:rsidR="00792002" w:rsidRDefault="00792002" w:rsidP="00792002">
      <w:pPr>
        <w:spacing w:after="0" w:line="276" w:lineRule="auto"/>
        <w:rPr>
          <w:rFonts w:ascii="Times New Roman" w:hAnsi="Times New Roman" w:cs="Times New Roman"/>
          <w:sz w:val="24"/>
          <w:szCs w:val="24"/>
        </w:rPr>
      </w:pPr>
      <w:r>
        <w:rPr>
          <w:rFonts w:ascii="Times New Roman" w:eastAsia="Times New Roman" w:hAnsi="Times New Roman" w:cs="Times New Roman"/>
          <w:b/>
          <w:bCs/>
          <w:color w:val="000000"/>
          <w:sz w:val="24"/>
          <w:szCs w:val="24"/>
        </w:rPr>
        <w:lastRenderedPageBreak/>
        <w:t xml:space="preserve">Table </w:t>
      </w:r>
      <w:r w:rsidR="00657161">
        <w:rPr>
          <w:rFonts w:ascii="Times New Roman" w:eastAsia="Times New Roman" w:hAnsi="Times New Roman" w:cs="Times New Roman"/>
          <w:b/>
          <w:bCs/>
          <w:color w:val="000000"/>
          <w:sz w:val="24"/>
          <w:szCs w:val="24"/>
        </w:rPr>
        <w:t>A1</w:t>
      </w:r>
      <w:r w:rsidR="007117C6">
        <w:rPr>
          <w:rFonts w:ascii="Times New Roman" w:eastAsia="Times New Roman" w:hAnsi="Times New Roman" w:cs="Times New Roman"/>
          <w:b/>
          <w:bCs/>
          <w:color w:val="000000"/>
          <w:sz w:val="24"/>
          <w:szCs w:val="24"/>
        </w:rPr>
        <w:t>.</w:t>
      </w:r>
      <w:r w:rsidR="007117C6" w:rsidRPr="00031C8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County-level association between waiver status and u</w:t>
      </w:r>
      <w:r w:rsidRPr="00031C85">
        <w:rPr>
          <w:rFonts w:ascii="Times New Roman" w:eastAsia="Times New Roman" w:hAnsi="Times New Roman" w:cs="Times New Roman"/>
          <w:b/>
          <w:bCs/>
          <w:color w:val="000000"/>
          <w:sz w:val="24"/>
          <w:szCs w:val="24"/>
        </w:rPr>
        <w:t xml:space="preserve">nemployment </w:t>
      </w:r>
      <w:r>
        <w:rPr>
          <w:rFonts w:ascii="Times New Roman" w:eastAsia="Times New Roman" w:hAnsi="Times New Roman" w:cs="Times New Roman"/>
          <w:b/>
          <w:bCs/>
          <w:color w:val="000000"/>
          <w:sz w:val="24"/>
          <w:szCs w:val="24"/>
        </w:rPr>
        <w:t>r</w:t>
      </w:r>
      <w:r w:rsidRPr="00031C85">
        <w:rPr>
          <w:rFonts w:ascii="Times New Roman" w:eastAsia="Times New Roman" w:hAnsi="Times New Roman" w:cs="Times New Roman"/>
          <w:b/>
          <w:bCs/>
          <w:color w:val="000000"/>
          <w:sz w:val="24"/>
          <w:szCs w:val="24"/>
        </w:rPr>
        <w:t xml:space="preserve">ate, </w:t>
      </w:r>
      <w:r>
        <w:rPr>
          <w:rFonts w:ascii="Times New Roman" w:eastAsia="Times New Roman" w:hAnsi="Times New Roman" w:cs="Times New Roman"/>
          <w:b/>
          <w:bCs/>
          <w:color w:val="000000"/>
          <w:sz w:val="24"/>
          <w:szCs w:val="24"/>
        </w:rPr>
        <w:t>including lag</w:t>
      </w:r>
      <w:r w:rsidR="00A53DE5">
        <w:rPr>
          <w:rFonts w:ascii="Times New Roman" w:eastAsia="Times New Roman" w:hAnsi="Times New Roman" w:cs="Times New Roman"/>
          <w:b/>
          <w:bCs/>
          <w:color w:val="000000"/>
          <w:sz w:val="24"/>
          <w:szCs w:val="24"/>
        </w:rPr>
        <w:t>s and leads of</w:t>
      </w:r>
      <w:r>
        <w:rPr>
          <w:rFonts w:ascii="Times New Roman" w:eastAsia="Times New Roman" w:hAnsi="Times New Roman" w:cs="Times New Roman"/>
          <w:b/>
          <w:bCs/>
          <w:color w:val="000000"/>
          <w:sz w:val="24"/>
          <w:szCs w:val="24"/>
        </w:rPr>
        <w:t xml:space="preserve"> unemployment rates, </w:t>
      </w:r>
      <w:r w:rsidRPr="00031C85">
        <w:rPr>
          <w:rFonts w:ascii="Times New Roman" w:eastAsia="Times New Roman" w:hAnsi="Times New Roman" w:cs="Times New Roman"/>
          <w:b/>
          <w:bCs/>
          <w:color w:val="000000"/>
          <w:sz w:val="24"/>
          <w:szCs w:val="24"/>
        </w:rPr>
        <w:t>1997-2023</w:t>
      </w:r>
    </w:p>
    <w:tbl>
      <w:tblPr>
        <w:tblW w:w="8010" w:type="dxa"/>
        <w:tblLayout w:type="fixed"/>
        <w:tblLook w:val="04A0" w:firstRow="1" w:lastRow="0" w:firstColumn="1" w:lastColumn="0" w:noHBand="0" w:noVBand="1"/>
      </w:tblPr>
      <w:tblGrid>
        <w:gridCol w:w="3060"/>
        <w:gridCol w:w="1440"/>
        <w:gridCol w:w="1170"/>
        <w:gridCol w:w="990"/>
        <w:gridCol w:w="1350"/>
      </w:tblGrid>
      <w:tr w:rsidR="00792002" w:rsidRPr="00031C85" w14:paraId="5EE8D865" w14:textId="77777777" w:rsidTr="00705FF0">
        <w:trPr>
          <w:trHeight w:val="300"/>
        </w:trPr>
        <w:tc>
          <w:tcPr>
            <w:tcW w:w="3060" w:type="dxa"/>
            <w:tcBorders>
              <w:top w:val="single" w:sz="4" w:space="0" w:color="auto"/>
              <w:left w:val="nil"/>
              <w:bottom w:val="single" w:sz="4" w:space="0" w:color="auto"/>
              <w:right w:val="nil"/>
            </w:tcBorders>
            <w:shd w:val="clear" w:color="auto" w:fill="auto"/>
            <w:noWrap/>
            <w:vAlign w:val="bottom"/>
            <w:hideMark/>
          </w:tcPr>
          <w:p w14:paraId="1B4B1F53" w14:textId="77777777" w:rsidR="00792002" w:rsidRPr="00031C85" w:rsidRDefault="00792002" w:rsidP="00705FF0">
            <w:pPr>
              <w:spacing w:after="0" w:line="240" w:lineRule="auto"/>
              <w:rPr>
                <w:rFonts w:ascii="Times New Roman" w:eastAsia="Times New Roman" w:hAnsi="Times New Roman" w:cs="Times New Roman"/>
                <w:sz w:val="20"/>
                <w:szCs w:val="20"/>
              </w:rPr>
            </w:pPr>
          </w:p>
        </w:tc>
        <w:tc>
          <w:tcPr>
            <w:tcW w:w="1440" w:type="dxa"/>
            <w:tcBorders>
              <w:top w:val="single" w:sz="4" w:space="0" w:color="auto"/>
              <w:left w:val="nil"/>
              <w:bottom w:val="single" w:sz="4" w:space="0" w:color="auto"/>
              <w:right w:val="nil"/>
            </w:tcBorders>
            <w:shd w:val="clear" w:color="auto" w:fill="auto"/>
            <w:noWrap/>
            <w:vAlign w:val="center"/>
            <w:hideMark/>
          </w:tcPr>
          <w:p w14:paraId="2BFD8114" w14:textId="77777777" w:rsidR="00792002" w:rsidRPr="00031C85" w:rsidRDefault="00792002" w:rsidP="00705FF0">
            <w:pPr>
              <w:spacing w:after="0" w:line="240" w:lineRule="auto"/>
              <w:jc w:val="center"/>
              <w:rPr>
                <w:rFonts w:ascii="Times New Roman" w:eastAsia="Times New Roman" w:hAnsi="Times New Roman" w:cs="Times New Roman"/>
                <w:color w:val="000000"/>
              </w:rPr>
            </w:pPr>
            <w:r w:rsidRPr="00031C85">
              <w:rPr>
                <w:rFonts w:ascii="Times New Roman" w:eastAsia="Times New Roman" w:hAnsi="Times New Roman" w:cs="Times New Roman"/>
                <w:color w:val="000000"/>
              </w:rPr>
              <w:t>(1)</w:t>
            </w:r>
          </w:p>
        </w:tc>
        <w:tc>
          <w:tcPr>
            <w:tcW w:w="1170" w:type="dxa"/>
            <w:tcBorders>
              <w:top w:val="single" w:sz="4" w:space="0" w:color="auto"/>
              <w:left w:val="nil"/>
              <w:bottom w:val="single" w:sz="4" w:space="0" w:color="auto"/>
              <w:right w:val="nil"/>
            </w:tcBorders>
            <w:shd w:val="clear" w:color="auto" w:fill="auto"/>
            <w:noWrap/>
            <w:vAlign w:val="center"/>
            <w:hideMark/>
          </w:tcPr>
          <w:p w14:paraId="374DB282" w14:textId="77777777" w:rsidR="00792002" w:rsidRPr="00031C85" w:rsidRDefault="00792002" w:rsidP="00705FF0">
            <w:pPr>
              <w:spacing w:after="0" w:line="240" w:lineRule="auto"/>
              <w:jc w:val="center"/>
              <w:rPr>
                <w:rFonts w:ascii="Times New Roman" w:eastAsia="Times New Roman" w:hAnsi="Times New Roman" w:cs="Times New Roman"/>
                <w:color w:val="000000"/>
              </w:rPr>
            </w:pPr>
            <w:r w:rsidRPr="00031C85">
              <w:rPr>
                <w:rFonts w:ascii="Times New Roman" w:eastAsia="Times New Roman" w:hAnsi="Times New Roman" w:cs="Times New Roman"/>
                <w:color w:val="000000"/>
              </w:rPr>
              <w:t>(2)</w:t>
            </w:r>
          </w:p>
        </w:tc>
        <w:tc>
          <w:tcPr>
            <w:tcW w:w="990" w:type="dxa"/>
            <w:tcBorders>
              <w:top w:val="single" w:sz="4" w:space="0" w:color="auto"/>
              <w:left w:val="nil"/>
              <w:bottom w:val="single" w:sz="4" w:space="0" w:color="auto"/>
              <w:right w:val="nil"/>
            </w:tcBorders>
            <w:shd w:val="clear" w:color="auto" w:fill="auto"/>
            <w:noWrap/>
            <w:vAlign w:val="center"/>
            <w:hideMark/>
          </w:tcPr>
          <w:p w14:paraId="3AC601B0" w14:textId="77777777" w:rsidR="00792002" w:rsidRPr="00031C85" w:rsidRDefault="00792002" w:rsidP="00705FF0">
            <w:pPr>
              <w:spacing w:after="0" w:line="240" w:lineRule="auto"/>
              <w:jc w:val="center"/>
              <w:rPr>
                <w:rFonts w:ascii="Times New Roman" w:eastAsia="Times New Roman" w:hAnsi="Times New Roman" w:cs="Times New Roman"/>
                <w:color w:val="000000"/>
              </w:rPr>
            </w:pPr>
            <w:r w:rsidRPr="00031C85">
              <w:rPr>
                <w:rFonts w:ascii="Times New Roman" w:eastAsia="Times New Roman" w:hAnsi="Times New Roman" w:cs="Times New Roman"/>
                <w:color w:val="000000"/>
              </w:rPr>
              <w:t>(3)</w:t>
            </w:r>
          </w:p>
        </w:tc>
        <w:tc>
          <w:tcPr>
            <w:tcW w:w="1350" w:type="dxa"/>
            <w:tcBorders>
              <w:top w:val="single" w:sz="4" w:space="0" w:color="auto"/>
              <w:left w:val="nil"/>
              <w:bottom w:val="single" w:sz="4" w:space="0" w:color="auto"/>
              <w:right w:val="nil"/>
            </w:tcBorders>
            <w:shd w:val="clear" w:color="auto" w:fill="auto"/>
            <w:noWrap/>
            <w:vAlign w:val="center"/>
            <w:hideMark/>
          </w:tcPr>
          <w:p w14:paraId="593B9C52" w14:textId="77777777" w:rsidR="00792002" w:rsidRPr="00031C85" w:rsidRDefault="00792002" w:rsidP="00705FF0">
            <w:pPr>
              <w:spacing w:after="0" w:line="240" w:lineRule="auto"/>
              <w:jc w:val="center"/>
              <w:rPr>
                <w:rFonts w:ascii="Times New Roman" w:eastAsia="Times New Roman" w:hAnsi="Times New Roman" w:cs="Times New Roman"/>
                <w:color w:val="000000"/>
              </w:rPr>
            </w:pPr>
            <w:r w:rsidRPr="00031C85">
              <w:rPr>
                <w:rFonts w:ascii="Times New Roman" w:eastAsia="Times New Roman" w:hAnsi="Times New Roman" w:cs="Times New Roman"/>
                <w:color w:val="000000"/>
              </w:rPr>
              <w:t>(4)</w:t>
            </w:r>
          </w:p>
        </w:tc>
      </w:tr>
      <w:tr w:rsidR="00792002" w:rsidRPr="00031C85" w14:paraId="62C5EC9D" w14:textId="77777777" w:rsidTr="00930A46">
        <w:trPr>
          <w:trHeight w:val="645"/>
        </w:trPr>
        <w:tc>
          <w:tcPr>
            <w:tcW w:w="3060" w:type="dxa"/>
            <w:tcBorders>
              <w:top w:val="single" w:sz="4" w:space="0" w:color="auto"/>
              <w:left w:val="nil"/>
              <w:right w:val="nil"/>
            </w:tcBorders>
            <w:shd w:val="clear" w:color="auto" w:fill="auto"/>
          </w:tcPr>
          <w:p w14:paraId="3036D47E" w14:textId="65B5C4AD" w:rsidR="00792002" w:rsidRPr="00031C85" w:rsidRDefault="00BD3C42" w:rsidP="00FA5DA0">
            <w:pPr>
              <w:rPr>
                <w:rFonts w:ascii="Times New Roman" w:eastAsia="Times New Roman" w:hAnsi="Times New Roman" w:cs="Times New Roman"/>
                <w:color w:val="000000"/>
              </w:rPr>
            </w:pPr>
            <w:r>
              <w:rPr>
                <w:rFonts w:ascii="Times New Roman" w:eastAsia="Times New Roman" w:hAnsi="Times New Roman" w:cs="Times New Roman"/>
                <w:color w:val="000000"/>
              </w:rPr>
              <w:t>Contemporaneous only</w:t>
            </w:r>
          </w:p>
        </w:tc>
        <w:tc>
          <w:tcPr>
            <w:tcW w:w="1440" w:type="dxa"/>
            <w:tcBorders>
              <w:top w:val="single" w:sz="4" w:space="0" w:color="auto"/>
              <w:left w:val="nil"/>
              <w:right w:val="nil"/>
            </w:tcBorders>
            <w:shd w:val="clear" w:color="auto" w:fill="auto"/>
            <w:hideMark/>
          </w:tcPr>
          <w:p w14:paraId="4282B978" w14:textId="4F2A09C7" w:rsidR="00792002" w:rsidRPr="00031C85"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0.073</w:t>
            </w:r>
            <w:r w:rsidR="009C1881">
              <w:rPr>
                <w:rFonts w:ascii="Times New Roman" w:eastAsia="Times New Roman" w:hAnsi="Times New Roman" w:cs="Times New Roman"/>
                <w:color w:val="000000"/>
              </w:rPr>
              <w:t>7</w:t>
            </w:r>
            <w:r>
              <w:rPr>
                <w:rFonts w:ascii="Times New Roman" w:eastAsia="Times New Roman" w:hAnsi="Times New Roman" w:cs="Times New Roman"/>
                <w:color w:val="000000"/>
              </w:rPr>
              <w:t xml:space="preserve"> </w:t>
            </w:r>
            <w:r w:rsidRPr="00031C85">
              <w:rPr>
                <w:rFonts w:ascii="Times New Roman" w:eastAsia="Times New Roman" w:hAnsi="Times New Roman" w:cs="Times New Roman"/>
                <w:color w:val="000000"/>
              </w:rPr>
              <w:t>(0.0002)</w:t>
            </w:r>
          </w:p>
        </w:tc>
        <w:tc>
          <w:tcPr>
            <w:tcW w:w="1170" w:type="dxa"/>
            <w:tcBorders>
              <w:top w:val="single" w:sz="4" w:space="0" w:color="auto"/>
              <w:left w:val="nil"/>
              <w:right w:val="nil"/>
            </w:tcBorders>
            <w:shd w:val="clear" w:color="auto" w:fill="auto"/>
            <w:hideMark/>
          </w:tcPr>
          <w:p w14:paraId="2C120650" w14:textId="34E62C5D" w:rsidR="00792002" w:rsidRPr="00031C85"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9C1881">
              <w:rPr>
                <w:rFonts w:ascii="Times New Roman" w:eastAsia="Times New Roman" w:hAnsi="Times New Roman" w:cs="Times New Roman"/>
                <w:color w:val="000000"/>
              </w:rPr>
              <w:t>196</w:t>
            </w:r>
            <w:r w:rsidRPr="00031C85">
              <w:rPr>
                <w:rFonts w:ascii="Times New Roman" w:eastAsia="Times New Roman" w:hAnsi="Times New Roman" w:cs="Times New Roman"/>
                <w:color w:val="000000"/>
              </w:rPr>
              <w:t xml:space="preserve"> (0.0003)</w:t>
            </w:r>
          </w:p>
        </w:tc>
        <w:tc>
          <w:tcPr>
            <w:tcW w:w="990" w:type="dxa"/>
            <w:tcBorders>
              <w:top w:val="single" w:sz="4" w:space="0" w:color="auto"/>
              <w:left w:val="nil"/>
              <w:right w:val="nil"/>
            </w:tcBorders>
            <w:shd w:val="clear" w:color="auto" w:fill="auto"/>
            <w:hideMark/>
          </w:tcPr>
          <w:p w14:paraId="4A88FD1C" w14:textId="3743CFCF" w:rsidR="00792002" w:rsidRPr="00031C85"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9C1881">
              <w:rPr>
                <w:rFonts w:ascii="Times New Roman" w:eastAsia="Times New Roman" w:hAnsi="Times New Roman" w:cs="Times New Roman"/>
                <w:color w:val="000000"/>
              </w:rPr>
              <w:t>900</w:t>
            </w:r>
            <w:r w:rsidRPr="00031C85">
              <w:rPr>
                <w:rFonts w:ascii="Times New Roman" w:eastAsia="Times New Roman" w:hAnsi="Times New Roman" w:cs="Times New Roman"/>
                <w:color w:val="000000"/>
              </w:rPr>
              <w:t xml:space="preserve"> (0.0002)</w:t>
            </w:r>
          </w:p>
        </w:tc>
        <w:tc>
          <w:tcPr>
            <w:tcW w:w="1350" w:type="dxa"/>
            <w:tcBorders>
              <w:top w:val="single" w:sz="4" w:space="0" w:color="auto"/>
              <w:left w:val="nil"/>
              <w:right w:val="nil"/>
            </w:tcBorders>
            <w:shd w:val="clear" w:color="auto" w:fill="auto"/>
            <w:hideMark/>
          </w:tcPr>
          <w:p w14:paraId="0462F10B" w14:textId="3F8809A6" w:rsidR="00792002" w:rsidRPr="00031C85"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0.031</w:t>
            </w:r>
            <w:r w:rsidR="00D34B96">
              <w:rPr>
                <w:rFonts w:ascii="Times New Roman" w:eastAsia="Times New Roman" w:hAnsi="Times New Roman" w:cs="Times New Roman"/>
                <w:color w:val="000000"/>
              </w:rPr>
              <w:t>2</w:t>
            </w:r>
            <w:r w:rsidRPr="00031C85">
              <w:rPr>
                <w:rFonts w:ascii="Times New Roman" w:eastAsia="Times New Roman" w:hAnsi="Times New Roman" w:cs="Times New Roman"/>
                <w:color w:val="000000"/>
              </w:rPr>
              <w:t xml:space="preserve"> (0.0003)</w:t>
            </w:r>
          </w:p>
        </w:tc>
      </w:tr>
      <w:tr w:rsidR="00792002" w:rsidRPr="00031C85" w14:paraId="2ED0D007" w14:textId="77777777" w:rsidTr="00705FF0">
        <w:trPr>
          <w:trHeight w:val="645"/>
        </w:trPr>
        <w:tc>
          <w:tcPr>
            <w:tcW w:w="3060" w:type="dxa"/>
            <w:tcBorders>
              <w:left w:val="nil"/>
              <w:right w:val="nil"/>
            </w:tcBorders>
            <w:shd w:val="clear" w:color="auto" w:fill="auto"/>
          </w:tcPr>
          <w:p w14:paraId="2232C1EA" w14:textId="00D31565" w:rsidR="00792002" w:rsidRPr="00755836" w:rsidRDefault="001B3E3F" w:rsidP="00CA2FF0">
            <w:pPr>
              <w:rPr>
                <w:rFonts w:ascii="Times New Roman" w:eastAsia="Times New Roman" w:hAnsi="Times New Roman" w:cs="Times New Roman"/>
                <w:color w:val="000000" w:themeColor="text1"/>
              </w:rPr>
            </w:pPr>
            <w:r>
              <w:rPr>
                <w:rFonts w:ascii="Times New Roman" w:eastAsia="Times New Roman" w:hAnsi="Times New Roman" w:cs="Times New Roman"/>
                <w:color w:val="000000"/>
              </w:rPr>
              <w:t>Sum of c</w:t>
            </w:r>
            <w:r w:rsidR="001762E8">
              <w:rPr>
                <w:rFonts w:ascii="Times New Roman" w:eastAsia="Times New Roman" w:hAnsi="Times New Roman" w:cs="Times New Roman"/>
                <w:color w:val="000000"/>
              </w:rPr>
              <w:t>ontemporaneous and lags for 1-6 months</w:t>
            </w:r>
          </w:p>
        </w:tc>
        <w:tc>
          <w:tcPr>
            <w:tcW w:w="1440" w:type="dxa"/>
            <w:tcBorders>
              <w:left w:val="nil"/>
              <w:right w:val="nil"/>
            </w:tcBorders>
            <w:shd w:val="clear" w:color="auto" w:fill="auto"/>
          </w:tcPr>
          <w:p w14:paraId="1045F498" w14:textId="15A3C4F9"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9C1881">
              <w:rPr>
                <w:rFonts w:ascii="Times New Roman" w:eastAsia="Times New Roman" w:hAnsi="Times New Roman" w:cs="Times New Roman"/>
                <w:color w:val="000000"/>
              </w:rPr>
              <w:t>908</w:t>
            </w:r>
            <w:r>
              <w:rPr>
                <w:rFonts w:ascii="Times New Roman" w:eastAsia="Times New Roman" w:hAnsi="Times New Roman" w:cs="Times New Roman"/>
                <w:color w:val="000000"/>
              </w:rPr>
              <w:t xml:space="preserve"> (0.0002)</w:t>
            </w:r>
          </w:p>
        </w:tc>
        <w:tc>
          <w:tcPr>
            <w:tcW w:w="1170" w:type="dxa"/>
            <w:tcBorders>
              <w:left w:val="nil"/>
              <w:right w:val="nil"/>
            </w:tcBorders>
            <w:shd w:val="clear" w:color="auto" w:fill="auto"/>
          </w:tcPr>
          <w:p w14:paraId="66C522BD" w14:textId="46C84F16"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r w:rsidR="009C1881">
              <w:rPr>
                <w:rFonts w:ascii="Times New Roman" w:eastAsia="Times New Roman" w:hAnsi="Times New Roman" w:cs="Times New Roman"/>
                <w:color w:val="000000"/>
              </w:rPr>
              <w:t>7</w:t>
            </w:r>
            <w:r>
              <w:rPr>
                <w:rFonts w:ascii="Times New Roman" w:eastAsia="Times New Roman" w:hAnsi="Times New Roman" w:cs="Times New Roman"/>
                <w:color w:val="000000"/>
              </w:rPr>
              <w:t>6 (0.0003)</w:t>
            </w:r>
          </w:p>
        </w:tc>
        <w:tc>
          <w:tcPr>
            <w:tcW w:w="990" w:type="dxa"/>
            <w:tcBorders>
              <w:left w:val="nil"/>
              <w:right w:val="nil"/>
            </w:tcBorders>
            <w:shd w:val="clear" w:color="auto" w:fill="auto"/>
          </w:tcPr>
          <w:p w14:paraId="33D29D5A" w14:textId="3BA2BABE"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C1881">
              <w:rPr>
                <w:rFonts w:ascii="Times New Roman" w:eastAsia="Times New Roman" w:hAnsi="Times New Roman" w:cs="Times New Roman"/>
                <w:color w:val="000000"/>
              </w:rPr>
              <w:t>1032</w:t>
            </w:r>
            <w:r>
              <w:rPr>
                <w:rFonts w:ascii="Times New Roman" w:eastAsia="Times New Roman" w:hAnsi="Times New Roman" w:cs="Times New Roman"/>
                <w:color w:val="000000"/>
              </w:rPr>
              <w:t xml:space="preserve"> (0.0002)</w:t>
            </w:r>
          </w:p>
        </w:tc>
        <w:tc>
          <w:tcPr>
            <w:tcW w:w="1350" w:type="dxa"/>
            <w:tcBorders>
              <w:left w:val="nil"/>
              <w:right w:val="nil"/>
            </w:tcBorders>
            <w:shd w:val="clear" w:color="auto" w:fill="auto"/>
          </w:tcPr>
          <w:p w14:paraId="31EB66BB" w14:textId="55CF16D6"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D34B96">
              <w:rPr>
                <w:rFonts w:ascii="Times New Roman" w:eastAsia="Times New Roman" w:hAnsi="Times New Roman" w:cs="Times New Roman"/>
                <w:color w:val="000000"/>
              </w:rPr>
              <w:t>421</w:t>
            </w:r>
            <w:r>
              <w:rPr>
                <w:rFonts w:ascii="Times New Roman" w:eastAsia="Times New Roman" w:hAnsi="Times New Roman" w:cs="Times New Roman"/>
                <w:color w:val="000000"/>
              </w:rPr>
              <w:t xml:space="preserve"> (0.000</w:t>
            </w:r>
            <w:r w:rsidR="00D34B96">
              <w:rPr>
                <w:rFonts w:ascii="Times New Roman" w:eastAsia="Times New Roman" w:hAnsi="Times New Roman" w:cs="Times New Roman"/>
                <w:color w:val="000000"/>
              </w:rPr>
              <w:t>4</w:t>
            </w:r>
            <w:r>
              <w:rPr>
                <w:rFonts w:ascii="Times New Roman" w:eastAsia="Times New Roman" w:hAnsi="Times New Roman" w:cs="Times New Roman"/>
                <w:color w:val="000000"/>
              </w:rPr>
              <w:t>)</w:t>
            </w:r>
          </w:p>
        </w:tc>
      </w:tr>
      <w:tr w:rsidR="00792002" w:rsidRPr="00031C85" w14:paraId="5C249E2D" w14:textId="77777777" w:rsidTr="00705FF0">
        <w:trPr>
          <w:trHeight w:val="645"/>
        </w:trPr>
        <w:tc>
          <w:tcPr>
            <w:tcW w:w="3060" w:type="dxa"/>
            <w:tcBorders>
              <w:left w:val="nil"/>
              <w:right w:val="nil"/>
            </w:tcBorders>
            <w:shd w:val="clear" w:color="auto" w:fill="auto"/>
          </w:tcPr>
          <w:p w14:paraId="18F234BF" w14:textId="7174338C" w:rsidR="00792002" w:rsidRPr="00755836" w:rsidRDefault="001B3E3F" w:rsidP="00CA2FF0">
            <w:pPr>
              <w:rPr>
                <w:rFonts w:ascii="Times New Roman" w:eastAsia="Times New Roman" w:hAnsi="Times New Roman" w:cs="Times New Roman"/>
                <w:color w:val="000000" w:themeColor="text1"/>
              </w:rPr>
            </w:pPr>
            <w:r>
              <w:rPr>
                <w:rFonts w:ascii="Times New Roman" w:eastAsia="Times New Roman" w:hAnsi="Times New Roman" w:cs="Times New Roman"/>
                <w:color w:val="000000"/>
              </w:rPr>
              <w:t>Sum of c</w:t>
            </w:r>
            <w:r w:rsidR="001762E8">
              <w:rPr>
                <w:rFonts w:ascii="Times New Roman" w:eastAsia="Times New Roman" w:hAnsi="Times New Roman" w:cs="Times New Roman"/>
                <w:color w:val="000000"/>
              </w:rPr>
              <w:t>ontemporaneous and lags for 1-12 months</w:t>
            </w:r>
          </w:p>
        </w:tc>
        <w:tc>
          <w:tcPr>
            <w:tcW w:w="1440" w:type="dxa"/>
            <w:tcBorders>
              <w:left w:val="nil"/>
              <w:right w:val="nil"/>
            </w:tcBorders>
            <w:shd w:val="clear" w:color="auto" w:fill="auto"/>
          </w:tcPr>
          <w:p w14:paraId="1EDE2FF9" w14:textId="56099E50"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9C1881">
              <w:rPr>
                <w:rFonts w:ascii="Times New Roman" w:eastAsia="Times New Roman" w:hAnsi="Times New Roman" w:cs="Times New Roman"/>
                <w:color w:val="000000"/>
              </w:rPr>
              <w:t>994</w:t>
            </w:r>
            <w:r>
              <w:rPr>
                <w:rFonts w:ascii="Times New Roman" w:eastAsia="Times New Roman" w:hAnsi="Times New Roman" w:cs="Times New Roman"/>
                <w:color w:val="000000"/>
              </w:rPr>
              <w:t xml:space="preserve"> (0.0002)</w:t>
            </w:r>
          </w:p>
        </w:tc>
        <w:tc>
          <w:tcPr>
            <w:tcW w:w="1170" w:type="dxa"/>
            <w:tcBorders>
              <w:left w:val="nil"/>
              <w:right w:val="nil"/>
            </w:tcBorders>
            <w:shd w:val="clear" w:color="auto" w:fill="auto"/>
          </w:tcPr>
          <w:p w14:paraId="4CE319DB" w14:textId="2C5FF943"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r w:rsidR="009C1881">
              <w:rPr>
                <w:rFonts w:ascii="Times New Roman" w:eastAsia="Times New Roman" w:hAnsi="Times New Roman" w:cs="Times New Roman"/>
                <w:color w:val="000000"/>
              </w:rPr>
              <w:t>35</w:t>
            </w:r>
            <w:r>
              <w:rPr>
                <w:rFonts w:ascii="Times New Roman" w:eastAsia="Times New Roman" w:hAnsi="Times New Roman" w:cs="Times New Roman"/>
                <w:color w:val="000000"/>
              </w:rPr>
              <w:t xml:space="preserve"> (0.0003)</w:t>
            </w:r>
          </w:p>
        </w:tc>
        <w:tc>
          <w:tcPr>
            <w:tcW w:w="990" w:type="dxa"/>
            <w:tcBorders>
              <w:left w:val="nil"/>
              <w:right w:val="nil"/>
            </w:tcBorders>
            <w:shd w:val="clear" w:color="auto" w:fill="auto"/>
          </w:tcPr>
          <w:p w14:paraId="3F63BB74" w14:textId="78EA5B46"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C1881">
              <w:rPr>
                <w:rFonts w:ascii="Times New Roman" w:eastAsia="Times New Roman" w:hAnsi="Times New Roman" w:cs="Times New Roman"/>
                <w:color w:val="000000"/>
              </w:rPr>
              <w:t>1027</w:t>
            </w:r>
            <w:r w:rsidR="005E02FF">
              <w:rPr>
                <w:rFonts w:ascii="Times New Roman" w:eastAsia="Times New Roman" w:hAnsi="Times New Roman" w:cs="Times New Roman"/>
                <w:color w:val="000000"/>
              </w:rPr>
              <w:t xml:space="preserve"> (0.002)</w:t>
            </w:r>
          </w:p>
        </w:tc>
        <w:tc>
          <w:tcPr>
            <w:tcW w:w="1350" w:type="dxa"/>
            <w:tcBorders>
              <w:left w:val="nil"/>
              <w:right w:val="nil"/>
            </w:tcBorders>
            <w:shd w:val="clear" w:color="auto" w:fill="auto"/>
          </w:tcPr>
          <w:p w14:paraId="701B2342" w14:textId="48B11D14"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D60D81">
              <w:rPr>
                <w:rFonts w:ascii="Times New Roman" w:eastAsia="Times New Roman" w:hAnsi="Times New Roman" w:cs="Times New Roman"/>
                <w:color w:val="000000"/>
              </w:rPr>
              <w:t>4</w:t>
            </w:r>
            <w:r w:rsidR="00D34B96">
              <w:rPr>
                <w:rFonts w:ascii="Times New Roman" w:eastAsia="Times New Roman" w:hAnsi="Times New Roman" w:cs="Times New Roman"/>
                <w:color w:val="000000"/>
              </w:rPr>
              <w:t>5</w:t>
            </w:r>
            <w:r w:rsidR="00D60D81">
              <w:rPr>
                <w:rFonts w:ascii="Times New Roman" w:eastAsia="Times New Roman" w:hAnsi="Times New Roman" w:cs="Times New Roman"/>
                <w:color w:val="000000"/>
              </w:rPr>
              <w:t>9</w:t>
            </w:r>
            <w:r>
              <w:rPr>
                <w:rFonts w:ascii="Times New Roman" w:eastAsia="Times New Roman" w:hAnsi="Times New Roman" w:cs="Times New Roman"/>
                <w:color w:val="000000"/>
              </w:rPr>
              <w:t xml:space="preserve"> (0.000</w:t>
            </w:r>
            <w:r w:rsidR="00D34B96">
              <w:rPr>
                <w:rFonts w:ascii="Times New Roman" w:eastAsia="Times New Roman" w:hAnsi="Times New Roman" w:cs="Times New Roman"/>
                <w:color w:val="000000"/>
              </w:rPr>
              <w:t>4</w:t>
            </w:r>
            <w:r>
              <w:rPr>
                <w:rFonts w:ascii="Times New Roman" w:eastAsia="Times New Roman" w:hAnsi="Times New Roman" w:cs="Times New Roman"/>
                <w:color w:val="000000"/>
              </w:rPr>
              <w:t>)</w:t>
            </w:r>
          </w:p>
        </w:tc>
      </w:tr>
      <w:tr w:rsidR="00792002" w:rsidRPr="00031C85" w14:paraId="5F5EBF20" w14:textId="77777777" w:rsidTr="00705FF0">
        <w:trPr>
          <w:trHeight w:val="645"/>
        </w:trPr>
        <w:tc>
          <w:tcPr>
            <w:tcW w:w="3060" w:type="dxa"/>
            <w:tcBorders>
              <w:left w:val="nil"/>
              <w:right w:val="nil"/>
            </w:tcBorders>
            <w:shd w:val="clear" w:color="auto" w:fill="auto"/>
          </w:tcPr>
          <w:p w14:paraId="1D78C57E" w14:textId="0B89A1F9" w:rsidR="00792002" w:rsidRPr="00755836" w:rsidRDefault="001B3E3F" w:rsidP="00CA2FF0">
            <w:pPr>
              <w:rPr>
                <w:rFonts w:ascii="Times New Roman" w:eastAsia="Times New Roman" w:hAnsi="Times New Roman" w:cs="Times New Roman"/>
                <w:color w:val="000000" w:themeColor="text1"/>
              </w:rPr>
            </w:pPr>
            <w:r>
              <w:rPr>
                <w:rFonts w:ascii="Times New Roman" w:eastAsia="Times New Roman" w:hAnsi="Times New Roman" w:cs="Times New Roman"/>
                <w:color w:val="000000"/>
              </w:rPr>
              <w:t>Sum of c</w:t>
            </w:r>
            <w:r w:rsidR="001762E8">
              <w:rPr>
                <w:rFonts w:ascii="Times New Roman" w:eastAsia="Times New Roman" w:hAnsi="Times New Roman" w:cs="Times New Roman"/>
                <w:color w:val="000000"/>
              </w:rPr>
              <w:t>ontemporaneous and lags for 1-24 months</w:t>
            </w:r>
          </w:p>
        </w:tc>
        <w:tc>
          <w:tcPr>
            <w:tcW w:w="1440" w:type="dxa"/>
            <w:tcBorders>
              <w:left w:val="nil"/>
              <w:right w:val="nil"/>
            </w:tcBorders>
            <w:shd w:val="clear" w:color="auto" w:fill="auto"/>
          </w:tcPr>
          <w:p w14:paraId="3D3D2580" w14:textId="446D015E"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9C1881">
              <w:rPr>
                <w:rFonts w:ascii="Times New Roman" w:eastAsia="Times New Roman" w:hAnsi="Times New Roman" w:cs="Times New Roman"/>
                <w:color w:val="000000"/>
              </w:rPr>
              <w:t>1177</w:t>
            </w:r>
            <w:r>
              <w:rPr>
                <w:rFonts w:ascii="Times New Roman" w:eastAsia="Times New Roman" w:hAnsi="Times New Roman" w:cs="Times New Roman"/>
                <w:color w:val="000000"/>
              </w:rPr>
              <w:t xml:space="preserve"> (0.0002)</w:t>
            </w:r>
          </w:p>
        </w:tc>
        <w:tc>
          <w:tcPr>
            <w:tcW w:w="1170" w:type="dxa"/>
            <w:tcBorders>
              <w:left w:val="nil"/>
              <w:right w:val="nil"/>
            </w:tcBorders>
            <w:shd w:val="clear" w:color="auto" w:fill="auto"/>
          </w:tcPr>
          <w:p w14:paraId="6DD47836" w14:textId="6397D0CC"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9C1881">
              <w:rPr>
                <w:rFonts w:ascii="Times New Roman" w:eastAsia="Times New Roman" w:hAnsi="Times New Roman" w:cs="Times New Roman"/>
                <w:color w:val="000000"/>
              </w:rPr>
              <w:t>506</w:t>
            </w:r>
            <w:r>
              <w:rPr>
                <w:rFonts w:ascii="Times New Roman" w:eastAsia="Times New Roman" w:hAnsi="Times New Roman" w:cs="Times New Roman"/>
                <w:color w:val="000000"/>
              </w:rPr>
              <w:t xml:space="preserve"> (0.000</w:t>
            </w:r>
            <w:r w:rsidR="009C1881">
              <w:rPr>
                <w:rFonts w:ascii="Times New Roman" w:eastAsia="Times New Roman" w:hAnsi="Times New Roman" w:cs="Times New Roman"/>
                <w:color w:val="000000"/>
              </w:rPr>
              <w:t>3</w:t>
            </w:r>
            <w:r>
              <w:rPr>
                <w:rFonts w:ascii="Times New Roman" w:eastAsia="Times New Roman" w:hAnsi="Times New Roman" w:cs="Times New Roman"/>
                <w:color w:val="000000"/>
              </w:rPr>
              <w:t>)</w:t>
            </w:r>
          </w:p>
        </w:tc>
        <w:tc>
          <w:tcPr>
            <w:tcW w:w="990" w:type="dxa"/>
            <w:tcBorders>
              <w:left w:val="nil"/>
              <w:right w:val="nil"/>
            </w:tcBorders>
            <w:shd w:val="clear" w:color="auto" w:fill="auto"/>
          </w:tcPr>
          <w:p w14:paraId="0B14B239" w14:textId="67FC4D00"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w:t>
            </w:r>
            <w:r w:rsidR="009C1881">
              <w:rPr>
                <w:rFonts w:ascii="Times New Roman" w:eastAsia="Times New Roman" w:hAnsi="Times New Roman" w:cs="Times New Roman"/>
                <w:color w:val="000000"/>
              </w:rPr>
              <w:t>169</w:t>
            </w:r>
            <w:r>
              <w:rPr>
                <w:rFonts w:ascii="Times New Roman" w:eastAsia="Times New Roman" w:hAnsi="Times New Roman" w:cs="Times New Roman"/>
                <w:color w:val="000000"/>
              </w:rPr>
              <w:t xml:space="preserve"> (0.0002)</w:t>
            </w:r>
          </w:p>
        </w:tc>
        <w:tc>
          <w:tcPr>
            <w:tcW w:w="1350" w:type="dxa"/>
            <w:tcBorders>
              <w:left w:val="nil"/>
              <w:right w:val="nil"/>
            </w:tcBorders>
            <w:shd w:val="clear" w:color="auto" w:fill="auto"/>
          </w:tcPr>
          <w:p w14:paraId="3405D8E6" w14:textId="37101079"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D60D81">
              <w:rPr>
                <w:rFonts w:ascii="Times New Roman" w:eastAsia="Times New Roman" w:hAnsi="Times New Roman" w:cs="Times New Roman"/>
                <w:color w:val="000000"/>
              </w:rPr>
              <w:t>5</w:t>
            </w:r>
            <w:r w:rsidR="00D34B96">
              <w:rPr>
                <w:rFonts w:ascii="Times New Roman" w:eastAsia="Times New Roman" w:hAnsi="Times New Roman" w:cs="Times New Roman"/>
                <w:color w:val="000000"/>
              </w:rPr>
              <w:t>80</w:t>
            </w:r>
            <w:r>
              <w:rPr>
                <w:rFonts w:ascii="Times New Roman" w:eastAsia="Times New Roman" w:hAnsi="Times New Roman" w:cs="Times New Roman"/>
                <w:color w:val="000000"/>
              </w:rPr>
              <w:t xml:space="preserve"> (0.000</w:t>
            </w:r>
            <w:r w:rsidR="00D34B96">
              <w:rPr>
                <w:rFonts w:ascii="Times New Roman" w:eastAsia="Times New Roman" w:hAnsi="Times New Roman" w:cs="Times New Roman"/>
                <w:color w:val="000000"/>
              </w:rPr>
              <w:t>4</w:t>
            </w:r>
            <w:r>
              <w:rPr>
                <w:rFonts w:ascii="Times New Roman" w:eastAsia="Times New Roman" w:hAnsi="Times New Roman" w:cs="Times New Roman"/>
                <w:color w:val="000000"/>
              </w:rPr>
              <w:t>)</w:t>
            </w:r>
          </w:p>
        </w:tc>
      </w:tr>
      <w:tr w:rsidR="00792002" w:rsidRPr="00031C85" w14:paraId="20FC3319" w14:textId="77777777" w:rsidTr="00705FF0">
        <w:trPr>
          <w:trHeight w:val="645"/>
        </w:trPr>
        <w:tc>
          <w:tcPr>
            <w:tcW w:w="3060" w:type="dxa"/>
            <w:tcBorders>
              <w:left w:val="nil"/>
              <w:right w:val="nil"/>
            </w:tcBorders>
            <w:shd w:val="clear" w:color="auto" w:fill="auto"/>
          </w:tcPr>
          <w:p w14:paraId="699C9327" w14:textId="26C97AD4" w:rsidR="00792002" w:rsidRDefault="001B3E3F" w:rsidP="00CA2FF0">
            <w:pPr>
              <w:rPr>
                <w:rFonts w:ascii="Calibri" w:eastAsia="Calibri" w:hAnsi="Calibri" w:cs="Times New Roman"/>
                <w:sz w:val="20"/>
                <w:szCs w:val="20"/>
              </w:rPr>
            </w:pPr>
            <w:r>
              <w:rPr>
                <w:rFonts w:ascii="Times New Roman" w:eastAsia="Times New Roman" w:hAnsi="Times New Roman" w:cs="Times New Roman"/>
                <w:color w:val="000000"/>
              </w:rPr>
              <w:t>Sum of c</w:t>
            </w:r>
            <w:r w:rsidR="001762E8">
              <w:rPr>
                <w:rFonts w:ascii="Times New Roman" w:eastAsia="Times New Roman" w:hAnsi="Times New Roman" w:cs="Times New Roman"/>
                <w:color w:val="000000"/>
              </w:rPr>
              <w:t>ontemporaneous and leads for 1-6 months</w:t>
            </w:r>
          </w:p>
        </w:tc>
        <w:tc>
          <w:tcPr>
            <w:tcW w:w="1440" w:type="dxa"/>
            <w:tcBorders>
              <w:left w:val="nil"/>
              <w:right w:val="nil"/>
            </w:tcBorders>
            <w:shd w:val="clear" w:color="auto" w:fill="auto"/>
          </w:tcPr>
          <w:p w14:paraId="36C626CB" w14:textId="1429D928"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9C1881">
              <w:rPr>
                <w:rFonts w:ascii="Times New Roman" w:eastAsia="Times New Roman" w:hAnsi="Times New Roman" w:cs="Times New Roman"/>
                <w:color w:val="000000"/>
              </w:rPr>
              <w:t>742</w:t>
            </w:r>
            <w:r>
              <w:rPr>
                <w:rFonts w:ascii="Times New Roman" w:eastAsia="Times New Roman" w:hAnsi="Times New Roman" w:cs="Times New Roman"/>
                <w:color w:val="000000"/>
              </w:rPr>
              <w:t xml:space="preserve"> (0.0002)</w:t>
            </w:r>
          </w:p>
        </w:tc>
        <w:tc>
          <w:tcPr>
            <w:tcW w:w="1170" w:type="dxa"/>
            <w:tcBorders>
              <w:left w:val="nil"/>
              <w:right w:val="nil"/>
            </w:tcBorders>
            <w:shd w:val="clear" w:color="auto" w:fill="auto"/>
          </w:tcPr>
          <w:p w14:paraId="6ACB1B9A" w14:textId="5BA14360"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r w:rsidR="009C1881">
              <w:rPr>
                <w:rFonts w:ascii="Times New Roman" w:eastAsia="Times New Roman" w:hAnsi="Times New Roman" w:cs="Times New Roman"/>
                <w:color w:val="000000"/>
              </w:rPr>
              <w:t>61</w:t>
            </w:r>
            <w:r>
              <w:rPr>
                <w:rFonts w:ascii="Times New Roman" w:eastAsia="Times New Roman" w:hAnsi="Times New Roman" w:cs="Times New Roman"/>
                <w:color w:val="000000"/>
              </w:rPr>
              <w:t xml:space="preserve"> (0.0003)</w:t>
            </w:r>
          </w:p>
        </w:tc>
        <w:tc>
          <w:tcPr>
            <w:tcW w:w="990" w:type="dxa"/>
            <w:tcBorders>
              <w:left w:val="nil"/>
              <w:right w:val="nil"/>
            </w:tcBorders>
            <w:shd w:val="clear" w:color="auto" w:fill="auto"/>
          </w:tcPr>
          <w:p w14:paraId="0CEEC554" w14:textId="54A2A34C" w:rsidR="00792002" w:rsidRDefault="0079200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9C1881">
              <w:rPr>
                <w:rFonts w:ascii="Times New Roman" w:eastAsia="Times New Roman" w:hAnsi="Times New Roman" w:cs="Times New Roman"/>
                <w:color w:val="000000"/>
              </w:rPr>
              <w:t>951</w:t>
            </w:r>
            <w:r>
              <w:rPr>
                <w:rFonts w:ascii="Times New Roman" w:eastAsia="Times New Roman" w:hAnsi="Times New Roman" w:cs="Times New Roman"/>
                <w:color w:val="000000"/>
              </w:rPr>
              <w:t xml:space="preserve"> (0.0002)</w:t>
            </w:r>
          </w:p>
        </w:tc>
        <w:tc>
          <w:tcPr>
            <w:tcW w:w="1350" w:type="dxa"/>
            <w:tcBorders>
              <w:left w:val="nil"/>
              <w:right w:val="nil"/>
            </w:tcBorders>
            <w:shd w:val="clear" w:color="auto" w:fill="auto"/>
          </w:tcPr>
          <w:p w14:paraId="3F14EE06" w14:textId="7F8F64B8" w:rsidR="00792002" w:rsidRDefault="00792002"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D34B96">
              <w:rPr>
                <w:rFonts w:ascii="Times New Roman" w:eastAsia="Times New Roman" w:hAnsi="Times New Roman" w:cs="Times New Roman"/>
                <w:color w:val="000000"/>
              </w:rPr>
              <w:t>375</w:t>
            </w:r>
            <w:r>
              <w:rPr>
                <w:rFonts w:ascii="Times New Roman" w:eastAsia="Times New Roman" w:hAnsi="Times New Roman" w:cs="Times New Roman"/>
                <w:color w:val="000000"/>
              </w:rPr>
              <w:t xml:space="preserve"> (0.000</w:t>
            </w:r>
            <w:r w:rsidR="00F9500C">
              <w:rPr>
                <w:rFonts w:ascii="Times New Roman" w:eastAsia="Times New Roman" w:hAnsi="Times New Roman" w:cs="Times New Roman"/>
                <w:color w:val="000000"/>
              </w:rPr>
              <w:t>4</w:t>
            </w:r>
            <w:r>
              <w:rPr>
                <w:rFonts w:ascii="Times New Roman" w:eastAsia="Times New Roman" w:hAnsi="Times New Roman" w:cs="Times New Roman"/>
                <w:color w:val="000000"/>
              </w:rPr>
              <w:t>)</w:t>
            </w:r>
          </w:p>
        </w:tc>
      </w:tr>
      <w:tr w:rsidR="00792002" w:rsidRPr="00031C85" w14:paraId="1CC818B6" w14:textId="77777777" w:rsidTr="00705FF0">
        <w:trPr>
          <w:trHeight w:val="369"/>
        </w:trPr>
        <w:tc>
          <w:tcPr>
            <w:tcW w:w="3060" w:type="dxa"/>
            <w:tcBorders>
              <w:top w:val="nil"/>
              <w:left w:val="nil"/>
              <w:bottom w:val="nil"/>
              <w:right w:val="nil"/>
            </w:tcBorders>
            <w:shd w:val="clear" w:color="auto" w:fill="auto"/>
            <w:hideMark/>
          </w:tcPr>
          <w:p w14:paraId="06411489" w14:textId="77777777" w:rsidR="00792002" w:rsidRPr="00031C85" w:rsidRDefault="00792002" w:rsidP="00705F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Exclude Federal Waiver Period</w:t>
            </w:r>
          </w:p>
        </w:tc>
        <w:tc>
          <w:tcPr>
            <w:tcW w:w="1440" w:type="dxa"/>
            <w:tcBorders>
              <w:top w:val="nil"/>
              <w:left w:val="nil"/>
              <w:bottom w:val="nil"/>
              <w:right w:val="nil"/>
            </w:tcBorders>
            <w:shd w:val="clear" w:color="auto" w:fill="auto"/>
            <w:noWrap/>
            <w:hideMark/>
          </w:tcPr>
          <w:p w14:paraId="09BD8611"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w:t>
            </w:r>
          </w:p>
        </w:tc>
        <w:tc>
          <w:tcPr>
            <w:tcW w:w="1170" w:type="dxa"/>
            <w:tcBorders>
              <w:top w:val="nil"/>
              <w:left w:val="nil"/>
              <w:bottom w:val="nil"/>
              <w:right w:val="nil"/>
            </w:tcBorders>
            <w:shd w:val="clear" w:color="auto" w:fill="auto"/>
            <w:noWrap/>
            <w:hideMark/>
          </w:tcPr>
          <w:p w14:paraId="46CCF9CA"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w:t>
            </w:r>
          </w:p>
        </w:tc>
        <w:tc>
          <w:tcPr>
            <w:tcW w:w="990" w:type="dxa"/>
            <w:tcBorders>
              <w:top w:val="nil"/>
              <w:left w:val="nil"/>
              <w:bottom w:val="nil"/>
              <w:right w:val="nil"/>
            </w:tcBorders>
            <w:shd w:val="clear" w:color="auto" w:fill="auto"/>
            <w:noWrap/>
            <w:hideMark/>
          </w:tcPr>
          <w:p w14:paraId="40979C64"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X</w:t>
            </w:r>
          </w:p>
        </w:tc>
        <w:tc>
          <w:tcPr>
            <w:tcW w:w="1350" w:type="dxa"/>
            <w:tcBorders>
              <w:top w:val="nil"/>
              <w:left w:val="nil"/>
              <w:bottom w:val="nil"/>
              <w:right w:val="nil"/>
            </w:tcBorders>
            <w:shd w:val="clear" w:color="auto" w:fill="auto"/>
            <w:noWrap/>
            <w:hideMark/>
          </w:tcPr>
          <w:p w14:paraId="13577249"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X</w:t>
            </w:r>
          </w:p>
        </w:tc>
      </w:tr>
      <w:tr w:rsidR="00792002" w:rsidRPr="00031C85" w14:paraId="40CDEC4F" w14:textId="77777777" w:rsidTr="00705FF0">
        <w:trPr>
          <w:trHeight w:val="351"/>
        </w:trPr>
        <w:tc>
          <w:tcPr>
            <w:tcW w:w="3060" w:type="dxa"/>
            <w:tcBorders>
              <w:top w:val="nil"/>
              <w:left w:val="nil"/>
              <w:bottom w:val="nil"/>
              <w:right w:val="nil"/>
            </w:tcBorders>
            <w:shd w:val="clear" w:color="auto" w:fill="auto"/>
            <w:hideMark/>
          </w:tcPr>
          <w:p w14:paraId="4368CED1" w14:textId="77777777" w:rsidR="00792002" w:rsidRPr="00031C85" w:rsidRDefault="00792002" w:rsidP="00705FF0">
            <w:pPr>
              <w:spacing w:after="0" w:line="240" w:lineRule="auto"/>
              <w:rPr>
                <w:rFonts w:ascii="Times New Roman" w:eastAsia="Times New Roman" w:hAnsi="Times New Roman" w:cs="Times New Roman"/>
                <w:color w:val="000000"/>
              </w:rPr>
            </w:pPr>
            <w:r w:rsidRPr="00031C85">
              <w:rPr>
                <w:rFonts w:ascii="Times New Roman" w:eastAsia="Times New Roman" w:hAnsi="Times New Roman" w:cs="Times New Roman"/>
                <w:color w:val="000000"/>
              </w:rPr>
              <w:t>County Fixed Effects</w:t>
            </w:r>
          </w:p>
        </w:tc>
        <w:tc>
          <w:tcPr>
            <w:tcW w:w="1440" w:type="dxa"/>
            <w:tcBorders>
              <w:top w:val="nil"/>
              <w:left w:val="nil"/>
              <w:bottom w:val="nil"/>
              <w:right w:val="nil"/>
            </w:tcBorders>
            <w:shd w:val="clear" w:color="auto" w:fill="auto"/>
            <w:noWrap/>
            <w:hideMark/>
          </w:tcPr>
          <w:p w14:paraId="26D2F375"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X</w:t>
            </w:r>
          </w:p>
        </w:tc>
        <w:tc>
          <w:tcPr>
            <w:tcW w:w="1170" w:type="dxa"/>
            <w:tcBorders>
              <w:top w:val="nil"/>
              <w:left w:val="nil"/>
              <w:bottom w:val="nil"/>
              <w:right w:val="nil"/>
            </w:tcBorders>
            <w:shd w:val="clear" w:color="auto" w:fill="auto"/>
            <w:noWrap/>
            <w:hideMark/>
          </w:tcPr>
          <w:p w14:paraId="05D28695"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X</w:t>
            </w:r>
          </w:p>
        </w:tc>
        <w:tc>
          <w:tcPr>
            <w:tcW w:w="990" w:type="dxa"/>
            <w:tcBorders>
              <w:top w:val="nil"/>
              <w:left w:val="nil"/>
              <w:bottom w:val="nil"/>
              <w:right w:val="nil"/>
            </w:tcBorders>
            <w:shd w:val="clear" w:color="auto" w:fill="auto"/>
            <w:noWrap/>
            <w:hideMark/>
          </w:tcPr>
          <w:p w14:paraId="7881A2A5"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X</w:t>
            </w:r>
          </w:p>
        </w:tc>
        <w:tc>
          <w:tcPr>
            <w:tcW w:w="1350" w:type="dxa"/>
            <w:tcBorders>
              <w:top w:val="nil"/>
              <w:left w:val="nil"/>
              <w:bottom w:val="nil"/>
              <w:right w:val="nil"/>
            </w:tcBorders>
            <w:shd w:val="clear" w:color="auto" w:fill="auto"/>
            <w:noWrap/>
            <w:hideMark/>
          </w:tcPr>
          <w:p w14:paraId="20498DB4"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X</w:t>
            </w:r>
          </w:p>
        </w:tc>
      </w:tr>
      <w:tr w:rsidR="00792002" w:rsidRPr="00031C85" w14:paraId="78044813" w14:textId="77777777" w:rsidTr="00705FF0">
        <w:trPr>
          <w:trHeight w:val="369"/>
        </w:trPr>
        <w:tc>
          <w:tcPr>
            <w:tcW w:w="3060" w:type="dxa"/>
            <w:tcBorders>
              <w:top w:val="nil"/>
              <w:left w:val="nil"/>
              <w:bottom w:val="nil"/>
              <w:right w:val="nil"/>
            </w:tcBorders>
            <w:shd w:val="clear" w:color="auto" w:fill="auto"/>
            <w:hideMark/>
          </w:tcPr>
          <w:p w14:paraId="36EF7C33" w14:textId="77777777" w:rsidR="00792002" w:rsidRPr="00031C85" w:rsidRDefault="00792002" w:rsidP="00705FF0">
            <w:pPr>
              <w:spacing w:after="0" w:line="240" w:lineRule="auto"/>
              <w:rPr>
                <w:rFonts w:ascii="Times New Roman" w:eastAsia="Times New Roman" w:hAnsi="Times New Roman" w:cs="Times New Roman"/>
                <w:color w:val="000000"/>
              </w:rPr>
            </w:pPr>
            <w:r w:rsidRPr="00031C85">
              <w:rPr>
                <w:rFonts w:ascii="Times New Roman" w:eastAsia="Times New Roman" w:hAnsi="Times New Roman" w:cs="Times New Roman"/>
                <w:color w:val="000000"/>
              </w:rPr>
              <w:t>Year-Month Fixed Effects</w:t>
            </w:r>
          </w:p>
        </w:tc>
        <w:tc>
          <w:tcPr>
            <w:tcW w:w="1440" w:type="dxa"/>
            <w:tcBorders>
              <w:top w:val="nil"/>
              <w:left w:val="nil"/>
              <w:bottom w:val="nil"/>
              <w:right w:val="nil"/>
            </w:tcBorders>
            <w:shd w:val="clear" w:color="auto" w:fill="auto"/>
            <w:noWrap/>
            <w:hideMark/>
          </w:tcPr>
          <w:p w14:paraId="1C7C80C7"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w:t>
            </w:r>
          </w:p>
        </w:tc>
        <w:tc>
          <w:tcPr>
            <w:tcW w:w="1170" w:type="dxa"/>
            <w:tcBorders>
              <w:top w:val="nil"/>
              <w:left w:val="nil"/>
              <w:bottom w:val="nil"/>
              <w:right w:val="nil"/>
            </w:tcBorders>
            <w:shd w:val="clear" w:color="auto" w:fill="auto"/>
            <w:noWrap/>
            <w:hideMark/>
          </w:tcPr>
          <w:p w14:paraId="6F651A5F"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X</w:t>
            </w:r>
          </w:p>
        </w:tc>
        <w:tc>
          <w:tcPr>
            <w:tcW w:w="990" w:type="dxa"/>
            <w:tcBorders>
              <w:top w:val="nil"/>
              <w:left w:val="nil"/>
              <w:bottom w:val="nil"/>
              <w:right w:val="nil"/>
            </w:tcBorders>
            <w:shd w:val="clear" w:color="auto" w:fill="auto"/>
            <w:noWrap/>
            <w:hideMark/>
          </w:tcPr>
          <w:p w14:paraId="14B1A4AD"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w:t>
            </w:r>
          </w:p>
        </w:tc>
        <w:tc>
          <w:tcPr>
            <w:tcW w:w="1350" w:type="dxa"/>
            <w:tcBorders>
              <w:top w:val="nil"/>
              <w:left w:val="nil"/>
              <w:bottom w:val="nil"/>
              <w:right w:val="nil"/>
            </w:tcBorders>
            <w:shd w:val="clear" w:color="auto" w:fill="auto"/>
            <w:noWrap/>
            <w:hideMark/>
          </w:tcPr>
          <w:p w14:paraId="7E07458E" w14:textId="77777777" w:rsidR="00792002" w:rsidRPr="00DE6E6C" w:rsidRDefault="00792002" w:rsidP="00705FF0">
            <w:pPr>
              <w:spacing w:after="0" w:line="240" w:lineRule="auto"/>
              <w:jc w:val="center"/>
              <w:rPr>
                <w:rFonts w:ascii="Times New Roman" w:eastAsia="Times New Roman" w:hAnsi="Times New Roman" w:cs="Times New Roman"/>
                <w:color w:val="000000"/>
              </w:rPr>
            </w:pPr>
            <w:r w:rsidRPr="00DE6E6C">
              <w:rPr>
                <w:rFonts w:ascii="Times New Roman" w:eastAsia="Times New Roman" w:hAnsi="Times New Roman" w:cs="Times New Roman"/>
                <w:color w:val="000000"/>
              </w:rPr>
              <w:t>X</w:t>
            </w:r>
          </w:p>
        </w:tc>
      </w:tr>
      <w:tr w:rsidR="00792002" w:rsidRPr="00031C85" w14:paraId="54E348E5" w14:textId="77777777" w:rsidTr="00705FF0">
        <w:trPr>
          <w:trHeight w:val="369"/>
        </w:trPr>
        <w:tc>
          <w:tcPr>
            <w:tcW w:w="3060" w:type="dxa"/>
            <w:tcBorders>
              <w:top w:val="nil"/>
              <w:left w:val="nil"/>
              <w:bottom w:val="single" w:sz="4" w:space="0" w:color="auto"/>
              <w:right w:val="nil"/>
            </w:tcBorders>
            <w:shd w:val="clear" w:color="auto" w:fill="auto"/>
          </w:tcPr>
          <w:p w14:paraId="574E0BE5" w14:textId="77777777" w:rsidR="00792002" w:rsidRPr="00031C85" w:rsidRDefault="00792002" w:rsidP="00705FF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Observations</w:t>
            </w:r>
          </w:p>
        </w:tc>
        <w:tc>
          <w:tcPr>
            <w:tcW w:w="1440" w:type="dxa"/>
            <w:tcBorders>
              <w:top w:val="nil"/>
              <w:left w:val="nil"/>
              <w:bottom w:val="single" w:sz="4" w:space="0" w:color="auto"/>
              <w:right w:val="nil"/>
            </w:tcBorders>
            <w:shd w:val="clear" w:color="auto" w:fill="auto"/>
            <w:noWrap/>
          </w:tcPr>
          <w:p w14:paraId="682B27EE" w14:textId="3B17DFDB" w:rsidR="00792002" w:rsidRPr="00DE6E6C" w:rsidRDefault="00756931"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1,016</w:t>
            </w:r>
            <w:r w:rsidR="00792002">
              <w:rPr>
                <w:rFonts w:ascii="Times New Roman" w:eastAsia="Times New Roman" w:hAnsi="Times New Roman" w:cs="Times New Roman"/>
                <w:color w:val="000000"/>
              </w:rPr>
              <w:t>,</w:t>
            </w:r>
            <w:r>
              <w:rPr>
                <w:rFonts w:ascii="Times New Roman" w:eastAsia="Times New Roman" w:hAnsi="Times New Roman" w:cs="Times New Roman"/>
                <w:color w:val="000000"/>
              </w:rPr>
              <w:t>3</w:t>
            </w:r>
            <w:r w:rsidR="009C1881">
              <w:rPr>
                <w:rFonts w:ascii="Times New Roman" w:eastAsia="Times New Roman" w:hAnsi="Times New Roman" w:cs="Times New Roman"/>
                <w:color w:val="000000"/>
              </w:rPr>
              <w:t>42</w:t>
            </w:r>
          </w:p>
        </w:tc>
        <w:tc>
          <w:tcPr>
            <w:tcW w:w="1170" w:type="dxa"/>
            <w:tcBorders>
              <w:top w:val="nil"/>
              <w:left w:val="nil"/>
              <w:bottom w:val="single" w:sz="4" w:space="0" w:color="auto"/>
              <w:right w:val="nil"/>
            </w:tcBorders>
            <w:shd w:val="clear" w:color="auto" w:fill="auto"/>
            <w:noWrap/>
          </w:tcPr>
          <w:p w14:paraId="5AA7CA33" w14:textId="1DF3AC74" w:rsidR="00792002" w:rsidRPr="00DE6E6C" w:rsidRDefault="00756931"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1,016,3</w:t>
            </w:r>
            <w:r w:rsidR="009C1881">
              <w:rPr>
                <w:rFonts w:ascii="Times New Roman" w:eastAsia="Times New Roman" w:hAnsi="Times New Roman" w:cs="Times New Roman"/>
                <w:color w:val="000000"/>
              </w:rPr>
              <w:t>42</w:t>
            </w:r>
          </w:p>
        </w:tc>
        <w:tc>
          <w:tcPr>
            <w:tcW w:w="990" w:type="dxa"/>
            <w:tcBorders>
              <w:top w:val="nil"/>
              <w:left w:val="nil"/>
              <w:bottom w:val="single" w:sz="4" w:space="0" w:color="auto"/>
              <w:right w:val="nil"/>
            </w:tcBorders>
            <w:shd w:val="clear" w:color="auto" w:fill="auto"/>
            <w:noWrap/>
          </w:tcPr>
          <w:p w14:paraId="7204E037" w14:textId="282B9417" w:rsidR="00792002" w:rsidRPr="00DE6E6C" w:rsidRDefault="003A335F" w:rsidP="003A335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00756931">
              <w:rPr>
                <w:rFonts w:ascii="Times New Roman" w:eastAsia="Times New Roman" w:hAnsi="Times New Roman" w:cs="Times New Roman"/>
                <w:color w:val="000000"/>
              </w:rPr>
              <w:t>37</w:t>
            </w:r>
            <w:r w:rsidR="00792002" w:rsidRPr="00DE6E6C">
              <w:rPr>
                <w:rFonts w:ascii="Times New Roman" w:eastAsia="Times New Roman" w:hAnsi="Times New Roman" w:cs="Times New Roman"/>
                <w:color w:val="000000"/>
              </w:rPr>
              <w:t>,</w:t>
            </w:r>
            <w:r w:rsidR="00756931">
              <w:rPr>
                <w:rFonts w:ascii="Times New Roman" w:eastAsia="Times New Roman" w:hAnsi="Times New Roman" w:cs="Times New Roman"/>
                <w:color w:val="000000"/>
              </w:rPr>
              <w:t>5</w:t>
            </w:r>
            <w:r w:rsidR="009C1881">
              <w:rPr>
                <w:rFonts w:ascii="Times New Roman" w:eastAsia="Times New Roman" w:hAnsi="Times New Roman" w:cs="Times New Roman"/>
                <w:color w:val="000000"/>
              </w:rPr>
              <w:t>21</w:t>
            </w:r>
          </w:p>
        </w:tc>
        <w:tc>
          <w:tcPr>
            <w:tcW w:w="1350" w:type="dxa"/>
            <w:tcBorders>
              <w:top w:val="nil"/>
              <w:left w:val="nil"/>
              <w:bottom w:val="single" w:sz="4" w:space="0" w:color="auto"/>
              <w:right w:val="nil"/>
            </w:tcBorders>
            <w:shd w:val="clear" w:color="auto" w:fill="auto"/>
            <w:noWrap/>
          </w:tcPr>
          <w:p w14:paraId="401A8814" w14:textId="2ADD07CE" w:rsidR="00792002" w:rsidRPr="00DE6E6C" w:rsidRDefault="00756931" w:rsidP="00705FF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837</w:t>
            </w:r>
            <w:r w:rsidRPr="00DE6E6C">
              <w:rPr>
                <w:rFonts w:ascii="Times New Roman" w:eastAsia="Times New Roman" w:hAnsi="Times New Roman" w:cs="Times New Roman"/>
                <w:color w:val="000000"/>
              </w:rPr>
              <w:t>,</w:t>
            </w:r>
            <w:r>
              <w:rPr>
                <w:rFonts w:ascii="Times New Roman" w:eastAsia="Times New Roman" w:hAnsi="Times New Roman" w:cs="Times New Roman"/>
                <w:color w:val="000000"/>
              </w:rPr>
              <w:t>5</w:t>
            </w:r>
            <w:r w:rsidR="009C1881">
              <w:rPr>
                <w:rFonts w:ascii="Times New Roman" w:eastAsia="Times New Roman" w:hAnsi="Times New Roman" w:cs="Times New Roman"/>
                <w:color w:val="000000"/>
              </w:rPr>
              <w:t>21</w:t>
            </w:r>
          </w:p>
        </w:tc>
      </w:tr>
    </w:tbl>
    <w:p w14:paraId="2E706D08" w14:textId="156496BC" w:rsidR="00792002" w:rsidRDefault="00792002" w:rsidP="00792002">
      <w:pPr>
        <w:spacing w:after="0" w:line="240" w:lineRule="auto"/>
        <w:rPr>
          <w:rFonts w:ascii="Times New Roman" w:eastAsia="Times New Roman" w:hAnsi="Times New Roman" w:cs="Times New Roman"/>
          <w:color w:val="000000"/>
          <w:sz w:val="16"/>
          <w:szCs w:val="16"/>
        </w:rPr>
      </w:pPr>
      <w:r w:rsidRPr="0043132D">
        <w:rPr>
          <w:rFonts w:ascii="Times New Roman" w:eastAsia="Times New Roman" w:hAnsi="Times New Roman" w:cs="Times New Roman"/>
          <w:color w:val="000000"/>
          <w:sz w:val="20"/>
          <w:szCs w:val="20"/>
        </w:rPr>
        <w:t xml:space="preserve">Notes: </w:t>
      </w:r>
      <w:r>
        <w:rPr>
          <w:rFonts w:ascii="Times New Roman" w:eastAsia="Times New Roman" w:hAnsi="Times New Roman" w:cs="Times New Roman"/>
          <w:color w:val="000000"/>
          <w:sz w:val="20"/>
          <w:szCs w:val="20"/>
        </w:rPr>
        <w:t xml:space="preserve">Table reports Ordinary Least Squares regression coefficients corresponding to the county unemployment rate, summed </w:t>
      </w:r>
      <w:r w:rsidR="007117C6">
        <w:rPr>
          <w:rFonts w:ascii="Times New Roman" w:eastAsia="Times New Roman" w:hAnsi="Times New Roman" w:cs="Times New Roman"/>
          <w:color w:val="000000"/>
          <w:sz w:val="20"/>
          <w:szCs w:val="20"/>
        </w:rPr>
        <w:t xml:space="preserve">across all </w:t>
      </w:r>
      <w:r w:rsidR="00E845B6">
        <w:rPr>
          <w:rFonts w:ascii="Times New Roman" w:eastAsia="Times New Roman" w:hAnsi="Times New Roman" w:cs="Times New Roman"/>
          <w:color w:val="000000"/>
          <w:sz w:val="20"/>
          <w:szCs w:val="20"/>
        </w:rPr>
        <w:t xml:space="preserve">included </w:t>
      </w:r>
      <w:r w:rsidR="007117C6">
        <w:rPr>
          <w:rFonts w:ascii="Times New Roman" w:eastAsia="Times New Roman" w:hAnsi="Times New Roman" w:cs="Times New Roman"/>
          <w:color w:val="000000"/>
          <w:sz w:val="20"/>
          <w:szCs w:val="20"/>
        </w:rPr>
        <w:t>lags and/or leads</w:t>
      </w:r>
      <w:r>
        <w:rPr>
          <w:rFonts w:ascii="Times New Roman" w:eastAsia="Times New Roman" w:hAnsi="Times New Roman" w:cs="Times New Roman"/>
          <w:color w:val="000000"/>
          <w:sz w:val="20"/>
          <w:szCs w:val="20"/>
        </w:rPr>
        <w:t xml:space="preserve">. Standard errors in parentheses. Dependent variable is an indicator equal to one if a waiver is in effect in a given county and month. Federal waiver periods </w:t>
      </w:r>
      <w:r w:rsidRPr="00DE6E6C">
        <w:rPr>
          <w:rFonts w:ascii="Times New Roman" w:eastAsia="Times New Roman" w:hAnsi="Times New Roman" w:cs="Times New Roman"/>
          <w:color w:val="000000"/>
          <w:sz w:val="20"/>
          <w:szCs w:val="20"/>
        </w:rPr>
        <w:t xml:space="preserve">were </w:t>
      </w:r>
      <w:r>
        <w:rPr>
          <w:rFonts w:ascii="Times New Roman" w:eastAsia="Times New Roman" w:hAnsi="Times New Roman" w:cs="Times New Roman"/>
          <w:color w:val="000000"/>
          <w:sz w:val="20"/>
          <w:szCs w:val="20"/>
        </w:rPr>
        <w:t>April</w:t>
      </w:r>
      <w:r w:rsidRPr="00DE6E6C">
        <w:rPr>
          <w:rFonts w:ascii="Times New Roman" w:eastAsia="Times New Roman" w:hAnsi="Times New Roman" w:cs="Times New Roman"/>
          <w:color w:val="000000"/>
          <w:sz w:val="20"/>
          <w:szCs w:val="20"/>
        </w:rPr>
        <w:t xml:space="preserve"> 2009 to October 2010 and April 2020 to June 2023.</w:t>
      </w:r>
      <w:r>
        <w:rPr>
          <w:rFonts w:ascii="Times New Roman" w:eastAsia="Times New Roman" w:hAnsi="Times New Roman" w:cs="Times New Roman"/>
          <w:color w:val="000000"/>
          <w:sz w:val="20"/>
          <w:szCs w:val="20"/>
        </w:rPr>
        <w:t xml:space="preserve"> Observations are weighted by 2010</w:t>
      </w:r>
      <w:r w:rsidRPr="0043132D">
        <w:rPr>
          <w:rFonts w:ascii="Times New Roman" w:eastAsia="Times New Roman" w:hAnsi="Times New Roman" w:cs="Times New Roman"/>
          <w:color w:val="000000"/>
          <w:sz w:val="20"/>
          <w:szCs w:val="20"/>
        </w:rPr>
        <w:t xml:space="preserve"> county populations.</w:t>
      </w:r>
      <w:r w:rsidR="00D60D81">
        <w:rPr>
          <w:rFonts w:ascii="Times New Roman" w:eastAsia="Times New Roman" w:hAnsi="Times New Roman" w:cs="Times New Roman"/>
          <w:color w:val="000000"/>
          <w:sz w:val="20"/>
          <w:szCs w:val="20"/>
        </w:rPr>
        <w:t xml:space="preserve"> All models only include counties with available data for the entire sample period. </w:t>
      </w:r>
    </w:p>
    <w:p w14:paraId="2A139EB4" w14:textId="77777777" w:rsidR="00792002" w:rsidRDefault="00792002" w:rsidP="00792002">
      <w:pPr>
        <w:spacing w:line="240" w:lineRule="auto"/>
        <w:rPr>
          <w:rFonts w:ascii="Times New Roman" w:hAnsi="Times New Roman" w:cs="Times New Roman"/>
          <w:sz w:val="20"/>
          <w:szCs w:val="20"/>
        </w:rPr>
      </w:pPr>
      <w:r>
        <w:rPr>
          <w:rFonts w:ascii="Times New Roman" w:hAnsi="Times New Roman" w:cs="Times New Roman"/>
          <w:sz w:val="20"/>
          <w:szCs w:val="20"/>
        </w:rPr>
        <w:t>Sources: United States Department of Agriculture; Bureau of Labor Statistics Local Area Unemployment Statistics; Authors’ calculations.</w:t>
      </w:r>
    </w:p>
    <w:p w14:paraId="4DBC2E37" w14:textId="77777777" w:rsidR="00792002" w:rsidRDefault="00792002" w:rsidP="00792002">
      <w:pPr>
        <w:rPr>
          <w:rFonts w:ascii="Times New Roman" w:hAnsi="Times New Roman" w:cs="Times New Roman"/>
          <w:sz w:val="20"/>
          <w:szCs w:val="20"/>
        </w:rPr>
      </w:pPr>
    </w:p>
    <w:p w14:paraId="4745D11E" w14:textId="77777777" w:rsidR="00792002" w:rsidRDefault="00792002" w:rsidP="00792002">
      <w:pPr>
        <w:rPr>
          <w:rFonts w:ascii="Times New Roman" w:hAnsi="Times New Roman" w:cs="Times New Roman"/>
          <w:sz w:val="20"/>
          <w:szCs w:val="20"/>
        </w:rPr>
      </w:pPr>
    </w:p>
    <w:p w14:paraId="5C743D45" w14:textId="77777777" w:rsidR="00792002" w:rsidRDefault="00792002" w:rsidP="00792002">
      <w:pPr>
        <w:rPr>
          <w:rFonts w:ascii="Times New Roman" w:hAnsi="Times New Roman" w:cs="Times New Roman"/>
          <w:sz w:val="20"/>
          <w:szCs w:val="20"/>
        </w:rPr>
      </w:pPr>
    </w:p>
    <w:p w14:paraId="725F63F1" w14:textId="77777777" w:rsidR="00792002" w:rsidRDefault="00792002" w:rsidP="00792002">
      <w:pPr>
        <w:rPr>
          <w:rFonts w:ascii="Times New Roman" w:hAnsi="Times New Roman" w:cs="Times New Roman"/>
          <w:sz w:val="20"/>
          <w:szCs w:val="20"/>
        </w:rPr>
      </w:pPr>
    </w:p>
    <w:p w14:paraId="508A199F" w14:textId="77777777" w:rsidR="00792002" w:rsidRDefault="00792002" w:rsidP="00792002">
      <w:pPr>
        <w:rPr>
          <w:rFonts w:ascii="Times New Roman" w:hAnsi="Times New Roman" w:cs="Times New Roman"/>
          <w:sz w:val="20"/>
          <w:szCs w:val="20"/>
        </w:rPr>
      </w:pPr>
    </w:p>
    <w:p w14:paraId="5D05D961" w14:textId="77777777" w:rsidR="00792002" w:rsidRDefault="00792002" w:rsidP="00792002">
      <w:pPr>
        <w:rPr>
          <w:rFonts w:ascii="Times New Roman" w:hAnsi="Times New Roman" w:cs="Times New Roman"/>
          <w:sz w:val="20"/>
          <w:szCs w:val="20"/>
        </w:rPr>
      </w:pPr>
    </w:p>
    <w:p w14:paraId="4471384D" w14:textId="77777777" w:rsidR="00792002" w:rsidRDefault="00792002" w:rsidP="00792002">
      <w:pPr>
        <w:rPr>
          <w:rFonts w:ascii="Times New Roman" w:hAnsi="Times New Roman" w:cs="Times New Roman"/>
          <w:sz w:val="20"/>
          <w:szCs w:val="20"/>
        </w:rPr>
      </w:pPr>
    </w:p>
    <w:p w14:paraId="4689C88D" w14:textId="72FE25B1" w:rsidR="00792002" w:rsidRDefault="00792002" w:rsidP="00792002">
      <w:pPr>
        <w:rPr>
          <w:rFonts w:ascii="Times New Roman" w:hAnsi="Times New Roman" w:cs="Times New Roman"/>
          <w:sz w:val="20"/>
          <w:szCs w:val="20"/>
        </w:rPr>
      </w:pPr>
    </w:p>
    <w:p w14:paraId="1AF8E440" w14:textId="04E25738" w:rsidR="00DF0F5E" w:rsidRDefault="00DF0F5E" w:rsidP="00792002">
      <w:pPr>
        <w:rPr>
          <w:rFonts w:ascii="Times New Roman" w:hAnsi="Times New Roman" w:cs="Times New Roman"/>
          <w:sz w:val="20"/>
          <w:szCs w:val="20"/>
        </w:rPr>
      </w:pPr>
    </w:p>
    <w:p w14:paraId="7A38A208" w14:textId="4A4CC492" w:rsidR="00DF0F5E" w:rsidRDefault="00DF0F5E" w:rsidP="00792002">
      <w:pPr>
        <w:rPr>
          <w:rFonts w:ascii="Times New Roman" w:hAnsi="Times New Roman" w:cs="Times New Roman"/>
          <w:sz w:val="20"/>
          <w:szCs w:val="20"/>
        </w:rPr>
      </w:pPr>
    </w:p>
    <w:p w14:paraId="7E1DE330" w14:textId="77777777" w:rsidR="00DF0F5E" w:rsidRDefault="00DF0F5E" w:rsidP="00792002">
      <w:pPr>
        <w:rPr>
          <w:rFonts w:ascii="Times New Roman" w:hAnsi="Times New Roman" w:cs="Times New Roman"/>
          <w:sz w:val="20"/>
          <w:szCs w:val="20"/>
        </w:rPr>
      </w:pPr>
    </w:p>
    <w:p w14:paraId="2EDF9640" w14:textId="77777777" w:rsidR="00792002" w:rsidRDefault="00792002" w:rsidP="00792002">
      <w:pPr>
        <w:rPr>
          <w:rFonts w:ascii="Times New Roman" w:hAnsi="Times New Roman" w:cs="Times New Roman"/>
          <w:sz w:val="20"/>
          <w:szCs w:val="20"/>
        </w:rPr>
      </w:pPr>
    </w:p>
    <w:p w14:paraId="0D07F9E9" w14:textId="5F965942" w:rsidR="00DF0F5E" w:rsidRDefault="00DF0F5E" w:rsidP="00DF0F5E">
      <w:pPr>
        <w:spacing w:after="0" w:line="276" w:lineRule="auto"/>
        <w:rPr>
          <w:rFonts w:ascii="Times New Roman" w:hAnsi="Times New Roman" w:cs="Times New Roman"/>
          <w:sz w:val="24"/>
          <w:szCs w:val="24"/>
        </w:rPr>
      </w:pPr>
      <w:r w:rsidRPr="00031C85">
        <w:rPr>
          <w:rFonts w:ascii="Times New Roman" w:eastAsia="Times New Roman" w:hAnsi="Times New Roman" w:cs="Times New Roman"/>
          <w:b/>
          <w:bCs/>
          <w:color w:val="000000"/>
          <w:sz w:val="24"/>
          <w:szCs w:val="24"/>
        </w:rPr>
        <w:lastRenderedPageBreak/>
        <w:t xml:space="preserve">Table </w:t>
      </w:r>
      <w:r>
        <w:rPr>
          <w:rFonts w:ascii="Times New Roman" w:eastAsia="Times New Roman" w:hAnsi="Times New Roman" w:cs="Times New Roman"/>
          <w:b/>
          <w:bCs/>
          <w:color w:val="000000"/>
          <w:sz w:val="24"/>
          <w:szCs w:val="24"/>
        </w:rPr>
        <w:t>A</w:t>
      </w:r>
      <w:r w:rsidR="00B61885">
        <w:rPr>
          <w:rFonts w:ascii="Times New Roman" w:eastAsia="Times New Roman" w:hAnsi="Times New Roman" w:cs="Times New Roman"/>
          <w:b/>
          <w:bCs/>
          <w:color w:val="000000"/>
          <w:sz w:val="24"/>
          <w:szCs w:val="24"/>
        </w:rPr>
        <w:t>2</w:t>
      </w:r>
      <w:r w:rsidR="007117C6">
        <w:rPr>
          <w:rFonts w:ascii="Times New Roman" w:eastAsia="Times New Roman" w:hAnsi="Times New Roman" w:cs="Times New Roman"/>
          <w:b/>
          <w:bCs/>
          <w:color w:val="000000"/>
          <w:sz w:val="24"/>
          <w:szCs w:val="24"/>
        </w:rPr>
        <w:t>.</w:t>
      </w:r>
      <w:r w:rsidRPr="00031C8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County-level association between waiver eligibility status and u</w:t>
      </w:r>
      <w:r w:rsidRPr="00031C85">
        <w:rPr>
          <w:rFonts w:ascii="Times New Roman" w:eastAsia="Times New Roman" w:hAnsi="Times New Roman" w:cs="Times New Roman"/>
          <w:b/>
          <w:bCs/>
          <w:color w:val="000000"/>
          <w:sz w:val="24"/>
          <w:szCs w:val="24"/>
        </w:rPr>
        <w:t xml:space="preserve">nemployment </w:t>
      </w:r>
      <w:r>
        <w:rPr>
          <w:rFonts w:ascii="Times New Roman" w:eastAsia="Times New Roman" w:hAnsi="Times New Roman" w:cs="Times New Roman"/>
          <w:b/>
          <w:bCs/>
          <w:color w:val="000000"/>
          <w:sz w:val="24"/>
          <w:szCs w:val="24"/>
        </w:rPr>
        <w:t>r</w:t>
      </w:r>
      <w:r w:rsidRPr="00031C85">
        <w:rPr>
          <w:rFonts w:ascii="Times New Roman" w:eastAsia="Times New Roman" w:hAnsi="Times New Roman" w:cs="Times New Roman"/>
          <w:b/>
          <w:bCs/>
          <w:color w:val="000000"/>
          <w:sz w:val="24"/>
          <w:szCs w:val="24"/>
        </w:rPr>
        <w:t>ate, 1997-2023</w:t>
      </w:r>
      <w:r>
        <w:rPr>
          <w:rFonts w:ascii="Times New Roman" w:eastAsia="Times New Roman" w:hAnsi="Times New Roman" w:cs="Times New Roman"/>
          <w:b/>
          <w:bCs/>
          <w:color w:val="000000"/>
          <w:sz w:val="24"/>
          <w:szCs w:val="24"/>
        </w:rPr>
        <w:t>, existing and counterfactual policies</w:t>
      </w:r>
    </w:p>
    <w:tbl>
      <w:tblPr>
        <w:tblW w:w="9180" w:type="dxa"/>
        <w:tblLayout w:type="fixed"/>
        <w:tblLook w:val="04A0" w:firstRow="1" w:lastRow="0" w:firstColumn="1" w:lastColumn="0" w:noHBand="0" w:noVBand="1"/>
      </w:tblPr>
      <w:tblGrid>
        <w:gridCol w:w="3870"/>
        <w:gridCol w:w="2520"/>
        <w:gridCol w:w="2790"/>
      </w:tblGrid>
      <w:tr w:rsidR="00DF0F5E" w:rsidRPr="00031C85" w14:paraId="58EF72DB" w14:textId="77777777" w:rsidTr="001D7657">
        <w:trPr>
          <w:trHeight w:val="300"/>
        </w:trPr>
        <w:tc>
          <w:tcPr>
            <w:tcW w:w="3870" w:type="dxa"/>
            <w:tcBorders>
              <w:top w:val="single" w:sz="4" w:space="0" w:color="auto"/>
              <w:left w:val="nil"/>
              <w:bottom w:val="single" w:sz="4" w:space="0" w:color="auto"/>
              <w:right w:val="nil"/>
            </w:tcBorders>
            <w:shd w:val="clear" w:color="auto" w:fill="auto"/>
            <w:noWrap/>
            <w:vAlign w:val="bottom"/>
            <w:hideMark/>
          </w:tcPr>
          <w:p w14:paraId="060B24BB" w14:textId="77777777" w:rsidR="00DF0F5E" w:rsidRPr="00031C85" w:rsidRDefault="00DF0F5E" w:rsidP="001D7657">
            <w:pPr>
              <w:spacing w:after="0" w:line="240" w:lineRule="auto"/>
              <w:rPr>
                <w:rFonts w:ascii="Times New Roman" w:eastAsia="Times New Roman" w:hAnsi="Times New Roman" w:cs="Times New Roman"/>
                <w:sz w:val="20"/>
                <w:szCs w:val="20"/>
              </w:rPr>
            </w:pPr>
          </w:p>
        </w:tc>
        <w:tc>
          <w:tcPr>
            <w:tcW w:w="2520" w:type="dxa"/>
            <w:tcBorders>
              <w:top w:val="single" w:sz="4" w:space="0" w:color="auto"/>
              <w:left w:val="nil"/>
              <w:bottom w:val="single" w:sz="4" w:space="0" w:color="auto"/>
              <w:right w:val="nil"/>
            </w:tcBorders>
            <w:shd w:val="clear" w:color="auto" w:fill="auto"/>
            <w:noWrap/>
            <w:vAlign w:val="center"/>
            <w:hideMark/>
          </w:tcPr>
          <w:p w14:paraId="748CDF8A" w14:textId="77777777" w:rsidR="00DF0F5E" w:rsidRPr="00031C85" w:rsidRDefault="00DF0F5E" w:rsidP="001D7657">
            <w:pPr>
              <w:spacing w:after="0" w:line="240" w:lineRule="auto"/>
              <w:jc w:val="center"/>
              <w:rPr>
                <w:rFonts w:ascii="Times New Roman" w:eastAsia="Times New Roman" w:hAnsi="Times New Roman" w:cs="Times New Roman"/>
                <w:color w:val="000000"/>
              </w:rPr>
            </w:pPr>
            <w:r w:rsidRPr="00031C85">
              <w:rPr>
                <w:rFonts w:ascii="Times New Roman" w:eastAsia="Times New Roman" w:hAnsi="Times New Roman" w:cs="Times New Roman"/>
                <w:color w:val="000000"/>
              </w:rPr>
              <w:t>(1)</w:t>
            </w:r>
          </w:p>
        </w:tc>
        <w:tc>
          <w:tcPr>
            <w:tcW w:w="2790" w:type="dxa"/>
            <w:tcBorders>
              <w:top w:val="single" w:sz="4" w:space="0" w:color="auto"/>
              <w:left w:val="nil"/>
              <w:bottom w:val="single" w:sz="4" w:space="0" w:color="auto"/>
              <w:right w:val="nil"/>
            </w:tcBorders>
            <w:shd w:val="clear" w:color="auto" w:fill="auto"/>
            <w:noWrap/>
            <w:vAlign w:val="center"/>
            <w:hideMark/>
          </w:tcPr>
          <w:p w14:paraId="5B68A785" w14:textId="77777777" w:rsidR="00DF0F5E" w:rsidRPr="00031C85" w:rsidRDefault="00DF0F5E" w:rsidP="001D7657">
            <w:pPr>
              <w:spacing w:after="0" w:line="240" w:lineRule="auto"/>
              <w:jc w:val="center"/>
              <w:rPr>
                <w:rFonts w:ascii="Times New Roman" w:eastAsia="Times New Roman" w:hAnsi="Times New Roman" w:cs="Times New Roman"/>
                <w:color w:val="000000"/>
              </w:rPr>
            </w:pPr>
            <w:r w:rsidRPr="00031C85">
              <w:rPr>
                <w:rFonts w:ascii="Times New Roman" w:eastAsia="Times New Roman" w:hAnsi="Times New Roman" w:cs="Times New Roman"/>
                <w:color w:val="000000"/>
              </w:rPr>
              <w:t>(2)</w:t>
            </w:r>
          </w:p>
        </w:tc>
      </w:tr>
      <w:tr w:rsidR="00DF0F5E" w:rsidRPr="00031C85" w14:paraId="335F7188" w14:textId="77777777" w:rsidTr="001D7657">
        <w:trPr>
          <w:trHeight w:val="645"/>
        </w:trPr>
        <w:tc>
          <w:tcPr>
            <w:tcW w:w="3870" w:type="dxa"/>
            <w:tcBorders>
              <w:left w:val="nil"/>
              <w:bottom w:val="nil"/>
              <w:right w:val="nil"/>
            </w:tcBorders>
            <w:shd w:val="clear" w:color="auto" w:fill="auto"/>
          </w:tcPr>
          <w:p w14:paraId="4043E755" w14:textId="61E4ADE3" w:rsidR="00DF0F5E" w:rsidRDefault="00DF0F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E1D80">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w:t>
            </w:r>
            <w:r w:rsidR="003E1D80">
              <w:rPr>
                <w:rFonts w:ascii="Times New Roman" w:eastAsia="Times New Roman" w:hAnsi="Times New Roman" w:cs="Times New Roman"/>
                <w:color w:val="000000"/>
              </w:rPr>
              <w:t>2019 Rule (24-month LMA average)</w:t>
            </w:r>
          </w:p>
        </w:tc>
        <w:tc>
          <w:tcPr>
            <w:tcW w:w="2520" w:type="dxa"/>
            <w:tcBorders>
              <w:left w:val="nil"/>
              <w:bottom w:val="nil"/>
              <w:right w:val="nil"/>
            </w:tcBorders>
            <w:shd w:val="clear" w:color="auto" w:fill="auto"/>
          </w:tcPr>
          <w:p w14:paraId="080E8505" w14:textId="02DADA62"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5E02FF">
              <w:rPr>
                <w:rFonts w:ascii="Times New Roman" w:eastAsia="Times New Roman" w:hAnsi="Times New Roman" w:cs="Times New Roman"/>
                <w:color w:val="000000"/>
              </w:rPr>
              <w:t>4</w:t>
            </w:r>
            <w:r w:rsidR="00F9500C">
              <w:rPr>
                <w:rFonts w:ascii="Times New Roman" w:eastAsia="Times New Roman" w:hAnsi="Times New Roman" w:cs="Times New Roman"/>
                <w:color w:val="000000"/>
              </w:rPr>
              <w:t>09</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(0.0001</w:t>
            </w:r>
            <w:r w:rsidRPr="00031C85">
              <w:rPr>
                <w:rFonts w:ascii="Times New Roman" w:eastAsia="Times New Roman" w:hAnsi="Times New Roman" w:cs="Times New Roman"/>
                <w:color w:val="000000"/>
              </w:rPr>
              <w:t>)</w:t>
            </w:r>
          </w:p>
        </w:tc>
        <w:tc>
          <w:tcPr>
            <w:tcW w:w="2790" w:type="dxa"/>
            <w:tcBorders>
              <w:left w:val="nil"/>
              <w:bottom w:val="nil"/>
              <w:right w:val="nil"/>
            </w:tcBorders>
            <w:shd w:val="clear" w:color="auto" w:fill="auto"/>
          </w:tcPr>
          <w:p w14:paraId="3011BBD4" w14:textId="79374C0F"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5E02FF">
              <w:rPr>
                <w:rFonts w:ascii="Times New Roman" w:eastAsia="Times New Roman" w:hAnsi="Times New Roman" w:cs="Times New Roman"/>
                <w:color w:val="000000"/>
              </w:rPr>
              <w:t>8</w:t>
            </w:r>
            <w:r w:rsidR="00F9500C">
              <w:rPr>
                <w:rFonts w:ascii="Times New Roman" w:eastAsia="Times New Roman" w:hAnsi="Times New Roman" w:cs="Times New Roman"/>
                <w:color w:val="000000"/>
              </w:rPr>
              <w:t>13</w:t>
            </w:r>
            <w:r>
              <w:rPr>
                <w:rFonts w:ascii="Times New Roman" w:eastAsia="Times New Roman" w:hAnsi="Times New Roman" w:cs="Times New Roman"/>
                <w:color w:val="000000"/>
              </w:rPr>
              <w:br/>
              <w:t xml:space="preserve"> (0.0002</w:t>
            </w:r>
            <w:r w:rsidRPr="00031C85">
              <w:rPr>
                <w:rFonts w:ascii="Times New Roman" w:eastAsia="Times New Roman" w:hAnsi="Times New Roman" w:cs="Times New Roman"/>
                <w:color w:val="000000"/>
              </w:rPr>
              <w:t>)</w:t>
            </w:r>
          </w:p>
        </w:tc>
      </w:tr>
      <w:tr w:rsidR="00DF0F5E" w:rsidRPr="00031C85" w14:paraId="6ACF19E1" w14:textId="77777777" w:rsidTr="001D7657">
        <w:trPr>
          <w:trHeight w:val="645"/>
        </w:trPr>
        <w:tc>
          <w:tcPr>
            <w:tcW w:w="3870" w:type="dxa"/>
            <w:tcBorders>
              <w:left w:val="nil"/>
              <w:bottom w:val="nil"/>
              <w:right w:val="nil"/>
            </w:tcBorders>
            <w:shd w:val="clear" w:color="auto" w:fill="auto"/>
          </w:tcPr>
          <w:p w14:paraId="6F934D1D" w14:textId="5EAE0A2A" w:rsidR="00DF0F5E" w:rsidRDefault="00DF0F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E1D80">
              <w:rPr>
                <w:rFonts w:ascii="Times New Roman" w:eastAsia="Times New Roman" w:hAnsi="Times New Roman" w:cs="Times New Roman"/>
                <w:color w:val="000000"/>
              </w:rPr>
              <w:t>4A</w:t>
            </w:r>
            <w:r>
              <w:rPr>
                <w:rFonts w:ascii="Times New Roman" w:eastAsia="Times New Roman" w:hAnsi="Times New Roman" w:cs="Times New Roman"/>
                <w:color w:val="000000"/>
              </w:rPr>
              <w:t>]: [</w:t>
            </w:r>
            <w:r w:rsidR="003E1D80">
              <w:rPr>
                <w:rFonts w:ascii="Times New Roman" w:eastAsia="Times New Roman" w:hAnsi="Times New Roman" w:cs="Times New Roman"/>
                <w:color w:val="000000"/>
              </w:rPr>
              <w:t>4</w:t>
            </w:r>
            <w:r>
              <w:rPr>
                <w:rFonts w:ascii="Times New Roman" w:eastAsia="Times New Roman" w:hAnsi="Times New Roman" w:cs="Times New Roman"/>
                <w:color w:val="000000"/>
              </w:rPr>
              <w:t>] + 12-month LMA average</w:t>
            </w:r>
          </w:p>
        </w:tc>
        <w:tc>
          <w:tcPr>
            <w:tcW w:w="2520" w:type="dxa"/>
            <w:tcBorders>
              <w:left w:val="nil"/>
              <w:bottom w:val="nil"/>
              <w:right w:val="nil"/>
            </w:tcBorders>
            <w:shd w:val="clear" w:color="auto" w:fill="auto"/>
          </w:tcPr>
          <w:p w14:paraId="01024228" w14:textId="6836F47A"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0.06</w:t>
            </w:r>
            <w:r w:rsidR="00F9500C">
              <w:rPr>
                <w:rFonts w:ascii="Times New Roman" w:eastAsia="Times New Roman" w:hAnsi="Times New Roman" w:cs="Times New Roman"/>
                <w:color w:val="000000"/>
              </w:rPr>
              <w:t>20</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(0.0001</w:t>
            </w:r>
            <w:r w:rsidRPr="00031C85">
              <w:rPr>
                <w:rFonts w:ascii="Times New Roman" w:eastAsia="Times New Roman" w:hAnsi="Times New Roman" w:cs="Times New Roman"/>
                <w:color w:val="000000"/>
              </w:rPr>
              <w:t>)</w:t>
            </w:r>
          </w:p>
        </w:tc>
        <w:tc>
          <w:tcPr>
            <w:tcW w:w="2790" w:type="dxa"/>
            <w:tcBorders>
              <w:left w:val="nil"/>
              <w:bottom w:val="nil"/>
              <w:right w:val="nil"/>
            </w:tcBorders>
            <w:shd w:val="clear" w:color="auto" w:fill="auto"/>
          </w:tcPr>
          <w:p w14:paraId="4EB0AC4E" w14:textId="27DB0C99"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F9500C">
              <w:rPr>
                <w:rFonts w:ascii="Times New Roman" w:eastAsia="Times New Roman" w:hAnsi="Times New Roman" w:cs="Times New Roman"/>
                <w:color w:val="000000"/>
              </w:rPr>
              <w:t>0973</w:t>
            </w:r>
            <w:r>
              <w:rPr>
                <w:rFonts w:ascii="Times New Roman" w:eastAsia="Times New Roman" w:hAnsi="Times New Roman" w:cs="Times New Roman"/>
                <w:color w:val="000000"/>
              </w:rPr>
              <w:br/>
              <w:t xml:space="preserve"> (0.0002</w:t>
            </w:r>
            <w:r w:rsidRPr="00031C85">
              <w:rPr>
                <w:rFonts w:ascii="Times New Roman" w:eastAsia="Times New Roman" w:hAnsi="Times New Roman" w:cs="Times New Roman"/>
                <w:color w:val="000000"/>
              </w:rPr>
              <w:t>)</w:t>
            </w:r>
          </w:p>
        </w:tc>
      </w:tr>
      <w:tr w:rsidR="00DF0F5E" w:rsidRPr="00031C85" w14:paraId="575A7949" w14:textId="77777777" w:rsidTr="001D7657">
        <w:trPr>
          <w:trHeight w:val="645"/>
        </w:trPr>
        <w:tc>
          <w:tcPr>
            <w:tcW w:w="3870" w:type="dxa"/>
            <w:tcBorders>
              <w:left w:val="nil"/>
              <w:bottom w:val="nil"/>
              <w:right w:val="nil"/>
            </w:tcBorders>
            <w:shd w:val="clear" w:color="auto" w:fill="auto"/>
          </w:tcPr>
          <w:p w14:paraId="2620C779" w14:textId="05E5764D" w:rsidR="00DF0F5E" w:rsidRDefault="00DF0F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E1D80">
              <w:rPr>
                <w:rFonts w:ascii="Times New Roman" w:eastAsia="Times New Roman" w:hAnsi="Times New Roman" w:cs="Times New Roman"/>
                <w:color w:val="000000"/>
              </w:rPr>
              <w:t>4B</w:t>
            </w:r>
            <w:r>
              <w:rPr>
                <w:rFonts w:ascii="Times New Roman" w:eastAsia="Times New Roman" w:hAnsi="Times New Roman" w:cs="Times New Roman"/>
                <w:color w:val="000000"/>
              </w:rPr>
              <w:t>]: [</w:t>
            </w:r>
            <w:r w:rsidR="003E1D80">
              <w:rPr>
                <w:rFonts w:ascii="Times New Roman" w:eastAsia="Times New Roman" w:hAnsi="Times New Roman" w:cs="Times New Roman"/>
                <w:color w:val="000000"/>
              </w:rPr>
              <w:t>4</w:t>
            </w:r>
            <w:r>
              <w:rPr>
                <w:rFonts w:ascii="Times New Roman" w:eastAsia="Times New Roman" w:hAnsi="Times New Roman" w:cs="Times New Roman"/>
                <w:color w:val="000000"/>
              </w:rPr>
              <w:t>] + 6-month LMA average</w:t>
            </w:r>
          </w:p>
        </w:tc>
        <w:tc>
          <w:tcPr>
            <w:tcW w:w="2520" w:type="dxa"/>
            <w:tcBorders>
              <w:left w:val="nil"/>
              <w:bottom w:val="nil"/>
              <w:right w:val="nil"/>
            </w:tcBorders>
            <w:shd w:val="clear" w:color="auto" w:fill="auto"/>
          </w:tcPr>
          <w:p w14:paraId="529134D0" w14:textId="06FD1E95"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F9500C">
              <w:rPr>
                <w:rFonts w:ascii="Times New Roman" w:eastAsia="Times New Roman" w:hAnsi="Times New Roman" w:cs="Times New Roman"/>
                <w:color w:val="000000"/>
              </w:rPr>
              <w:t>787</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(0.0001</w:t>
            </w:r>
            <w:r w:rsidRPr="00031C85">
              <w:rPr>
                <w:rFonts w:ascii="Times New Roman" w:eastAsia="Times New Roman" w:hAnsi="Times New Roman" w:cs="Times New Roman"/>
                <w:color w:val="000000"/>
              </w:rPr>
              <w:t>)</w:t>
            </w:r>
          </w:p>
        </w:tc>
        <w:tc>
          <w:tcPr>
            <w:tcW w:w="2790" w:type="dxa"/>
            <w:tcBorders>
              <w:left w:val="nil"/>
              <w:bottom w:val="nil"/>
              <w:right w:val="nil"/>
            </w:tcBorders>
            <w:shd w:val="clear" w:color="auto" w:fill="auto"/>
          </w:tcPr>
          <w:p w14:paraId="27A3F0D2" w14:textId="688D9C2F"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5E02FF">
              <w:rPr>
                <w:rFonts w:ascii="Times New Roman" w:eastAsia="Times New Roman" w:hAnsi="Times New Roman" w:cs="Times New Roman"/>
                <w:color w:val="000000"/>
              </w:rPr>
              <w:t>9</w:t>
            </w:r>
            <w:r w:rsidR="00F9500C">
              <w:rPr>
                <w:rFonts w:ascii="Times New Roman" w:eastAsia="Times New Roman" w:hAnsi="Times New Roman" w:cs="Times New Roman"/>
                <w:color w:val="000000"/>
              </w:rPr>
              <w:t>16</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(0.0002</w:t>
            </w:r>
            <w:r w:rsidRPr="00031C85">
              <w:rPr>
                <w:rFonts w:ascii="Times New Roman" w:eastAsia="Times New Roman" w:hAnsi="Times New Roman" w:cs="Times New Roman"/>
                <w:color w:val="000000"/>
              </w:rPr>
              <w:t>)</w:t>
            </w:r>
          </w:p>
        </w:tc>
      </w:tr>
      <w:tr w:rsidR="00DF0F5E" w:rsidRPr="00031C85" w14:paraId="3A108D19" w14:textId="77777777" w:rsidTr="001D7657">
        <w:trPr>
          <w:trHeight w:val="645"/>
        </w:trPr>
        <w:tc>
          <w:tcPr>
            <w:tcW w:w="3870" w:type="dxa"/>
            <w:tcBorders>
              <w:left w:val="nil"/>
              <w:bottom w:val="nil"/>
              <w:right w:val="nil"/>
            </w:tcBorders>
            <w:shd w:val="clear" w:color="auto" w:fill="auto"/>
          </w:tcPr>
          <w:p w14:paraId="44EBCCEC" w14:textId="53B8B9CE" w:rsidR="00DF0F5E" w:rsidRDefault="00DF0F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E1D80">
              <w:rPr>
                <w:rFonts w:ascii="Times New Roman" w:eastAsia="Times New Roman" w:hAnsi="Times New Roman" w:cs="Times New Roman"/>
                <w:color w:val="000000"/>
              </w:rPr>
              <w:t>4C</w:t>
            </w:r>
            <w:r>
              <w:rPr>
                <w:rFonts w:ascii="Times New Roman" w:eastAsia="Times New Roman" w:hAnsi="Times New Roman" w:cs="Times New Roman"/>
                <w:color w:val="000000"/>
              </w:rPr>
              <w:t>]: [</w:t>
            </w:r>
            <w:r w:rsidR="003E1D80">
              <w:rPr>
                <w:rFonts w:ascii="Times New Roman" w:eastAsia="Times New Roman" w:hAnsi="Times New Roman" w:cs="Times New Roman"/>
                <w:color w:val="000000"/>
              </w:rPr>
              <w:t>4</w:t>
            </w:r>
            <w:r>
              <w:rPr>
                <w:rFonts w:ascii="Times New Roman" w:eastAsia="Times New Roman" w:hAnsi="Times New Roman" w:cs="Times New Roman"/>
                <w:color w:val="000000"/>
              </w:rPr>
              <w:t>] + 3-month LMA average</w:t>
            </w:r>
          </w:p>
        </w:tc>
        <w:tc>
          <w:tcPr>
            <w:tcW w:w="2520" w:type="dxa"/>
            <w:tcBorders>
              <w:left w:val="nil"/>
              <w:bottom w:val="nil"/>
              <w:right w:val="nil"/>
            </w:tcBorders>
            <w:shd w:val="clear" w:color="auto" w:fill="auto"/>
          </w:tcPr>
          <w:p w14:paraId="252146B0" w14:textId="29F2DC56"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F9500C">
              <w:rPr>
                <w:rFonts w:ascii="Times New Roman" w:eastAsia="Times New Roman" w:hAnsi="Times New Roman" w:cs="Times New Roman"/>
                <w:color w:val="000000"/>
              </w:rPr>
              <w:t>853</w:t>
            </w:r>
            <w:r>
              <w:rPr>
                <w:rFonts w:ascii="Times New Roman" w:eastAsia="Times New Roman" w:hAnsi="Times New Roman" w:cs="Times New Roman"/>
                <w:color w:val="000000"/>
              </w:rPr>
              <w:br/>
              <w:t>(0.0001</w:t>
            </w:r>
            <w:r w:rsidRPr="00031C85">
              <w:rPr>
                <w:rFonts w:ascii="Times New Roman" w:eastAsia="Times New Roman" w:hAnsi="Times New Roman" w:cs="Times New Roman"/>
                <w:color w:val="000000"/>
              </w:rPr>
              <w:t>)</w:t>
            </w:r>
          </w:p>
        </w:tc>
        <w:tc>
          <w:tcPr>
            <w:tcW w:w="2790" w:type="dxa"/>
            <w:tcBorders>
              <w:left w:val="nil"/>
              <w:bottom w:val="nil"/>
              <w:right w:val="nil"/>
            </w:tcBorders>
            <w:shd w:val="clear" w:color="auto" w:fill="auto"/>
          </w:tcPr>
          <w:p w14:paraId="08A19652" w14:textId="4698D8C8"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F9500C">
              <w:rPr>
                <w:rFonts w:ascii="Times New Roman" w:eastAsia="Times New Roman" w:hAnsi="Times New Roman" w:cs="Times New Roman"/>
                <w:color w:val="000000"/>
              </w:rPr>
              <w:t>894</w:t>
            </w:r>
            <w:r>
              <w:rPr>
                <w:rFonts w:ascii="Times New Roman" w:eastAsia="Times New Roman" w:hAnsi="Times New Roman" w:cs="Times New Roman"/>
                <w:color w:val="000000"/>
              </w:rPr>
              <w:br/>
              <w:t>(0.0002</w:t>
            </w:r>
            <w:r w:rsidRPr="00031C85">
              <w:rPr>
                <w:rFonts w:ascii="Times New Roman" w:eastAsia="Times New Roman" w:hAnsi="Times New Roman" w:cs="Times New Roman"/>
                <w:color w:val="000000"/>
              </w:rPr>
              <w:t>)</w:t>
            </w:r>
          </w:p>
        </w:tc>
      </w:tr>
      <w:tr w:rsidR="00DF0F5E" w:rsidRPr="00031C85" w14:paraId="3D698709" w14:textId="77777777" w:rsidTr="001D7657">
        <w:trPr>
          <w:trHeight w:val="645"/>
        </w:trPr>
        <w:tc>
          <w:tcPr>
            <w:tcW w:w="3870" w:type="dxa"/>
            <w:tcBorders>
              <w:left w:val="nil"/>
              <w:bottom w:val="nil"/>
              <w:right w:val="nil"/>
            </w:tcBorders>
            <w:shd w:val="clear" w:color="auto" w:fill="auto"/>
          </w:tcPr>
          <w:p w14:paraId="2801D299" w14:textId="60F80629" w:rsidR="00DF0F5E" w:rsidRDefault="00DF0F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E1D80">
              <w:rPr>
                <w:rFonts w:ascii="Times New Roman" w:eastAsia="Times New Roman" w:hAnsi="Times New Roman" w:cs="Times New Roman"/>
                <w:color w:val="000000"/>
              </w:rPr>
              <w:t>4D</w:t>
            </w:r>
            <w:r>
              <w:rPr>
                <w:rFonts w:ascii="Times New Roman" w:eastAsia="Times New Roman" w:hAnsi="Times New Roman" w:cs="Times New Roman"/>
                <w:color w:val="000000"/>
              </w:rPr>
              <w:t>]: [</w:t>
            </w:r>
            <w:r w:rsidR="003E1D80">
              <w:rPr>
                <w:rFonts w:ascii="Times New Roman" w:eastAsia="Times New Roman" w:hAnsi="Times New Roman" w:cs="Times New Roman"/>
                <w:color w:val="000000"/>
              </w:rPr>
              <w:t>4</w:t>
            </w:r>
            <w:r>
              <w:rPr>
                <w:rFonts w:ascii="Times New Roman" w:eastAsia="Times New Roman" w:hAnsi="Times New Roman" w:cs="Times New Roman"/>
                <w:color w:val="000000"/>
              </w:rPr>
              <w:t>] + 1-month LMA average</w:t>
            </w:r>
          </w:p>
        </w:tc>
        <w:tc>
          <w:tcPr>
            <w:tcW w:w="2520" w:type="dxa"/>
            <w:tcBorders>
              <w:left w:val="nil"/>
              <w:bottom w:val="nil"/>
              <w:right w:val="nil"/>
            </w:tcBorders>
            <w:shd w:val="clear" w:color="auto" w:fill="auto"/>
          </w:tcPr>
          <w:p w14:paraId="68F8FB3D" w14:textId="173AC7D0"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F9500C">
              <w:rPr>
                <w:rFonts w:ascii="Times New Roman" w:eastAsia="Times New Roman" w:hAnsi="Times New Roman" w:cs="Times New Roman"/>
                <w:color w:val="000000"/>
              </w:rPr>
              <w:t>875</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(0.0001</w:t>
            </w:r>
            <w:r w:rsidRPr="00031C85">
              <w:rPr>
                <w:rFonts w:ascii="Times New Roman" w:eastAsia="Times New Roman" w:hAnsi="Times New Roman" w:cs="Times New Roman"/>
                <w:color w:val="000000"/>
              </w:rPr>
              <w:t>)</w:t>
            </w:r>
          </w:p>
        </w:tc>
        <w:tc>
          <w:tcPr>
            <w:tcW w:w="2790" w:type="dxa"/>
            <w:tcBorders>
              <w:left w:val="nil"/>
              <w:bottom w:val="nil"/>
              <w:right w:val="nil"/>
            </w:tcBorders>
            <w:shd w:val="clear" w:color="auto" w:fill="auto"/>
          </w:tcPr>
          <w:p w14:paraId="32CB5430" w14:textId="198D6638" w:rsidR="00DF0F5E" w:rsidRPr="00031C85"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F9500C">
              <w:rPr>
                <w:rFonts w:ascii="Times New Roman" w:eastAsia="Times New Roman" w:hAnsi="Times New Roman" w:cs="Times New Roman"/>
                <w:color w:val="000000"/>
              </w:rPr>
              <w:t>899</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(0.0002</w:t>
            </w:r>
            <w:r w:rsidRPr="00031C85">
              <w:rPr>
                <w:rFonts w:ascii="Times New Roman" w:eastAsia="Times New Roman" w:hAnsi="Times New Roman" w:cs="Times New Roman"/>
                <w:color w:val="000000"/>
              </w:rPr>
              <w:t>)</w:t>
            </w:r>
          </w:p>
        </w:tc>
      </w:tr>
      <w:tr w:rsidR="00DF0F5E" w:rsidRPr="00031C85" w14:paraId="176B4E13" w14:textId="77777777" w:rsidTr="001D7657">
        <w:trPr>
          <w:trHeight w:val="645"/>
        </w:trPr>
        <w:tc>
          <w:tcPr>
            <w:tcW w:w="3870" w:type="dxa"/>
            <w:tcBorders>
              <w:left w:val="nil"/>
              <w:bottom w:val="nil"/>
              <w:right w:val="nil"/>
            </w:tcBorders>
            <w:shd w:val="clear" w:color="auto" w:fill="auto"/>
          </w:tcPr>
          <w:p w14:paraId="146E36B2" w14:textId="7AFDD9F0" w:rsidR="00DF0F5E" w:rsidRDefault="00DF0F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E1D80">
              <w:rPr>
                <w:rFonts w:ascii="Times New Roman" w:eastAsia="Times New Roman" w:hAnsi="Times New Roman" w:cs="Times New Roman"/>
                <w:color w:val="000000"/>
              </w:rPr>
              <w:t>4C1</w:t>
            </w:r>
            <w:r>
              <w:rPr>
                <w:rFonts w:ascii="Times New Roman" w:eastAsia="Times New Roman" w:hAnsi="Times New Roman" w:cs="Times New Roman"/>
                <w:color w:val="000000"/>
              </w:rPr>
              <w:t>]: [</w:t>
            </w:r>
            <w:r w:rsidR="003E1D80">
              <w:rPr>
                <w:rFonts w:ascii="Times New Roman" w:eastAsia="Times New Roman" w:hAnsi="Times New Roman" w:cs="Times New Roman"/>
                <w:color w:val="000000"/>
              </w:rPr>
              <w:t>4C</w:t>
            </w:r>
            <w:r>
              <w:rPr>
                <w:rFonts w:ascii="Times New Roman" w:eastAsia="Times New Roman" w:hAnsi="Times New Roman" w:cs="Times New Roman"/>
                <w:color w:val="000000"/>
              </w:rPr>
              <w:t>] + 36-month US average</w:t>
            </w:r>
          </w:p>
        </w:tc>
        <w:tc>
          <w:tcPr>
            <w:tcW w:w="2520" w:type="dxa"/>
            <w:tcBorders>
              <w:left w:val="nil"/>
              <w:bottom w:val="nil"/>
              <w:right w:val="nil"/>
            </w:tcBorders>
            <w:shd w:val="clear" w:color="auto" w:fill="auto"/>
          </w:tcPr>
          <w:p w14:paraId="6334F6A5" w14:textId="7D4FAF22" w:rsidR="00DF0F5E"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0.09</w:t>
            </w:r>
            <w:r w:rsidR="00F9500C">
              <w:rPr>
                <w:rFonts w:ascii="Times New Roman" w:eastAsia="Times New Roman" w:hAnsi="Times New Roman" w:cs="Times New Roman"/>
                <w:color w:val="000000"/>
              </w:rPr>
              <w:t>09</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w:t>
            </w:r>
            <w:r w:rsidR="00F9500C">
              <w:rPr>
                <w:rFonts w:ascii="Times New Roman" w:eastAsia="Times New Roman" w:hAnsi="Times New Roman" w:cs="Times New Roman"/>
                <w:color w:val="000000"/>
              </w:rPr>
              <w:t>2</w:t>
            </w:r>
            <w:r w:rsidRPr="00031C85">
              <w:rPr>
                <w:rFonts w:ascii="Times New Roman" w:eastAsia="Times New Roman" w:hAnsi="Times New Roman" w:cs="Times New Roman"/>
                <w:color w:val="000000"/>
              </w:rPr>
              <w:t>)</w:t>
            </w:r>
          </w:p>
        </w:tc>
        <w:tc>
          <w:tcPr>
            <w:tcW w:w="2790" w:type="dxa"/>
            <w:tcBorders>
              <w:left w:val="nil"/>
              <w:bottom w:val="nil"/>
              <w:right w:val="nil"/>
            </w:tcBorders>
            <w:shd w:val="clear" w:color="auto" w:fill="auto"/>
          </w:tcPr>
          <w:p w14:paraId="01E709B0" w14:textId="667BB59D" w:rsidR="00DF0F5E"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5E02FF">
              <w:rPr>
                <w:rFonts w:ascii="Times New Roman" w:eastAsia="Times New Roman" w:hAnsi="Times New Roman" w:cs="Times New Roman"/>
                <w:color w:val="000000"/>
              </w:rPr>
              <w:t>8</w:t>
            </w:r>
            <w:r w:rsidR="00F9500C">
              <w:rPr>
                <w:rFonts w:ascii="Times New Roman" w:eastAsia="Times New Roman" w:hAnsi="Times New Roman" w:cs="Times New Roman"/>
                <w:color w:val="000000"/>
              </w:rPr>
              <w:t>14</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(0.0002</w:t>
            </w:r>
            <w:r w:rsidRPr="00031C85">
              <w:rPr>
                <w:rFonts w:ascii="Times New Roman" w:eastAsia="Times New Roman" w:hAnsi="Times New Roman" w:cs="Times New Roman"/>
                <w:color w:val="000000"/>
              </w:rPr>
              <w:t>)</w:t>
            </w:r>
          </w:p>
        </w:tc>
      </w:tr>
      <w:tr w:rsidR="00DF0F5E" w:rsidRPr="00031C85" w14:paraId="4D8706C0" w14:textId="77777777" w:rsidTr="001D7657">
        <w:trPr>
          <w:trHeight w:val="645"/>
        </w:trPr>
        <w:tc>
          <w:tcPr>
            <w:tcW w:w="3870" w:type="dxa"/>
            <w:tcBorders>
              <w:left w:val="nil"/>
              <w:bottom w:val="nil"/>
              <w:right w:val="nil"/>
            </w:tcBorders>
            <w:shd w:val="clear" w:color="auto" w:fill="auto"/>
          </w:tcPr>
          <w:p w14:paraId="0A9EFE08" w14:textId="59AF902B" w:rsidR="00DF0F5E" w:rsidRDefault="00DF0F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E1D80">
              <w:rPr>
                <w:rFonts w:ascii="Times New Roman" w:eastAsia="Times New Roman" w:hAnsi="Times New Roman" w:cs="Times New Roman"/>
                <w:color w:val="000000"/>
              </w:rPr>
              <w:t>4C2</w:t>
            </w:r>
            <w:r>
              <w:rPr>
                <w:rFonts w:ascii="Times New Roman" w:eastAsia="Times New Roman" w:hAnsi="Times New Roman" w:cs="Times New Roman"/>
                <w:color w:val="000000"/>
              </w:rPr>
              <w:t>]: [</w:t>
            </w:r>
            <w:r w:rsidR="003E1D80">
              <w:rPr>
                <w:rFonts w:ascii="Times New Roman" w:eastAsia="Times New Roman" w:hAnsi="Times New Roman" w:cs="Times New Roman"/>
                <w:color w:val="000000"/>
              </w:rPr>
              <w:t>4C</w:t>
            </w:r>
            <w:r>
              <w:rPr>
                <w:rFonts w:ascii="Times New Roman" w:eastAsia="Times New Roman" w:hAnsi="Times New Roman" w:cs="Times New Roman"/>
                <w:color w:val="000000"/>
              </w:rPr>
              <w:t>] + 48-month US average</w:t>
            </w:r>
          </w:p>
        </w:tc>
        <w:tc>
          <w:tcPr>
            <w:tcW w:w="2520" w:type="dxa"/>
            <w:tcBorders>
              <w:left w:val="nil"/>
              <w:bottom w:val="nil"/>
              <w:right w:val="nil"/>
            </w:tcBorders>
            <w:shd w:val="clear" w:color="auto" w:fill="auto"/>
          </w:tcPr>
          <w:p w14:paraId="10843C32" w14:textId="30159D6C" w:rsidR="00DF0F5E" w:rsidRDefault="00DF0F5E" w:rsidP="006F1C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r w:rsidR="00F9500C">
              <w:rPr>
                <w:rFonts w:ascii="Times New Roman" w:eastAsia="Times New Roman" w:hAnsi="Times New Roman" w:cs="Times New Roman"/>
                <w:color w:val="000000"/>
              </w:rPr>
              <w:t>0959</w:t>
            </w:r>
            <w:r>
              <w:rPr>
                <w:rFonts w:ascii="Times New Roman" w:eastAsia="Times New Roman" w:hAnsi="Times New Roman" w:cs="Times New Roman"/>
                <w:color w:val="000000"/>
              </w:rPr>
              <w:br/>
              <w:t>(0.000</w:t>
            </w:r>
            <w:r w:rsidR="00F9500C">
              <w:rPr>
                <w:rFonts w:ascii="Times New Roman" w:eastAsia="Times New Roman" w:hAnsi="Times New Roman" w:cs="Times New Roman"/>
                <w:color w:val="000000"/>
              </w:rPr>
              <w:t>2</w:t>
            </w:r>
            <w:r w:rsidRPr="00031C85">
              <w:rPr>
                <w:rFonts w:ascii="Times New Roman" w:eastAsia="Times New Roman" w:hAnsi="Times New Roman" w:cs="Times New Roman"/>
                <w:color w:val="000000"/>
              </w:rPr>
              <w:t>)</w:t>
            </w:r>
          </w:p>
        </w:tc>
        <w:tc>
          <w:tcPr>
            <w:tcW w:w="2790" w:type="dxa"/>
            <w:tcBorders>
              <w:left w:val="nil"/>
              <w:bottom w:val="nil"/>
              <w:right w:val="nil"/>
            </w:tcBorders>
            <w:shd w:val="clear" w:color="auto" w:fill="auto"/>
          </w:tcPr>
          <w:p w14:paraId="3C0601FC" w14:textId="1A0774C7" w:rsidR="00DF0F5E"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0.07</w:t>
            </w:r>
            <w:r w:rsidR="00F9500C">
              <w:rPr>
                <w:rFonts w:ascii="Times New Roman" w:eastAsia="Times New Roman" w:hAnsi="Times New Roman" w:cs="Times New Roman"/>
                <w:color w:val="000000"/>
              </w:rPr>
              <w:t>53</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(0.0002</w:t>
            </w:r>
            <w:r w:rsidRPr="00031C85">
              <w:rPr>
                <w:rFonts w:ascii="Times New Roman" w:eastAsia="Times New Roman" w:hAnsi="Times New Roman" w:cs="Times New Roman"/>
                <w:color w:val="000000"/>
              </w:rPr>
              <w:t>)</w:t>
            </w:r>
          </w:p>
        </w:tc>
      </w:tr>
      <w:tr w:rsidR="00DF0F5E" w:rsidRPr="00031C85" w14:paraId="45CF5E68" w14:textId="77777777" w:rsidTr="001D7657">
        <w:trPr>
          <w:trHeight w:val="645"/>
        </w:trPr>
        <w:tc>
          <w:tcPr>
            <w:tcW w:w="3870" w:type="dxa"/>
            <w:tcBorders>
              <w:left w:val="nil"/>
              <w:bottom w:val="nil"/>
              <w:right w:val="nil"/>
            </w:tcBorders>
            <w:shd w:val="clear" w:color="auto" w:fill="auto"/>
          </w:tcPr>
          <w:p w14:paraId="501AC44C" w14:textId="78C7396E" w:rsidR="00DF0F5E" w:rsidRDefault="00DF0F5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r w:rsidR="003E1D80">
              <w:rPr>
                <w:rFonts w:ascii="Times New Roman" w:eastAsia="Times New Roman" w:hAnsi="Times New Roman" w:cs="Times New Roman"/>
                <w:color w:val="000000"/>
              </w:rPr>
              <w:t>4C3</w:t>
            </w:r>
            <w:r>
              <w:rPr>
                <w:rFonts w:ascii="Times New Roman" w:eastAsia="Times New Roman" w:hAnsi="Times New Roman" w:cs="Times New Roman"/>
                <w:color w:val="000000"/>
              </w:rPr>
              <w:t>]: [</w:t>
            </w:r>
            <w:r w:rsidR="003E1D80">
              <w:rPr>
                <w:rFonts w:ascii="Times New Roman" w:eastAsia="Times New Roman" w:hAnsi="Times New Roman" w:cs="Times New Roman"/>
                <w:color w:val="000000"/>
              </w:rPr>
              <w:t>4C</w:t>
            </w:r>
            <w:r>
              <w:rPr>
                <w:rFonts w:ascii="Times New Roman" w:eastAsia="Times New Roman" w:hAnsi="Times New Roman" w:cs="Times New Roman"/>
                <w:color w:val="000000"/>
              </w:rPr>
              <w:t>] + 60-month US average</w:t>
            </w:r>
          </w:p>
        </w:tc>
        <w:tc>
          <w:tcPr>
            <w:tcW w:w="2520" w:type="dxa"/>
            <w:tcBorders>
              <w:left w:val="nil"/>
              <w:bottom w:val="nil"/>
              <w:right w:val="nil"/>
            </w:tcBorders>
            <w:shd w:val="clear" w:color="auto" w:fill="auto"/>
          </w:tcPr>
          <w:p w14:paraId="2DE97B91" w14:textId="0C6C3A55" w:rsidR="00DF0F5E"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0.10</w:t>
            </w:r>
            <w:r w:rsidR="00F9500C">
              <w:rPr>
                <w:rFonts w:ascii="Times New Roman" w:eastAsia="Times New Roman" w:hAnsi="Times New Roman" w:cs="Times New Roman"/>
                <w:color w:val="000000"/>
              </w:rPr>
              <w:t>07</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w:t>
            </w:r>
            <w:r w:rsidR="00F9500C">
              <w:rPr>
                <w:rFonts w:ascii="Times New Roman" w:eastAsia="Times New Roman" w:hAnsi="Times New Roman" w:cs="Times New Roman"/>
                <w:color w:val="000000"/>
              </w:rPr>
              <w:t>2</w:t>
            </w:r>
            <w:r w:rsidRPr="00031C85">
              <w:rPr>
                <w:rFonts w:ascii="Times New Roman" w:eastAsia="Times New Roman" w:hAnsi="Times New Roman" w:cs="Times New Roman"/>
                <w:color w:val="000000"/>
              </w:rPr>
              <w:t>)</w:t>
            </w:r>
          </w:p>
        </w:tc>
        <w:tc>
          <w:tcPr>
            <w:tcW w:w="2790" w:type="dxa"/>
            <w:tcBorders>
              <w:left w:val="nil"/>
              <w:bottom w:val="nil"/>
              <w:right w:val="nil"/>
            </w:tcBorders>
            <w:shd w:val="clear" w:color="auto" w:fill="auto"/>
          </w:tcPr>
          <w:p w14:paraId="713628FD" w14:textId="29F155A5" w:rsidR="00DF0F5E" w:rsidRDefault="00DF0F5E" w:rsidP="001D765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r w:rsidR="005E02FF">
              <w:rPr>
                <w:rFonts w:ascii="Times New Roman" w:eastAsia="Times New Roman" w:hAnsi="Times New Roman" w:cs="Times New Roman"/>
                <w:color w:val="000000"/>
              </w:rPr>
              <w:t>7</w:t>
            </w:r>
            <w:r w:rsidR="00F9500C">
              <w:rPr>
                <w:rFonts w:ascii="Times New Roman" w:eastAsia="Times New Roman" w:hAnsi="Times New Roman" w:cs="Times New Roman"/>
                <w:color w:val="000000"/>
              </w:rPr>
              <w:t>08</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(0.0002</w:t>
            </w:r>
            <w:r w:rsidRPr="00031C85">
              <w:rPr>
                <w:rFonts w:ascii="Times New Roman" w:eastAsia="Times New Roman" w:hAnsi="Times New Roman" w:cs="Times New Roman"/>
                <w:color w:val="000000"/>
              </w:rPr>
              <w:t>)</w:t>
            </w:r>
          </w:p>
        </w:tc>
      </w:tr>
      <w:tr w:rsidR="00DF0F5E" w:rsidRPr="00031C85" w14:paraId="507CE154" w14:textId="77777777" w:rsidTr="001D7657">
        <w:trPr>
          <w:trHeight w:val="360"/>
        </w:trPr>
        <w:tc>
          <w:tcPr>
            <w:tcW w:w="3870" w:type="dxa"/>
            <w:tcBorders>
              <w:top w:val="nil"/>
              <w:left w:val="nil"/>
              <w:bottom w:val="nil"/>
              <w:right w:val="nil"/>
            </w:tcBorders>
            <w:shd w:val="clear" w:color="auto" w:fill="auto"/>
            <w:hideMark/>
          </w:tcPr>
          <w:p w14:paraId="3F659638" w14:textId="77777777" w:rsidR="00DF0F5E" w:rsidRPr="00031C85" w:rsidRDefault="00DF0F5E" w:rsidP="001D7657">
            <w:pPr>
              <w:spacing w:after="0" w:line="240" w:lineRule="auto"/>
              <w:rPr>
                <w:rFonts w:ascii="Times New Roman" w:eastAsia="Times New Roman" w:hAnsi="Times New Roman" w:cs="Times New Roman"/>
                <w:color w:val="000000"/>
              </w:rPr>
            </w:pPr>
            <w:r w:rsidRPr="00031C85">
              <w:rPr>
                <w:rFonts w:ascii="Times New Roman" w:eastAsia="Times New Roman" w:hAnsi="Times New Roman" w:cs="Times New Roman"/>
                <w:color w:val="000000"/>
              </w:rPr>
              <w:t>County Fixed Effects</w:t>
            </w:r>
          </w:p>
        </w:tc>
        <w:tc>
          <w:tcPr>
            <w:tcW w:w="2520" w:type="dxa"/>
            <w:tcBorders>
              <w:top w:val="nil"/>
              <w:left w:val="nil"/>
              <w:bottom w:val="nil"/>
              <w:right w:val="nil"/>
            </w:tcBorders>
            <w:shd w:val="clear" w:color="auto" w:fill="auto"/>
            <w:noWrap/>
            <w:hideMark/>
          </w:tcPr>
          <w:p w14:paraId="3740C566" w14:textId="77777777" w:rsidR="00DF0F5E" w:rsidRPr="00025F73" w:rsidRDefault="00DF0F5E" w:rsidP="001D7657">
            <w:pPr>
              <w:spacing w:after="0" w:line="240" w:lineRule="auto"/>
              <w:jc w:val="center"/>
              <w:rPr>
                <w:rFonts w:ascii="Times New Roman" w:eastAsia="Times New Roman" w:hAnsi="Times New Roman" w:cs="Times New Roman"/>
                <w:color w:val="000000"/>
              </w:rPr>
            </w:pPr>
            <w:r w:rsidRPr="00025F73">
              <w:rPr>
                <w:rFonts w:ascii="Times New Roman" w:eastAsia="Times New Roman" w:hAnsi="Times New Roman" w:cs="Times New Roman"/>
                <w:color w:val="000000"/>
              </w:rPr>
              <w:t>X</w:t>
            </w:r>
          </w:p>
        </w:tc>
        <w:tc>
          <w:tcPr>
            <w:tcW w:w="2790" w:type="dxa"/>
            <w:tcBorders>
              <w:top w:val="nil"/>
              <w:left w:val="nil"/>
              <w:bottom w:val="nil"/>
              <w:right w:val="nil"/>
            </w:tcBorders>
            <w:shd w:val="clear" w:color="auto" w:fill="auto"/>
            <w:noWrap/>
            <w:hideMark/>
          </w:tcPr>
          <w:p w14:paraId="4AE1B8D7" w14:textId="77777777" w:rsidR="00DF0F5E" w:rsidRPr="00025F73" w:rsidRDefault="00DF0F5E" w:rsidP="001D7657">
            <w:pPr>
              <w:spacing w:after="0" w:line="240" w:lineRule="auto"/>
              <w:jc w:val="center"/>
              <w:rPr>
                <w:rFonts w:ascii="Times New Roman" w:eastAsia="Times New Roman" w:hAnsi="Times New Roman" w:cs="Times New Roman"/>
                <w:color w:val="000000"/>
              </w:rPr>
            </w:pPr>
            <w:r w:rsidRPr="00025F73">
              <w:rPr>
                <w:rFonts w:ascii="Times New Roman" w:eastAsia="Times New Roman" w:hAnsi="Times New Roman" w:cs="Times New Roman"/>
                <w:color w:val="000000"/>
              </w:rPr>
              <w:t>X</w:t>
            </w:r>
          </w:p>
        </w:tc>
      </w:tr>
      <w:tr w:rsidR="00DF0F5E" w:rsidRPr="00031C85" w14:paraId="056EEBEA" w14:textId="77777777" w:rsidTr="001D7657">
        <w:trPr>
          <w:trHeight w:val="351"/>
        </w:trPr>
        <w:tc>
          <w:tcPr>
            <w:tcW w:w="3870" w:type="dxa"/>
            <w:tcBorders>
              <w:top w:val="nil"/>
              <w:left w:val="nil"/>
              <w:right w:val="nil"/>
            </w:tcBorders>
            <w:shd w:val="clear" w:color="auto" w:fill="auto"/>
            <w:hideMark/>
          </w:tcPr>
          <w:p w14:paraId="61DD2975" w14:textId="77777777" w:rsidR="00DF0F5E" w:rsidRPr="00031C85" w:rsidRDefault="00DF0F5E" w:rsidP="001D7657">
            <w:pPr>
              <w:spacing w:after="0" w:line="240" w:lineRule="auto"/>
              <w:rPr>
                <w:rFonts w:ascii="Times New Roman" w:eastAsia="Times New Roman" w:hAnsi="Times New Roman" w:cs="Times New Roman"/>
                <w:color w:val="000000"/>
              </w:rPr>
            </w:pPr>
            <w:r w:rsidRPr="00031C85">
              <w:rPr>
                <w:rFonts w:ascii="Times New Roman" w:eastAsia="Times New Roman" w:hAnsi="Times New Roman" w:cs="Times New Roman"/>
                <w:color w:val="000000"/>
              </w:rPr>
              <w:t>Year-Month Fixed Effects</w:t>
            </w:r>
          </w:p>
        </w:tc>
        <w:tc>
          <w:tcPr>
            <w:tcW w:w="2520" w:type="dxa"/>
            <w:tcBorders>
              <w:top w:val="nil"/>
              <w:left w:val="nil"/>
              <w:right w:val="nil"/>
            </w:tcBorders>
            <w:shd w:val="clear" w:color="auto" w:fill="auto"/>
            <w:noWrap/>
            <w:hideMark/>
          </w:tcPr>
          <w:p w14:paraId="7C8C5474" w14:textId="77777777" w:rsidR="00DF0F5E" w:rsidRPr="00025F73" w:rsidRDefault="00DF0F5E" w:rsidP="001D7657">
            <w:pPr>
              <w:spacing w:after="0" w:line="240" w:lineRule="auto"/>
              <w:jc w:val="center"/>
              <w:rPr>
                <w:rFonts w:ascii="Times New Roman" w:eastAsia="Times New Roman" w:hAnsi="Times New Roman" w:cs="Times New Roman"/>
                <w:color w:val="000000"/>
              </w:rPr>
            </w:pPr>
            <w:r w:rsidRPr="00025F73">
              <w:rPr>
                <w:rFonts w:ascii="Times New Roman" w:eastAsia="Times New Roman" w:hAnsi="Times New Roman" w:cs="Times New Roman"/>
                <w:color w:val="000000"/>
              </w:rPr>
              <w:t>—</w:t>
            </w:r>
          </w:p>
        </w:tc>
        <w:tc>
          <w:tcPr>
            <w:tcW w:w="2790" w:type="dxa"/>
            <w:tcBorders>
              <w:top w:val="nil"/>
              <w:left w:val="nil"/>
              <w:right w:val="nil"/>
            </w:tcBorders>
            <w:shd w:val="clear" w:color="auto" w:fill="auto"/>
            <w:noWrap/>
            <w:hideMark/>
          </w:tcPr>
          <w:p w14:paraId="2E90D603" w14:textId="77777777" w:rsidR="00DF0F5E" w:rsidRPr="00025F73" w:rsidRDefault="00DF0F5E" w:rsidP="001D7657">
            <w:pPr>
              <w:spacing w:after="0" w:line="240" w:lineRule="auto"/>
              <w:jc w:val="center"/>
              <w:rPr>
                <w:rFonts w:ascii="Times New Roman" w:eastAsia="Times New Roman" w:hAnsi="Times New Roman" w:cs="Times New Roman"/>
                <w:color w:val="000000"/>
              </w:rPr>
            </w:pPr>
            <w:r w:rsidRPr="00025F73">
              <w:rPr>
                <w:rFonts w:ascii="Times New Roman" w:eastAsia="Times New Roman" w:hAnsi="Times New Roman" w:cs="Times New Roman"/>
                <w:color w:val="000000"/>
              </w:rPr>
              <w:t>X</w:t>
            </w:r>
          </w:p>
        </w:tc>
      </w:tr>
      <w:tr w:rsidR="00DF0F5E" w:rsidRPr="00031C85" w14:paraId="2A05B23D" w14:textId="77777777" w:rsidTr="001D7657">
        <w:trPr>
          <w:trHeight w:val="369"/>
        </w:trPr>
        <w:tc>
          <w:tcPr>
            <w:tcW w:w="3870" w:type="dxa"/>
            <w:tcBorders>
              <w:top w:val="nil"/>
              <w:left w:val="nil"/>
              <w:bottom w:val="single" w:sz="4" w:space="0" w:color="auto"/>
              <w:right w:val="nil"/>
            </w:tcBorders>
            <w:shd w:val="clear" w:color="auto" w:fill="auto"/>
          </w:tcPr>
          <w:p w14:paraId="0B5D13AD" w14:textId="77777777" w:rsidR="00DF0F5E" w:rsidRPr="00031C85" w:rsidRDefault="00DF0F5E" w:rsidP="001D765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Observations: County-months</w:t>
            </w:r>
          </w:p>
        </w:tc>
        <w:tc>
          <w:tcPr>
            <w:tcW w:w="2520" w:type="dxa"/>
            <w:tcBorders>
              <w:top w:val="nil"/>
              <w:left w:val="nil"/>
              <w:bottom w:val="single" w:sz="4" w:space="0" w:color="auto"/>
              <w:right w:val="nil"/>
            </w:tcBorders>
            <w:shd w:val="clear" w:color="auto" w:fill="auto"/>
            <w:noWrap/>
          </w:tcPr>
          <w:p w14:paraId="0CC89903" w14:textId="77777777" w:rsidR="00DF0F5E" w:rsidRPr="00025F73" w:rsidRDefault="00DF0F5E" w:rsidP="001D7657">
            <w:pPr>
              <w:spacing w:after="0" w:line="240" w:lineRule="auto"/>
              <w:jc w:val="center"/>
              <w:rPr>
                <w:rFonts w:ascii="Times New Roman" w:eastAsia="Times New Roman" w:hAnsi="Times New Roman" w:cs="Times New Roman"/>
                <w:color w:val="000000"/>
              </w:rPr>
            </w:pPr>
            <w:r w:rsidRPr="00025F73">
              <w:rPr>
                <w:rFonts w:ascii="Times New Roman" w:eastAsia="Times New Roman" w:hAnsi="Times New Roman" w:cs="Times New Roman"/>
                <w:color w:val="000000"/>
              </w:rPr>
              <w:t>1,016,</w:t>
            </w:r>
            <w:r>
              <w:rPr>
                <w:rFonts w:ascii="Times New Roman" w:eastAsia="Times New Roman" w:hAnsi="Times New Roman" w:cs="Times New Roman"/>
                <w:color w:val="000000"/>
              </w:rPr>
              <w:t>474</w:t>
            </w:r>
          </w:p>
        </w:tc>
        <w:tc>
          <w:tcPr>
            <w:tcW w:w="2790" w:type="dxa"/>
            <w:tcBorders>
              <w:top w:val="nil"/>
              <w:left w:val="nil"/>
              <w:bottom w:val="single" w:sz="4" w:space="0" w:color="auto"/>
              <w:right w:val="nil"/>
            </w:tcBorders>
            <w:shd w:val="clear" w:color="auto" w:fill="auto"/>
            <w:noWrap/>
          </w:tcPr>
          <w:p w14:paraId="06A2AE4F" w14:textId="77777777" w:rsidR="00DF0F5E" w:rsidRPr="00025F73" w:rsidRDefault="00DF0F5E" w:rsidP="001D7657">
            <w:pPr>
              <w:spacing w:after="0" w:line="240" w:lineRule="auto"/>
              <w:jc w:val="center"/>
              <w:rPr>
                <w:rFonts w:ascii="Times New Roman" w:eastAsia="Times New Roman" w:hAnsi="Times New Roman" w:cs="Times New Roman"/>
                <w:color w:val="000000"/>
              </w:rPr>
            </w:pPr>
            <w:r w:rsidRPr="00025F73">
              <w:rPr>
                <w:rFonts w:ascii="Times New Roman" w:eastAsia="Times New Roman" w:hAnsi="Times New Roman" w:cs="Times New Roman"/>
                <w:color w:val="000000"/>
              </w:rPr>
              <w:t>1,016,</w:t>
            </w:r>
            <w:r>
              <w:rPr>
                <w:rFonts w:ascii="Times New Roman" w:eastAsia="Times New Roman" w:hAnsi="Times New Roman" w:cs="Times New Roman"/>
                <w:color w:val="000000"/>
              </w:rPr>
              <w:t>474</w:t>
            </w:r>
          </w:p>
        </w:tc>
      </w:tr>
    </w:tbl>
    <w:p w14:paraId="3793A813" w14:textId="4EF772D4" w:rsidR="00DF0F5E" w:rsidRDefault="00DF0F5E" w:rsidP="00DF0F5E">
      <w:pPr>
        <w:spacing w:after="0" w:line="240" w:lineRule="auto"/>
        <w:rPr>
          <w:rFonts w:ascii="Times New Roman" w:eastAsia="Times New Roman" w:hAnsi="Times New Roman" w:cs="Times New Roman"/>
          <w:color w:val="000000"/>
          <w:sz w:val="16"/>
          <w:szCs w:val="16"/>
        </w:rPr>
      </w:pPr>
      <w:r w:rsidRPr="0043132D">
        <w:rPr>
          <w:rFonts w:ascii="Times New Roman" w:eastAsia="Times New Roman" w:hAnsi="Times New Roman" w:cs="Times New Roman"/>
          <w:color w:val="000000"/>
          <w:sz w:val="20"/>
          <w:szCs w:val="20"/>
        </w:rPr>
        <w:t xml:space="preserve">Notes: </w:t>
      </w:r>
      <w:r>
        <w:rPr>
          <w:rFonts w:ascii="Times New Roman" w:eastAsia="Times New Roman" w:hAnsi="Times New Roman" w:cs="Times New Roman"/>
          <w:color w:val="000000"/>
          <w:sz w:val="20"/>
          <w:szCs w:val="20"/>
        </w:rPr>
        <w:t>Table reports Ordinary Least Squares regression coefficients corresponding to the county unemployment rate. Standard errors in parentheses. Dependent variable is an indicator equal to one if a county is eligible for a waiver in a given county and month. Observations are weighted by county population</w:t>
      </w:r>
      <w:r w:rsidRPr="0043132D">
        <w:rPr>
          <w:rFonts w:ascii="Times New Roman" w:eastAsia="Times New Roman" w:hAnsi="Times New Roman" w:cs="Times New Roman"/>
          <w:color w:val="000000"/>
          <w:sz w:val="20"/>
          <w:szCs w:val="20"/>
        </w:rPr>
        <w:t xml:space="preserve">. All models rely on </w:t>
      </w:r>
      <w:r>
        <w:rPr>
          <w:rFonts w:ascii="Times New Roman" w:eastAsia="Times New Roman" w:hAnsi="Times New Roman" w:cs="Times New Roman"/>
          <w:color w:val="000000"/>
          <w:sz w:val="20"/>
          <w:szCs w:val="20"/>
        </w:rPr>
        <w:t>2010</w:t>
      </w:r>
      <w:r w:rsidRPr="0043132D">
        <w:rPr>
          <w:rFonts w:ascii="Times New Roman" w:eastAsia="Times New Roman" w:hAnsi="Times New Roman" w:cs="Times New Roman"/>
          <w:color w:val="000000"/>
          <w:sz w:val="20"/>
          <w:szCs w:val="20"/>
        </w:rPr>
        <w:t xml:space="preserve"> county populations</w:t>
      </w:r>
      <w:r w:rsidR="003E1D80">
        <w:rPr>
          <w:rFonts w:ascii="Times New Roman" w:eastAsia="Times New Roman" w:hAnsi="Times New Roman" w:cs="Times New Roman"/>
          <w:color w:val="000000"/>
          <w:sz w:val="20"/>
          <w:szCs w:val="20"/>
        </w:rPr>
        <w:t xml:space="preserve"> as weights</w:t>
      </w:r>
      <w:r w:rsidRPr="0043132D">
        <w:rPr>
          <w:rFonts w:ascii="Times New Roman" w:eastAsia="Times New Roman" w:hAnsi="Times New Roman" w:cs="Times New Roman"/>
          <w:color w:val="000000"/>
          <w:sz w:val="20"/>
          <w:szCs w:val="20"/>
        </w:rPr>
        <w:t>.</w:t>
      </w:r>
      <w:r w:rsidRPr="00031C85">
        <w:rPr>
          <w:rFonts w:ascii="Times New Roman" w:eastAsia="Times New Roman" w:hAnsi="Times New Roman" w:cs="Times New Roman"/>
          <w:color w:val="000000"/>
          <w:sz w:val="16"/>
          <w:szCs w:val="16"/>
        </w:rPr>
        <w:t xml:space="preserve"> </w:t>
      </w:r>
      <w:r w:rsidR="00FB06AB">
        <w:rPr>
          <w:rFonts w:ascii="Times New Roman" w:hAnsi="Times New Roman" w:cs="Times New Roman"/>
          <w:sz w:val="20"/>
          <w:szCs w:val="20"/>
        </w:rPr>
        <w:t>Under the 2019 final rule, a 24-month average is used for the Labor Market Area unemployment rate. Each of the simulations eliminate Extended Unemployment Benefits criterion, prohibit grouping, impose a 6 percent unemployment rate floor for the 20 percent rule, and switch to the Labor Market Area as the geographic unit of analysis.</w:t>
      </w:r>
    </w:p>
    <w:p w14:paraId="36A3B98B" w14:textId="3F001C87" w:rsidR="00220CFA" w:rsidRDefault="00DF0F5E" w:rsidP="00DF0F5E">
      <w:pPr>
        <w:spacing w:line="240" w:lineRule="auto"/>
        <w:rPr>
          <w:rFonts w:ascii="Times New Roman" w:hAnsi="Times New Roman" w:cs="Times New Roman"/>
          <w:sz w:val="20"/>
          <w:szCs w:val="20"/>
        </w:rPr>
      </w:pPr>
      <w:r>
        <w:rPr>
          <w:rFonts w:ascii="Times New Roman" w:hAnsi="Times New Roman" w:cs="Times New Roman"/>
          <w:sz w:val="20"/>
          <w:szCs w:val="20"/>
        </w:rPr>
        <w:t xml:space="preserve">Sources: United States Department of Agriculture; Bureau of Labor Statistics Local Area Unemployment Statistics; </w:t>
      </w:r>
      <w:r w:rsidR="005E02FF">
        <w:rPr>
          <w:rFonts w:ascii="Times New Roman" w:hAnsi="Times New Roman" w:cs="Times New Roman"/>
          <w:sz w:val="20"/>
          <w:szCs w:val="20"/>
        </w:rPr>
        <w:t xml:space="preserve">Department of Labor; </w:t>
      </w:r>
      <w:r>
        <w:rPr>
          <w:rFonts w:ascii="Times New Roman" w:hAnsi="Times New Roman" w:cs="Times New Roman"/>
          <w:sz w:val="20"/>
          <w:szCs w:val="20"/>
        </w:rPr>
        <w:t xml:space="preserve">Authors’ calculations. </w:t>
      </w:r>
    </w:p>
    <w:p w14:paraId="025343CF" w14:textId="77777777" w:rsidR="00220CFA" w:rsidRDefault="00220CFA">
      <w:pPr>
        <w:rPr>
          <w:rFonts w:ascii="Times New Roman" w:hAnsi="Times New Roman" w:cs="Times New Roman"/>
          <w:sz w:val="20"/>
          <w:szCs w:val="20"/>
        </w:rPr>
      </w:pPr>
      <w:r>
        <w:rPr>
          <w:rFonts w:ascii="Times New Roman" w:hAnsi="Times New Roman" w:cs="Times New Roman"/>
          <w:sz w:val="20"/>
          <w:szCs w:val="20"/>
        </w:rPr>
        <w:br w:type="page"/>
      </w:r>
    </w:p>
    <w:p w14:paraId="3F717A0F" w14:textId="77777777" w:rsidR="00220CFA" w:rsidRDefault="00220CFA" w:rsidP="00220CFA">
      <w:pPr>
        <w:spacing w:before="120" w:after="120" w:line="360" w:lineRule="auto"/>
        <w:rPr>
          <w:rFonts w:ascii="Times New Roman" w:hAnsi="Times New Roman" w:cs="Times New Roman"/>
          <w:b/>
          <w:sz w:val="28"/>
          <w:szCs w:val="28"/>
        </w:rPr>
      </w:pPr>
      <w:r>
        <w:rPr>
          <w:rFonts w:ascii="Times New Roman" w:hAnsi="Times New Roman" w:cs="Times New Roman"/>
          <w:b/>
          <w:sz w:val="28"/>
          <w:szCs w:val="28"/>
        </w:rPr>
        <w:lastRenderedPageBreak/>
        <w:t>Appendix B. Grouping Algorithm Description</w:t>
      </w:r>
    </w:p>
    <w:p w14:paraId="7F645EEC"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In this appendix, we describe our methodology for simulating waiver eligibility under policies that permit states to group contiguous counties into a single area. </w:t>
      </w:r>
    </w:p>
    <w:p w14:paraId="489A7CE5"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There are many possible ways for a state to group counties, and maximizing the number of counties waived sometimes requires forming multiple groups. As an illustration, we consider three simple examples in Figure B1 below. In each of the three scenarios, we assume that there is a state with five counties, each with equal population. For each county </w:t>
      </w:r>
      <m:oMath>
        <m:r>
          <w:rPr>
            <w:rFonts w:ascii="Cambria Math" w:hAnsi="Cambria Math" w:cs="Times New Roman"/>
            <w:sz w:val="24"/>
            <w:szCs w:val="24"/>
          </w:rPr>
          <m:t>i∈{1, 2, 3, 4, 5}</m:t>
        </m:r>
      </m:oMath>
      <w:r>
        <w:rPr>
          <w:rFonts w:ascii="Times New Roman" w:eastAsiaTheme="minorEastAsia" w:hAnsi="Times New Roman" w:cs="Times New Roman"/>
          <w:sz w:val="24"/>
          <w:szCs w:val="24"/>
        </w:rPr>
        <w:t xml:space="preserve">, its unemployment rate is assumed equal to </w:t>
      </w:r>
      <m:oMath>
        <m:r>
          <w:rPr>
            <w:rFonts w:ascii="Cambria Math" w:hAnsi="Cambria Math" w:cs="Times New Roman"/>
            <w:sz w:val="24"/>
            <w:szCs w:val="24"/>
          </w:rPr>
          <m:t>i</m:t>
        </m:r>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For simplicity, we assume that a county or group of counties must have an unemployment rate of at least 3.5 percent to qualify for a waiver. Figure B1 illustrates three different configurations of counties that would require different grouping strategies to maximize waiver coverage. Each hexagon represents a county, and all five hexagons represent all counties in one state. In Scenario A, the state would maximize waiver coverage by creating a single group consisting of counties 2, 3, 4, and 5. In this scenario, the group would be eligible for a waiver because its average unemployment rate is 3.5 percent. In Scenario B, the state would maximize waiver coverage by creating two groups, one that includes counties 2 and 5 and another that includes counties 3 and 4—both of which would have an average unemployment rate of 3.5 percent. Lastly, in Scenario C, the state could only waive counties 4 and 5 </w:t>
      </w:r>
      <w:proofErr w:type="gramStart"/>
      <w:r>
        <w:rPr>
          <w:rFonts w:ascii="Times New Roman" w:hAnsi="Times New Roman" w:cs="Times New Roman"/>
          <w:sz w:val="24"/>
          <w:szCs w:val="24"/>
        </w:rPr>
        <w:t>separately, and</w:t>
      </w:r>
      <w:proofErr w:type="gramEnd"/>
      <w:r>
        <w:rPr>
          <w:rFonts w:ascii="Times New Roman" w:hAnsi="Times New Roman" w:cs="Times New Roman"/>
          <w:sz w:val="24"/>
          <w:szCs w:val="24"/>
        </w:rPr>
        <w:t xml:space="preserve"> could not group any counties that would individually be ineligible for a waiver. Therefore, even in this simple example of a five-county state, waiver coverage could be maximized by creating zero, one, or two contiguous groups of counties depending on the configuration of counties within the state. </w:t>
      </w:r>
    </w:p>
    <w:p w14:paraId="69B62C17"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In each of these examples, determining the grouping strategy that maximizes waiver coverage is relatively straightforward, because it is possible to test all of the possible combinations of contiguous counties that could qualify for a waiver, and select the grouping strategy that maximizes waiver coverage. However, in reality, states contain dozens or even hundreds of counties, each with a unique set of borders. Therefore, it is not practical to test all possible combinations of contiguous counties to determine the state’s grouping strategy that maximizes waiver coverage. Instead, we develop an algorithm that can be applied to all states to simulate grouping. While it does not necessarily maximize waiver coverage in all scenarios, we view it as a natural approach that states seeking to waive a large number of counties might implement. </w:t>
      </w:r>
    </w:p>
    <w:p w14:paraId="0CC65277" w14:textId="77777777" w:rsidR="00220CFA" w:rsidRPr="009B0543"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Figure B1.</w:t>
      </w:r>
      <w:r w:rsidRPr="00EF1079">
        <w:rPr>
          <w:rFonts w:ascii="Times New Roman" w:hAnsi="Times New Roman" w:cs="Times New Roman"/>
          <w:b/>
          <w:sz w:val="24"/>
          <w:szCs w:val="24"/>
        </w:rPr>
        <w:t xml:space="preserve"> </w:t>
      </w:r>
      <w:r>
        <w:rPr>
          <w:rFonts w:ascii="Times New Roman" w:hAnsi="Times New Roman" w:cs="Times New Roman"/>
          <w:b/>
          <w:sz w:val="24"/>
          <w:szCs w:val="24"/>
        </w:rPr>
        <w:t>Hypothetical Grouping Decisions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3365"/>
        <w:gridCol w:w="3100"/>
      </w:tblGrid>
      <w:tr w:rsidR="00220CFA" w14:paraId="30949F12" w14:textId="77777777" w:rsidTr="008A4C8B">
        <w:tc>
          <w:tcPr>
            <w:tcW w:w="3090" w:type="dxa"/>
            <w:hideMark/>
          </w:tcPr>
          <w:p w14:paraId="2F56461F" w14:textId="77777777" w:rsidR="00220CFA" w:rsidRDefault="00220CFA" w:rsidP="008A4C8B">
            <w:pPr>
              <w:jc w:val="center"/>
              <w:rPr>
                <w:rFonts w:ascii="Times New Roman" w:hAnsi="Times New Roman" w:cs="Times New Roman"/>
                <w:b/>
                <w:sz w:val="24"/>
                <w:szCs w:val="24"/>
              </w:rPr>
            </w:pPr>
            <w:r>
              <w:rPr>
                <w:rFonts w:ascii="Times New Roman" w:hAnsi="Times New Roman" w:cs="Times New Roman"/>
                <w:b/>
                <w:sz w:val="24"/>
                <w:szCs w:val="24"/>
              </w:rPr>
              <w:t>Scenario A</w:t>
            </w:r>
          </w:p>
        </w:tc>
        <w:tc>
          <w:tcPr>
            <w:tcW w:w="3115" w:type="dxa"/>
            <w:hideMark/>
          </w:tcPr>
          <w:p w14:paraId="1BCCD128" w14:textId="77777777" w:rsidR="00220CFA" w:rsidRDefault="00220CFA" w:rsidP="008A4C8B">
            <w:pPr>
              <w:jc w:val="center"/>
              <w:rPr>
                <w:rFonts w:ascii="Times New Roman" w:hAnsi="Times New Roman" w:cs="Times New Roman"/>
                <w:b/>
                <w:sz w:val="24"/>
                <w:szCs w:val="24"/>
              </w:rPr>
            </w:pPr>
            <w:r>
              <w:rPr>
                <w:rFonts w:ascii="Times New Roman" w:hAnsi="Times New Roman" w:cs="Times New Roman"/>
                <w:b/>
                <w:sz w:val="24"/>
                <w:szCs w:val="24"/>
              </w:rPr>
              <w:t>Scenario B</w:t>
            </w:r>
          </w:p>
        </w:tc>
        <w:tc>
          <w:tcPr>
            <w:tcW w:w="3145" w:type="dxa"/>
            <w:hideMark/>
          </w:tcPr>
          <w:p w14:paraId="1B80A05C" w14:textId="77777777" w:rsidR="00220CFA" w:rsidRDefault="00220CFA" w:rsidP="008A4C8B">
            <w:pPr>
              <w:jc w:val="center"/>
              <w:rPr>
                <w:rFonts w:ascii="Times New Roman" w:hAnsi="Times New Roman" w:cs="Times New Roman"/>
                <w:b/>
                <w:sz w:val="24"/>
                <w:szCs w:val="24"/>
              </w:rPr>
            </w:pPr>
            <w:r>
              <w:rPr>
                <w:rFonts w:ascii="Times New Roman" w:hAnsi="Times New Roman" w:cs="Times New Roman"/>
                <w:b/>
                <w:sz w:val="24"/>
                <w:szCs w:val="24"/>
              </w:rPr>
              <w:t>Scenario C</w:t>
            </w:r>
          </w:p>
        </w:tc>
      </w:tr>
      <w:tr w:rsidR="00220CFA" w14:paraId="74C1562B" w14:textId="77777777" w:rsidTr="008A4C8B">
        <w:tc>
          <w:tcPr>
            <w:tcW w:w="3090" w:type="dxa"/>
            <w:hideMark/>
          </w:tcPr>
          <w:p w14:paraId="50A7517A" w14:textId="77777777" w:rsidR="00220CFA" w:rsidRDefault="00220CFA" w:rsidP="008A4C8B">
            <w:r>
              <w:rPr>
                <w:rFonts w:ascii="Times New Roman" w:hAnsi="Times New Roman" w:cs="Times New Roman"/>
                <w:noProof/>
                <w:sz w:val="24"/>
                <w:szCs w:val="24"/>
              </w:rPr>
              <w:drawing>
                <wp:inline distT="0" distB="0" distL="0" distR="0" wp14:anchorId="537D3FA8" wp14:editId="06FFF6E9">
                  <wp:extent cx="1714500" cy="1257300"/>
                  <wp:effectExtent l="0" t="19050" r="19050" b="3810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c>
          <w:tcPr>
            <w:tcW w:w="3115" w:type="dxa"/>
            <w:hideMark/>
          </w:tcPr>
          <w:p w14:paraId="3DED8A4A" w14:textId="77777777" w:rsidR="00220CFA" w:rsidRDefault="00220CFA" w:rsidP="008A4C8B">
            <w:r>
              <w:rPr>
                <w:rFonts w:ascii="Times New Roman" w:hAnsi="Times New Roman" w:cs="Times New Roman"/>
                <w:noProof/>
                <w:sz w:val="24"/>
                <w:szCs w:val="24"/>
              </w:rPr>
              <w:drawing>
                <wp:inline distT="0" distB="0" distL="0" distR="0" wp14:anchorId="24B00B2F" wp14:editId="10A9C8F1">
                  <wp:extent cx="2019300" cy="1104900"/>
                  <wp:effectExtent l="0" t="0" r="19050" b="3810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c>
        <w:tc>
          <w:tcPr>
            <w:tcW w:w="3145" w:type="dxa"/>
            <w:hideMark/>
          </w:tcPr>
          <w:p w14:paraId="5CDF11F9" w14:textId="77777777" w:rsidR="00220CFA" w:rsidRDefault="00220CFA" w:rsidP="008A4C8B">
            <w:r>
              <w:rPr>
                <w:rFonts w:ascii="Times New Roman" w:hAnsi="Times New Roman" w:cs="Times New Roman"/>
                <w:noProof/>
                <w:sz w:val="24"/>
                <w:szCs w:val="24"/>
              </w:rPr>
              <w:drawing>
                <wp:inline distT="0" distB="0" distL="0" distR="0" wp14:anchorId="5C8E883C" wp14:editId="630D58F6">
                  <wp:extent cx="1847850" cy="1514475"/>
                  <wp:effectExtent l="0" t="0" r="19050" b="28575"/>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bl>
    <w:p w14:paraId="3813B239" w14:textId="77777777" w:rsidR="00220CFA" w:rsidRDefault="00220CFA" w:rsidP="00220CFA">
      <w:pPr>
        <w:spacing w:before="120" w:after="120" w:line="240" w:lineRule="auto"/>
        <w:contextualSpacing/>
        <w:rPr>
          <w:rFonts w:ascii="Times New Roman" w:hAnsi="Times New Roman" w:cs="Times New Roman"/>
          <w:sz w:val="20"/>
          <w:szCs w:val="20"/>
        </w:rPr>
      </w:pPr>
      <w:r>
        <w:rPr>
          <w:rFonts w:ascii="Times New Roman" w:hAnsi="Times New Roman" w:cs="Times New Roman"/>
          <w:sz w:val="20"/>
          <w:szCs w:val="20"/>
        </w:rPr>
        <w:t>Notes: Each scenario depicts an arrangement of counties within a given state. County numbers 1 through 5 also represent the counties’ unemployment rates, such that County 1 has an unemployment rate of 1 percent, County 2 has an unemployment rate of 2 percent, etc. In order to qualify for a waiver, a county—or group of contiguous counties—must have an unemployment rate of 3.5 percent or higher.</w:t>
      </w:r>
    </w:p>
    <w:p w14:paraId="66A8FF42" w14:textId="77777777" w:rsidR="00220CFA" w:rsidRDefault="00220CFA" w:rsidP="00220CFA">
      <w:pPr>
        <w:spacing w:before="120" w:after="120" w:line="360" w:lineRule="auto"/>
        <w:contextualSpacing/>
        <w:rPr>
          <w:rFonts w:ascii="Times New Roman" w:hAnsi="Times New Roman" w:cs="Times New Roman"/>
          <w:sz w:val="20"/>
          <w:szCs w:val="20"/>
        </w:rPr>
      </w:pPr>
    </w:p>
    <w:p w14:paraId="7C557CE9"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The algorithm proceeds as follows:  </w:t>
      </w:r>
    </w:p>
    <w:p w14:paraId="76A5F319" w14:textId="77777777" w:rsidR="00220CFA" w:rsidRDefault="00220CFA" w:rsidP="00220CFA">
      <w:pPr>
        <w:pStyle w:val="ListParagraph"/>
        <w:numPr>
          <w:ilvl w:val="0"/>
          <w:numId w:val="13"/>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Identify the highest unemployment county in the state. If its unemployment rate is less than the threshold, the group is </w:t>
      </w:r>
      <w:proofErr w:type="gramStart"/>
      <w:r>
        <w:rPr>
          <w:rFonts w:ascii="Times New Roman" w:hAnsi="Times New Roman" w:cs="Times New Roman"/>
          <w:sz w:val="24"/>
          <w:szCs w:val="24"/>
        </w:rPr>
        <w:t>empty</w:t>
      </w:r>
      <w:proofErr w:type="gramEnd"/>
      <w:r>
        <w:rPr>
          <w:rFonts w:ascii="Times New Roman" w:hAnsi="Times New Roman" w:cs="Times New Roman"/>
          <w:sz w:val="24"/>
          <w:szCs w:val="24"/>
        </w:rPr>
        <w:t xml:space="preserve"> and the algorithm ends. Otherwise, include the county as the first member of the first (and current) group and proceed to step (ii).</w:t>
      </w:r>
    </w:p>
    <w:p w14:paraId="576BFB0B" w14:textId="77777777" w:rsidR="00220CFA" w:rsidRDefault="00220CFA" w:rsidP="00220CFA">
      <w:pPr>
        <w:pStyle w:val="ListParagraph"/>
        <w:numPr>
          <w:ilvl w:val="0"/>
          <w:numId w:val="13"/>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Add to the current group the highest unemployment rate county that meets all of the following conditions: (a) is contiguous to the current group, (b) is not a member of the current or any former group, and (c) when added to the group, the group average unemployment rate is weakly greater than the threshold. Then repeat step (ii). If no such county exists, proceed instead to step (iii). </w:t>
      </w:r>
    </w:p>
    <w:p w14:paraId="648AC3AA" w14:textId="77777777" w:rsidR="00220CFA" w:rsidRDefault="00220CFA" w:rsidP="00220CFA">
      <w:pPr>
        <w:pStyle w:val="ListParagraph"/>
        <w:numPr>
          <w:ilvl w:val="0"/>
          <w:numId w:val="13"/>
        </w:numPr>
        <w:spacing w:before="120" w:after="120" w:line="360" w:lineRule="auto"/>
        <w:rPr>
          <w:rFonts w:ascii="Times New Roman" w:hAnsi="Times New Roman" w:cs="Times New Roman"/>
          <w:sz w:val="24"/>
          <w:szCs w:val="24"/>
        </w:rPr>
      </w:pPr>
      <w:r>
        <w:rPr>
          <w:rFonts w:ascii="Times New Roman" w:hAnsi="Times New Roman" w:cs="Times New Roman"/>
          <w:sz w:val="24"/>
          <w:szCs w:val="24"/>
        </w:rPr>
        <w:t>Create a new group by identifying the highest unemployment county in the state that is not part of any already-formed group. If its unemployment rate is less than the threshold, the subsequent group is empty, and the algorithm ends. If its unemployment rate is greater than the threshold, return to step (ii).</w:t>
      </w:r>
    </w:p>
    <w:p w14:paraId="3A813576"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The algorithm attempts to form the first group beginning with the highest unemployment county in the state, and incrementally adds to the group the contiguous county with the highest unemployment rate until doing so would cause the group to no longer be eligible for a waiver. In certain instances, it is possible that adding the highest-unemployment contiguous county causes the group to lose its waiver eligibility, while adding a lower-unemployment contiguous county </w:t>
      </w:r>
      <w:r>
        <w:rPr>
          <w:rFonts w:ascii="Times New Roman" w:hAnsi="Times New Roman" w:cs="Times New Roman"/>
          <w:sz w:val="24"/>
          <w:szCs w:val="24"/>
        </w:rPr>
        <w:lastRenderedPageBreak/>
        <w:t>could allow the group to retain its eligibility.</w:t>
      </w:r>
      <w:r w:rsidRPr="00BE4BFF">
        <w:rPr>
          <w:rStyle w:val="FootnoteReference"/>
          <w:rFonts w:ascii="Times New Roman" w:hAnsi="Times New Roman" w:cs="Times New Roman"/>
          <w:sz w:val="24"/>
          <w:szCs w:val="24"/>
        </w:rPr>
        <w:footnoteReference w:id="2"/>
      </w:r>
      <w:r w:rsidRPr="00607BB8">
        <w:rPr>
          <w:rFonts w:ascii="Times New Roman" w:hAnsi="Times New Roman" w:cs="Times New Roman"/>
          <w:sz w:val="24"/>
          <w:szCs w:val="24"/>
        </w:rPr>
        <w:t xml:space="preserve"> </w:t>
      </w:r>
      <w:r>
        <w:rPr>
          <w:rFonts w:ascii="Times New Roman" w:hAnsi="Times New Roman" w:cs="Times New Roman"/>
          <w:sz w:val="24"/>
          <w:szCs w:val="24"/>
        </w:rPr>
        <w:t xml:space="preserve">Therefore, in step (ii) we require the added county to retain eligibility for the group when added. We continue this process until no additional counties can be added to the group. When no additional counties can be added, the group is fully formed. We then repeat the process with counties not included in the initial group, thereby allowing states to create multiple groups of counties. We allow states to continue forming groups until no eligible counties remain. </w:t>
      </w:r>
    </w:p>
    <w:p w14:paraId="09ECCE81"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We simulate grouping using two waiver eligibility criteria: the 20 percent rule and having an unemployment rate of at least 10 percent.</w:t>
      </w:r>
      <w:r w:rsidRPr="00BE4BFF">
        <w:rPr>
          <w:rStyle w:val="FootnoteReference"/>
          <w:rFonts w:ascii="Times New Roman" w:hAnsi="Times New Roman" w:cs="Times New Roman"/>
          <w:sz w:val="24"/>
          <w:szCs w:val="24"/>
        </w:rPr>
        <w:footnoteReference w:id="3"/>
      </w:r>
      <w:r w:rsidRPr="00607BB8">
        <w:rPr>
          <w:rFonts w:ascii="Times New Roman" w:hAnsi="Times New Roman" w:cs="Times New Roman"/>
          <w:sz w:val="24"/>
          <w:szCs w:val="24"/>
        </w:rPr>
        <w:t xml:space="preserve"> </w:t>
      </w:r>
      <w:r>
        <w:rPr>
          <w:rFonts w:ascii="Times New Roman" w:hAnsi="Times New Roman" w:cs="Times New Roman"/>
          <w:sz w:val="24"/>
          <w:szCs w:val="24"/>
        </w:rPr>
        <w:t xml:space="preserve">In the former case the threshold is 120 percent of the national unemployment rate over the past 24 months, and in the latter case the threshold is 10 percent. For both the 20 percent rule and the 10 percent condition, we use the FNS’s preferred method for calculating an area’s unemployment rate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{"citationID":"At3qch8f","properties":{"formattedCitation":"(USDA 2021)","plainCitation":"(USDA 2021)","noteIndex":0},"citationItems":[{"id":317,"uris":["http://zotero.org/users/local/VGvcU9LK/items/VHLKD4Y3"],"itemData":{"id":317,"type":"report","title":"Supporting Requests to Waive the Time Limit for Able-Bodied Adults without Dependents","URL":"https://fns-prod.azureedge.us/sites/default/files/resource-files/snap-2021-guide-supporting-abawd-time-limit-waiver-requests.pdf","author":[{"family":"USDA","given":""}],"issued":{"date-parts":[["2021",9]]}}}],"schema":"https://github.com/citation-style-language/schema/raw/master/csl-citation.json"} </w:instrText>
      </w:r>
      <w:r>
        <w:rPr>
          <w:rFonts w:ascii="Times New Roman" w:hAnsi="Times New Roman" w:cs="Times New Roman"/>
          <w:sz w:val="24"/>
          <w:szCs w:val="24"/>
        </w:rPr>
        <w:fldChar w:fldCharType="separate"/>
      </w:r>
      <w:r w:rsidRPr="00086AA5">
        <w:rPr>
          <w:rFonts w:ascii="Times New Roman" w:hAnsi="Times New Roman" w:cs="Times New Roman"/>
          <w:sz w:val="24"/>
        </w:rPr>
        <w:t>(USDA 2021)</w:t>
      </w:r>
      <w:r>
        <w:rPr>
          <w:rFonts w:ascii="Times New Roman" w:hAnsi="Times New Roman" w:cs="Times New Roman"/>
          <w:sz w:val="24"/>
          <w:szCs w:val="24"/>
        </w:rPr>
        <w:fldChar w:fldCharType="end"/>
      </w:r>
      <w:r>
        <w:rPr>
          <w:rFonts w:ascii="Times New Roman" w:hAnsi="Times New Roman" w:cs="Times New Roman"/>
          <w:sz w:val="24"/>
          <w:szCs w:val="24"/>
        </w:rPr>
        <w:t>.</w:t>
      </w:r>
      <w:r w:rsidRPr="00BE4BFF">
        <w:rPr>
          <w:rStyle w:val="FootnoteReference"/>
          <w:rFonts w:ascii="Times New Roman" w:hAnsi="Times New Roman" w:cs="Times New Roman"/>
          <w:sz w:val="24"/>
          <w:szCs w:val="24"/>
        </w:rPr>
        <w:footnoteReference w:id="4"/>
      </w:r>
      <w:r w:rsidRPr="00607BB8">
        <w:rPr>
          <w:rFonts w:ascii="Times New Roman" w:hAnsi="Times New Roman" w:cs="Times New Roman"/>
          <w:sz w:val="24"/>
          <w:szCs w:val="24"/>
        </w:rPr>
        <w:t xml:space="preserve"> </w:t>
      </w:r>
      <w:r>
        <w:rPr>
          <w:rFonts w:ascii="Times New Roman" w:hAnsi="Times New Roman" w:cs="Times New Roman"/>
          <w:sz w:val="24"/>
          <w:szCs w:val="24"/>
        </w:rPr>
        <w:t>We rely on county-level data from the Bureau of Labor Statistics (BLS) Local Area Unemployment Statistics (LAUS) database, which provides estimates of the total number of individuals in the labor force in a given county, as well as the total number of unemployed individuals. In order to calculate the unemployment rate of a given group, we divide the sum of all unemployed individuals in the group by the sum of all individuals in the labor force in the group over the entire period. Therefore, if a group consists of two counties, we determine the group’s unemployment rate by calculating the sum of both counties’ labor forces and number of unemployed individuals over the preceding 24-month period.</w:t>
      </w:r>
      <w:r w:rsidRPr="00546480">
        <w:rPr>
          <w:rStyle w:val="FootnoteReference"/>
        </w:rPr>
        <w:footnoteReference w:id="5"/>
      </w:r>
      <w:r>
        <w:rPr>
          <w:rFonts w:ascii="Times New Roman" w:hAnsi="Times New Roman" w:cs="Times New Roman"/>
          <w:sz w:val="24"/>
          <w:szCs w:val="24"/>
        </w:rPr>
        <w:t xml:space="preserve"> We then divide the total number of unemployed individuals by the total labor force, multiply by 100, and round to the nearest tenth. If the resulting unemployment rate is greater than or equal to the associated threshold, the group is eligible for a waiver. </w:t>
      </w:r>
    </w:p>
    <w:p w14:paraId="5CBAEE26"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lastRenderedPageBreak/>
        <w:t>We simulate grouping under the 20 percent rule and the 10 percent condition for each state, beginning in January of each year from 1997 to 2023.</w:t>
      </w:r>
      <w:r w:rsidRPr="00BE4BFF">
        <w:rPr>
          <w:rStyle w:val="FootnoteReference"/>
          <w:rFonts w:ascii="Times New Roman" w:hAnsi="Times New Roman" w:cs="Times New Roman"/>
          <w:sz w:val="24"/>
          <w:szCs w:val="24"/>
        </w:rPr>
        <w:footnoteReference w:id="6"/>
      </w:r>
      <w:r w:rsidRPr="00607BB8">
        <w:rPr>
          <w:rFonts w:ascii="Times New Roman" w:hAnsi="Times New Roman" w:cs="Times New Roman"/>
          <w:sz w:val="24"/>
          <w:szCs w:val="24"/>
        </w:rPr>
        <w:t xml:space="preserve"> </w:t>
      </w:r>
      <w:r>
        <w:rPr>
          <w:rFonts w:ascii="Times New Roman" w:hAnsi="Times New Roman" w:cs="Times New Roman"/>
          <w:sz w:val="24"/>
          <w:szCs w:val="24"/>
        </w:rPr>
        <w:t xml:space="preserve">We implement the algorithm in January of each year because it is the month during which states most often request ABAWD waivers from FNS and because states typically receive one-year waivers. After implementing simulations under both the 20 percent rule and 10 percent condition in each January, we identify the rule under which a larger group is formed, measured by the total population of the counties included in the group(s). We then use the group(s) from that simulation as the state’s group(s) for that year. </w:t>
      </w:r>
    </w:p>
    <w:p w14:paraId="0A4F05FE"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To help validate our algorithm, we compare its performance to actual grouping decisions made by states in the three examples shown in Figure B2: Arizona in 2006, California in 2019, and Pennsylvania in 2017. The left figure displays the actual groups formed by the state, and the right figure displays the group(s) formed by our algorithm applied to the same 24-month reference time period. In Panel A, our algorithm exactly replicates Arizona’s grouping strategy in 2006. Arizona grouped 13 of its 15 counties under the 20 percent rule, and our algorithm grouped the same 13 counties under the same criterion. Our algorithm begins with Yuma County, the highest unemployment county in the state over the preceding 24-month period. The algorithm then adds the next highest unemployment county, La Paz County. Adding the next highest unemployment county, Maricopa County, would cause the group’s unemployment rate to fall below the unemployment rate threshold. This occurs because Maricopa County’s population is roughly 18 times greater than the combined population of Yuma and La Paz County and Maricopa County’s 24-month unemployment rate is slightly below the required threshold. Therefore, adding Maricopa County to the group makes the entire group ineligible. However, our algorithm is able to add other counties to the group while retaining the group’s eligibility. </w:t>
      </w:r>
    </w:p>
    <w:p w14:paraId="14A5A11E"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In Panel B, our algorithm slightly underperforms California’s actual grouping decision. California waived 52 of its 58 counties </w:t>
      </w:r>
      <w:r w:rsidRPr="00A14B40">
        <w:rPr>
          <w:rFonts w:ascii="Times New Roman" w:hAnsi="Times New Roman" w:cs="Times New Roman"/>
          <w:sz w:val="24"/>
          <w:szCs w:val="24"/>
        </w:rPr>
        <w:t>covering 83 percent</w:t>
      </w:r>
      <w:r>
        <w:rPr>
          <w:rFonts w:ascii="Times New Roman" w:hAnsi="Times New Roman" w:cs="Times New Roman"/>
          <w:sz w:val="24"/>
          <w:szCs w:val="24"/>
        </w:rPr>
        <w:t xml:space="preserve"> of the state population in 2019 by forming a single group under the 20 percent rule. Our algorithm grouped 48 counties </w:t>
      </w:r>
      <w:r w:rsidRPr="00A14B40">
        <w:rPr>
          <w:rFonts w:ascii="Times New Roman" w:hAnsi="Times New Roman" w:cs="Times New Roman"/>
          <w:sz w:val="24"/>
          <w:szCs w:val="24"/>
        </w:rPr>
        <w:t>covering 65</w:t>
      </w:r>
      <w:r>
        <w:rPr>
          <w:rFonts w:ascii="Times New Roman" w:hAnsi="Times New Roman" w:cs="Times New Roman"/>
          <w:sz w:val="24"/>
          <w:szCs w:val="24"/>
        </w:rPr>
        <w:t xml:space="preserve"> percent of the state population. The discrepancy appears to result from California calculating an </w:t>
      </w:r>
      <w:r>
        <w:rPr>
          <w:rFonts w:ascii="Times New Roman" w:hAnsi="Times New Roman" w:cs="Times New Roman"/>
          <w:sz w:val="24"/>
          <w:szCs w:val="24"/>
        </w:rPr>
        <w:lastRenderedPageBreak/>
        <w:t xml:space="preserve">unemployment rate for their group that was lower than it actually was according to the BLS county-level unemployment data upon which we rely. According to California’s waiver request, the state relied on unemployment data from January 2016 to December 2017. California claimed that the group’s unemployment rate was 5.5 percent, 120 percent greater than the 4.6 percent national average unemployment rate over the same 24-month period. However, when relying on BLS LAUS data, we calculated the state’s group unemployment rate as 5.2 percent, below the required threshold. </w:t>
      </w:r>
    </w:p>
    <w:p w14:paraId="3122A616" w14:textId="77777777" w:rsidR="00220CFA" w:rsidRDefault="00220CFA" w:rsidP="00220CFA">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In Panel C, our algorithm outperforms Pennsylvania’s actual grouping decision. While Pennsylvania created two groups consisting of 42 total counties and </w:t>
      </w:r>
      <w:r w:rsidRPr="00A14B40">
        <w:rPr>
          <w:rFonts w:ascii="Times New Roman" w:hAnsi="Times New Roman" w:cs="Times New Roman"/>
          <w:sz w:val="24"/>
          <w:szCs w:val="24"/>
        </w:rPr>
        <w:t>covering 42 percent of the state population in 2017, our algorithm waived a total of 55 counties across two groups covering 61 percent of the state population. Our first group consists of 52 counties, while</w:t>
      </w:r>
      <w:r>
        <w:rPr>
          <w:rFonts w:ascii="Times New Roman" w:hAnsi="Times New Roman" w:cs="Times New Roman"/>
          <w:sz w:val="24"/>
          <w:szCs w:val="24"/>
        </w:rPr>
        <w:t xml:space="preserve"> Pennsylvania’s larger group consists of 41 counties. Our second group consists of three counties while Pennsylvania’s smaller group consists of two counties. </w:t>
      </w:r>
    </w:p>
    <w:p w14:paraId="194A5796" w14:textId="77777777" w:rsidR="00220CFA" w:rsidRDefault="00220CFA" w:rsidP="00220CFA">
      <w:pP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B2.</w:t>
      </w:r>
      <w:r w:rsidRPr="00031C85">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Grouping Simulation Comparison</w:t>
      </w:r>
    </w:p>
    <w:p w14:paraId="540ED4CE" w14:textId="77777777" w:rsidR="00220CFA" w:rsidRDefault="00220CFA" w:rsidP="00220CFA">
      <w:pPr>
        <w:spacing w:after="0" w:line="276" w:lineRule="auto"/>
        <w:rPr>
          <w:rFonts w:ascii="Times New Roman" w:eastAsia="Times New Roman" w:hAnsi="Times New Roman" w:cs="Times New Roman"/>
          <w:b/>
          <w:bCs/>
          <w:color w:val="000000"/>
          <w:sz w:val="24"/>
          <w:szCs w:val="24"/>
        </w:rPr>
      </w:pPr>
    </w:p>
    <w:p w14:paraId="5806CF55" w14:textId="77777777" w:rsidR="00220CFA" w:rsidRDefault="00220CFA" w:rsidP="00220CFA">
      <w:pPr>
        <w:spacing w:after="0" w:line="27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Panel A. Arizona, 2006</w:t>
      </w:r>
    </w:p>
    <w:p w14:paraId="184CCA52" w14:textId="77777777" w:rsidR="00220CFA" w:rsidRDefault="00220CFA" w:rsidP="00220CFA">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1AB62D" wp14:editId="310C126F">
            <wp:extent cx="2784764" cy="3241282"/>
            <wp:effectExtent l="0" t="0" r="0" b="0"/>
            <wp:docPr id="35" name="Picture 35" descr="A map of arizona with several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map of arizona with several stat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804522" cy="3264279"/>
                    </a:xfrm>
                    <a:prstGeom prst="rect">
                      <a:avLst/>
                    </a:prstGeom>
                  </pic:spPr>
                </pic:pic>
              </a:graphicData>
            </a:graphic>
          </wp:inline>
        </w:drawing>
      </w:r>
      <w:r>
        <w:rPr>
          <w:rFonts w:ascii="Times New Roman" w:hAnsi="Times New Roman" w:cs="Times New Roman"/>
          <w:noProof/>
          <w:sz w:val="24"/>
          <w:szCs w:val="24"/>
        </w:rPr>
        <w:drawing>
          <wp:inline distT="0" distB="0" distL="0" distR="0" wp14:anchorId="1141B652" wp14:editId="372BFEAC">
            <wp:extent cx="2770909" cy="3225157"/>
            <wp:effectExtent l="0" t="0" r="0" b="0"/>
            <wp:docPr id="34" name="Picture 34" descr="A map of arizona with several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map of arizona with several stat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83387" cy="3239681"/>
                    </a:xfrm>
                    <a:prstGeom prst="rect">
                      <a:avLst/>
                    </a:prstGeom>
                  </pic:spPr>
                </pic:pic>
              </a:graphicData>
            </a:graphic>
          </wp:inline>
        </w:drawing>
      </w:r>
    </w:p>
    <w:p w14:paraId="54FA687B" w14:textId="77777777" w:rsidR="00220CFA" w:rsidRDefault="00220CFA" w:rsidP="00220CFA">
      <w:pPr>
        <w:rPr>
          <w:rFonts w:ascii="Times New Roman" w:hAnsi="Times New Roman" w:cs="Times New Roman"/>
          <w:sz w:val="20"/>
          <w:szCs w:val="20"/>
        </w:rPr>
      </w:pPr>
    </w:p>
    <w:p w14:paraId="25871578" w14:textId="77777777" w:rsidR="00220CFA" w:rsidRDefault="00220CFA" w:rsidP="00220CFA">
      <w:pPr>
        <w:rPr>
          <w:rFonts w:ascii="Times New Roman" w:eastAsia="Times New Roman" w:hAnsi="Times New Roman" w:cs="Times New Roman"/>
          <w:b/>
          <w:bCs/>
          <w:color w:val="000000"/>
          <w:sz w:val="24"/>
          <w:szCs w:val="24"/>
        </w:rPr>
      </w:pPr>
    </w:p>
    <w:p w14:paraId="4A4F6DD1" w14:textId="77777777" w:rsidR="00220CFA" w:rsidRDefault="00220CFA" w:rsidP="00220CFA">
      <w:pPr>
        <w:rPr>
          <w:rFonts w:ascii="Times New Roman" w:eastAsia="Times New Roman" w:hAnsi="Times New Roman" w:cs="Times New Roman"/>
          <w:b/>
          <w:bCs/>
          <w:color w:val="000000"/>
          <w:sz w:val="24"/>
          <w:szCs w:val="24"/>
        </w:rPr>
      </w:pPr>
    </w:p>
    <w:p w14:paraId="6434C0DE" w14:textId="77777777" w:rsidR="00220CFA" w:rsidRPr="00D7649C" w:rsidRDefault="00220CFA" w:rsidP="00220CFA">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Panel B. California, 2019</w:t>
      </w:r>
    </w:p>
    <w:p w14:paraId="56D7EB99" w14:textId="77777777" w:rsidR="00220CFA" w:rsidRDefault="00220CFA" w:rsidP="00220CFA">
      <w:r>
        <w:rPr>
          <w:noProof/>
        </w:rPr>
        <w:drawing>
          <wp:inline distT="0" distB="0" distL="0" distR="0" wp14:anchorId="0629E94A" wp14:editId="2DD5D7DD">
            <wp:extent cx="2944091" cy="3396620"/>
            <wp:effectExtent l="0" t="0" r="8890" b="0"/>
            <wp:docPr id="37" name="Picture 37" descr="A map of the state of califor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map of the state of california&#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961790" cy="3417040"/>
                    </a:xfrm>
                    <a:prstGeom prst="rect">
                      <a:avLst/>
                    </a:prstGeom>
                  </pic:spPr>
                </pic:pic>
              </a:graphicData>
            </a:graphic>
          </wp:inline>
        </w:drawing>
      </w:r>
      <w:r>
        <w:rPr>
          <w:noProof/>
        </w:rPr>
        <w:drawing>
          <wp:inline distT="0" distB="0" distL="0" distR="0" wp14:anchorId="17DC02CA" wp14:editId="42DD6A64">
            <wp:extent cx="2939118" cy="3390900"/>
            <wp:effectExtent l="0" t="0" r="0" b="0"/>
            <wp:docPr id="36" name="Picture 36" descr="A map of the state of califor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map of the state of california&#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970857" cy="3427517"/>
                    </a:xfrm>
                    <a:prstGeom prst="rect">
                      <a:avLst/>
                    </a:prstGeom>
                  </pic:spPr>
                </pic:pic>
              </a:graphicData>
            </a:graphic>
          </wp:inline>
        </w:drawing>
      </w:r>
    </w:p>
    <w:p w14:paraId="34763C73" w14:textId="77777777" w:rsidR="00220CFA" w:rsidRDefault="00220CFA" w:rsidP="00220CFA">
      <w:pPr>
        <w:rPr>
          <w:rFonts w:ascii="Times New Roman" w:eastAsia="Times New Roman" w:hAnsi="Times New Roman" w:cs="Times New Roman"/>
          <w:b/>
          <w:bCs/>
          <w:color w:val="000000"/>
          <w:sz w:val="24"/>
          <w:szCs w:val="24"/>
        </w:rPr>
      </w:pPr>
    </w:p>
    <w:p w14:paraId="36F9E8E3" w14:textId="77777777" w:rsidR="00220CFA" w:rsidRDefault="00220CFA" w:rsidP="00220CFA">
      <w:pPr>
        <w:rPr>
          <w:rFonts w:ascii="Times New Roman" w:eastAsia="Times New Roman" w:hAnsi="Times New Roman" w:cs="Times New Roman"/>
          <w:b/>
          <w:bCs/>
          <w:color w:val="000000"/>
          <w:sz w:val="24"/>
          <w:szCs w:val="24"/>
        </w:rPr>
      </w:pPr>
    </w:p>
    <w:p w14:paraId="2C680F87" w14:textId="77777777" w:rsidR="00220CFA" w:rsidRDefault="00220CFA" w:rsidP="00220CFA">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Panel C. Pennsylvania, 2017</w:t>
      </w:r>
    </w:p>
    <w:p w14:paraId="2F287753" w14:textId="77777777" w:rsidR="00220CFA" w:rsidRPr="00D7649C" w:rsidRDefault="00220CFA" w:rsidP="00220CFA">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02D427F5" wp14:editId="434758FE">
            <wp:extent cx="3000941" cy="2159719"/>
            <wp:effectExtent l="0" t="0" r="9525" b="0"/>
            <wp:docPr id="39" name="Picture 39" descr="A map of the state of pennsylva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map of the state of pennsylvania&#10;&#10;Description automatically generated"/>
                    <pic:cNvPicPr/>
                  </pic:nvPicPr>
                  <pic:blipFill rotWithShape="1">
                    <a:blip r:embed="rId37" cstate="print">
                      <a:extLst>
                        <a:ext uri="{28A0092B-C50C-407E-A947-70E740481C1C}">
                          <a14:useLocalDpi xmlns:a14="http://schemas.microsoft.com/office/drawing/2010/main" val="0"/>
                        </a:ext>
                      </a:extLst>
                    </a:blip>
                    <a:srcRect l="9376" r="10179"/>
                    <a:stretch/>
                  </pic:blipFill>
                  <pic:spPr bwMode="auto">
                    <a:xfrm>
                      <a:off x="0" y="0"/>
                      <a:ext cx="3080393" cy="221689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bCs/>
          <w:noProof/>
          <w:color w:val="000000"/>
          <w:sz w:val="24"/>
          <w:szCs w:val="24"/>
        </w:rPr>
        <w:drawing>
          <wp:inline distT="0" distB="0" distL="0" distR="0" wp14:anchorId="4603CC26" wp14:editId="232DD9DF">
            <wp:extent cx="2909455" cy="2108655"/>
            <wp:effectExtent l="0" t="0" r="5715" b="6350"/>
            <wp:docPr id="44" name="Picture 44" descr="A map of the state of pennsylva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map of the state of pennsylvania&#10;&#10;Description automatically generated"/>
                    <pic:cNvPicPr/>
                  </pic:nvPicPr>
                  <pic:blipFill rotWithShape="1">
                    <a:blip r:embed="rId38" cstate="print">
                      <a:extLst>
                        <a:ext uri="{28A0092B-C50C-407E-A947-70E740481C1C}">
                          <a14:useLocalDpi xmlns:a14="http://schemas.microsoft.com/office/drawing/2010/main" val="0"/>
                        </a:ext>
                      </a:extLst>
                    </a:blip>
                    <a:srcRect l="10349" r="9783"/>
                    <a:stretch/>
                  </pic:blipFill>
                  <pic:spPr bwMode="auto">
                    <a:xfrm>
                      <a:off x="0" y="0"/>
                      <a:ext cx="2960219" cy="2145447"/>
                    </a:xfrm>
                    <a:prstGeom prst="rect">
                      <a:avLst/>
                    </a:prstGeom>
                    <a:ln>
                      <a:noFill/>
                    </a:ln>
                    <a:extLst>
                      <a:ext uri="{53640926-AAD7-44D8-BBD7-CCE9431645EC}">
                        <a14:shadowObscured xmlns:a14="http://schemas.microsoft.com/office/drawing/2010/main"/>
                      </a:ext>
                    </a:extLst>
                  </pic:spPr>
                </pic:pic>
              </a:graphicData>
            </a:graphic>
          </wp:inline>
        </w:drawing>
      </w:r>
    </w:p>
    <w:p w14:paraId="3E76775B" w14:textId="77777777" w:rsidR="00220CFA" w:rsidRDefault="00220CFA" w:rsidP="00220CFA">
      <w:pPr>
        <w:spacing w:after="0"/>
        <w:rPr>
          <w:rFonts w:ascii="Times New Roman" w:hAnsi="Times New Roman" w:cs="Times New Roman"/>
          <w:sz w:val="20"/>
          <w:szCs w:val="20"/>
        </w:rPr>
      </w:pPr>
      <w:r>
        <w:rPr>
          <w:rFonts w:ascii="Times New Roman" w:hAnsi="Times New Roman" w:cs="Times New Roman"/>
          <w:sz w:val="20"/>
          <w:szCs w:val="20"/>
        </w:rPr>
        <w:t>Notes: Figure displays three sets of county-level state maps, comparing results of our grouping simulation to states’ actual grouping decision. Maps in the left column display the set of contiguous counties grouped according to the state’s actual grouping decision, while maps in the right column display the set of contiguous counties grouped according to our simulation.</w:t>
      </w:r>
    </w:p>
    <w:p w14:paraId="77509716" w14:textId="59E2F6C7" w:rsidR="005B307F" w:rsidRPr="006D3230" w:rsidRDefault="00220CFA" w:rsidP="00220CFA">
      <w:pPr>
        <w:spacing w:after="0" w:line="240" w:lineRule="auto"/>
        <w:rPr>
          <w:rFonts w:ascii="Times New Roman" w:hAnsi="Times New Roman" w:cs="Times New Roman"/>
          <w:sz w:val="24"/>
          <w:szCs w:val="24"/>
        </w:rPr>
      </w:pPr>
      <w:r>
        <w:rPr>
          <w:rFonts w:ascii="Times New Roman" w:hAnsi="Times New Roman" w:cs="Times New Roman"/>
          <w:sz w:val="20"/>
          <w:szCs w:val="20"/>
        </w:rPr>
        <w:t>Sources: United States Department of Agriculture; Bureau of Labor Statistics Local Area Unemployment Statistics; Authors’ calculations.</w:t>
      </w:r>
    </w:p>
    <w:sectPr w:rsidR="005B307F" w:rsidRPr="006D3230" w:rsidSect="00C24B7B">
      <w:footerReference w:type="default" r:id="rId39"/>
      <w:footnotePr>
        <w:numRestart w:val="eachSect"/>
      </w:footnotePr>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97358" w14:textId="77777777" w:rsidR="00A4552D" w:rsidRDefault="00A4552D" w:rsidP="008D05FE">
      <w:pPr>
        <w:spacing w:after="0" w:line="240" w:lineRule="auto"/>
      </w:pPr>
      <w:r>
        <w:separator/>
      </w:r>
    </w:p>
  </w:endnote>
  <w:endnote w:type="continuationSeparator" w:id="0">
    <w:p w14:paraId="17F63622" w14:textId="77777777" w:rsidR="00A4552D" w:rsidRDefault="00A4552D" w:rsidP="008D05FE">
      <w:pPr>
        <w:spacing w:after="0" w:line="240" w:lineRule="auto"/>
      </w:pPr>
      <w:r>
        <w:continuationSeparator/>
      </w:r>
    </w:p>
  </w:endnote>
  <w:endnote w:type="continuationNotice" w:id="1">
    <w:p w14:paraId="78C50FB7" w14:textId="77777777" w:rsidR="00A4552D" w:rsidRDefault="00A45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2894907"/>
      <w:docPartObj>
        <w:docPartGallery w:val="Page Numbers (Bottom of Page)"/>
        <w:docPartUnique/>
      </w:docPartObj>
    </w:sdtPr>
    <w:sdtEndPr>
      <w:rPr>
        <w:rFonts w:ascii="Times New Roman" w:hAnsi="Times New Roman" w:cs="Times New Roman"/>
        <w:noProof/>
      </w:rPr>
    </w:sdtEndPr>
    <w:sdtContent>
      <w:p w14:paraId="0815EA36" w14:textId="0BD9A825" w:rsidR="00CE2664" w:rsidRPr="00B5442B" w:rsidRDefault="00CE2664">
        <w:pPr>
          <w:pStyle w:val="Footer"/>
          <w:jc w:val="center"/>
          <w:rPr>
            <w:rFonts w:ascii="Times New Roman" w:hAnsi="Times New Roman" w:cs="Times New Roman"/>
          </w:rPr>
        </w:pPr>
        <w:r w:rsidRPr="00B5442B">
          <w:rPr>
            <w:rFonts w:ascii="Times New Roman" w:hAnsi="Times New Roman" w:cs="Times New Roman"/>
          </w:rPr>
          <w:fldChar w:fldCharType="begin"/>
        </w:r>
        <w:r w:rsidRPr="00B5442B">
          <w:rPr>
            <w:rFonts w:ascii="Times New Roman" w:hAnsi="Times New Roman" w:cs="Times New Roman"/>
          </w:rPr>
          <w:instrText xml:space="preserve"> PAGE   \* MERGEFORMAT </w:instrText>
        </w:r>
        <w:r w:rsidRPr="00B5442B">
          <w:rPr>
            <w:rFonts w:ascii="Times New Roman" w:hAnsi="Times New Roman" w:cs="Times New Roman"/>
          </w:rPr>
          <w:fldChar w:fldCharType="separate"/>
        </w:r>
        <w:r w:rsidR="0073491E">
          <w:rPr>
            <w:rFonts w:ascii="Times New Roman" w:hAnsi="Times New Roman" w:cs="Times New Roman"/>
            <w:noProof/>
          </w:rPr>
          <w:t>35</w:t>
        </w:r>
        <w:r w:rsidRPr="00B5442B">
          <w:rPr>
            <w:rFonts w:ascii="Times New Roman" w:hAnsi="Times New Roman" w:cs="Times New Roman"/>
            <w:noProof/>
          </w:rPr>
          <w:fldChar w:fldCharType="end"/>
        </w:r>
      </w:p>
    </w:sdtContent>
  </w:sdt>
  <w:p w14:paraId="0EA40F26" w14:textId="77777777" w:rsidR="00CE2664" w:rsidRDefault="00CE2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8A967A" w14:textId="77777777" w:rsidR="00A4552D" w:rsidRDefault="00A4552D" w:rsidP="008D05FE">
      <w:pPr>
        <w:spacing w:after="0" w:line="240" w:lineRule="auto"/>
      </w:pPr>
      <w:r>
        <w:separator/>
      </w:r>
    </w:p>
  </w:footnote>
  <w:footnote w:type="continuationSeparator" w:id="0">
    <w:p w14:paraId="0C719A3F" w14:textId="77777777" w:rsidR="00A4552D" w:rsidRDefault="00A4552D" w:rsidP="008D05FE">
      <w:pPr>
        <w:spacing w:after="0" w:line="240" w:lineRule="auto"/>
      </w:pPr>
      <w:r>
        <w:continuationSeparator/>
      </w:r>
    </w:p>
  </w:footnote>
  <w:footnote w:type="continuationNotice" w:id="1">
    <w:p w14:paraId="480B00CE" w14:textId="77777777" w:rsidR="00A4552D" w:rsidRDefault="00A4552D">
      <w:pPr>
        <w:spacing w:after="0" w:line="240" w:lineRule="auto"/>
      </w:pPr>
    </w:p>
  </w:footnote>
  <w:footnote w:id="2">
    <w:p w14:paraId="2BF0188E" w14:textId="77777777" w:rsidR="00220CFA" w:rsidRDefault="00220CFA" w:rsidP="00220CFA">
      <w:pPr>
        <w:pStyle w:val="FootnoteText"/>
        <w:rPr>
          <w:rFonts w:ascii="Times New Roman" w:hAnsi="Times New Roman" w:cs="Times New Roman"/>
        </w:rPr>
      </w:pPr>
      <w:r w:rsidRPr="00BE4BFF">
        <w:rPr>
          <w:rStyle w:val="FootnoteReference"/>
          <w:rFonts w:ascii="Times New Roman" w:hAnsi="Times New Roman" w:cs="Times New Roman"/>
        </w:rPr>
        <w:footnoteRef/>
      </w:r>
      <w:r w:rsidRPr="00607BB8">
        <w:rPr>
          <w:rFonts w:ascii="Times New Roman" w:hAnsi="Times New Roman" w:cs="Times New Roman"/>
        </w:rPr>
        <w:t xml:space="preserve"> </w:t>
      </w:r>
      <w:r>
        <w:rPr>
          <w:rFonts w:ascii="Times New Roman" w:hAnsi="Times New Roman" w:cs="Times New Roman"/>
        </w:rPr>
        <w:t xml:space="preserve">This is common when there are significant disparities in the labor force sizes of contiguous counties, where a county with a lower unemployment rate but a smaller labor force allows the group to remain eligible when added, while a county with a higher unemployment rate but a larger labor force does not allow the group to remain eligible when added. </w:t>
      </w:r>
    </w:p>
  </w:footnote>
  <w:footnote w:id="3">
    <w:p w14:paraId="34EACA11" w14:textId="77777777" w:rsidR="00220CFA" w:rsidRDefault="00220CFA" w:rsidP="00220CFA">
      <w:pPr>
        <w:pStyle w:val="FootnoteText"/>
        <w:rPr>
          <w:rFonts w:ascii="Times New Roman" w:hAnsi="Times New Roman" w:cs="Times New Roman"/>
        </w:rPr>
      </w:pPr>
      <w:r w:rsidRPr="00BE4BFF">
        <w:rPr>
          <w:rStyle w:val="FootnoteReference"/>
          <w:rFonts w:ascii="Times New Roman" w:hAnsi="Times New Roman" w:cs="Times New Roman"/>
        </w:rPr>
        <w:footnoteRef/>
      </w:r>
      <w:r w:rsidRPr="00607BB8">
        <w:rPr>
          <w:rFonts w:ascii="Times New Roman" w:hAnsi="Times New Roman" w:cs="Times New Roman"/>
        </w:rPr>
        <w:t xml:space="preserve"> </w:t>
      </w:r>
      <w:r>
        <w:rPr>
          <w:rFonts w:ascii="Times New Roman" w:hAnsi="Times New Roman" w:cs="Times New Roman"/>
        </w:rPr>
        <w:t>We do not allow grouping for any other waiver eligibility criteria because it is impossible to do so. For example, individual counties can be waived because they are designated as an LSA and entire states can be waived if the state qualifies for Extended Unemployment Benefits, but individual counties cannot be grouped under either criterion.</w:t>
      </w:r>
    </w:p>
  </w:footnote>
  <w:footnote w:id="4">
    <w:p w14:paraId="2E56B6C8" w14:textId="77777777" w:rsidR="00220CFA" w:rsidRDefault="00220CFA" w:rsidP="00220CFA">
      <w:pPr>
        <w:pStyle w:val="FootnoteText"/>
        <w:rPr>
          <w:rFonts w:ascii="Times New Roman" w:hAnsi="Times New Roman" w:cs="Times New Roman"/>
        </w:rPr>
      </w:pPr>
      <w:r w:rsidRPr="00BE4BFF">
        <w:rPr>
          <w:rStyle w:val="FootnoteReference"/>
          <w:rFonts w:ascii="Times New Roman" w:hAnsi="Times New Roman" w:cs="Times New Roman"/>
        </w:rPr>
        <w:footnoteRef/>
      </w:r>
      <w:r w:rsidRPr="00607BB8">
        <w:rPr>
          <w:rFonts w:ascii="Times New Roman" w:hAnsi="Times New Roman" w:cs="Times New Roman"/>
        </w:rPr>
        <w:t xml:space="preserve"> </w:t>
      </w:r>
      <w:r>
        <w:rPr>
          <w:rFonts w:ascii="Times New Roman" w:hAnsi="Times New Roman" w:cs="Times New Roman"/>
        </w:rPr>
        <w:t>This method applies to individual counties and groups of contiguous counties.</w:t>
      </w:r>
    </w:p>
  </w:footnote>
  <w:footnote w:id="5">
    <w:p w14:paraId="4FAEF0DF" w14:textId="77777777" w:rsidR="00220CFA" w:rsidRDefault="00220CFA" w:rsidP="00220CFA">
      <w:pPr>
        <w:pStyle w:val="FootnoteText"/>
        <w:rPr>
          <w:rFonts w:ascii="Times New Roman" w:hAnsi="Times New Roman" w:cs="Times New Roman"/>
        </w:rPr>
      </w:pPr>
      <w:r w:rsidRPr="00BE4BFF">
        <w:rPr>
          <w:rStyle w:val="FootnoteReference"/>
          <w:rFonts w:ascii="Times New Roman" w:hAnsi="Times New Roman" w:cs="Times New Roman"/>
        </w:rPr>
        <w:footnoteRef/>
      </w:r>
      <w:r w:rsidRPr="00607BB8">
        <w:rPr>
          <w:rFonts w:ascii="Times New Roman" w:hAnsi="Times New Roman" w:cs="Times New Roman"/>
        </w:rPr>
        <w:t xml:space="preserve"> </w:t>
      </w:r>
      <w:r>
        <w:rPr>
          <w:rFonts w:ascii="Times New Roman" w:hAnsi="Times New Roman" w:cs="Times New Roman"/>
        </w:rPr>
        <w:t>If we are applying the 10 percent grouping algorithm, we calculate the total unemployed and labor forces over the preceding 12 months rather than the preceding 24 months.</w:t>
      </w:r>
    </w:p>
  </w:footnote>
  <w:footnote w:id="6">
    <w:p w14:paraId="055B692A" w14:textId="77777777" w:rsidR="00220CFA" w:rsidRPr="0066775F" w:rsidRDefault="00220CFA" w:rsidP="00220CFA">
      <w:pPr>
        <w:pStyle w:val="FootnoteText"/>
        <w:rPr>
          <w:rFonts w:ascii="Times New Roman" w:hAnsi="Times New Roman" w:cs="Times New Roman"/>
        </w:rPr>
      </w:pPr>
      <w:r w:rsidRPr="00BE4BFF">
        <w:rPr>
          <w:rStyle w:val="FootnoteReference"/>
          <w:rFonts w:ascii="Times New Roman" w:hAnsi="Times New Roman" w:cs="Times New Roman"/>
        </w:rPr>
        <w:footnoteRef/>
      </w:r>
      <w:r w:rsidRPr="00607BB8">
        <w:rPr>
          <w:rFonts w:ascii="Times New Roman" w:hAnsi="Times New Roman" w:cs="Times New Roman"/>
        </w:rPr>
        <w:t xml:space="preserve"> </w:t>
      </w:r>
      <w:r w:rsidRPr="0066775F">
        <w:rPr>
          <w:rFonts w:ascii="Times New Roman" w:hAnsi="Times New Roman" w:cs="Times New Roman"/>
        </w:rPr>
        <w:t xml:space="preserve">We do not simulate grouping for the District of Columbia, Hawaii, or Alaska. We exclude the District of Columbia because it is a single </w:t>
      </w:r>
      <w:proofErr w:type="gramStart"/>
      <w:r w:rsidRPr="0066775F">
        <w:rPr>
          <w:rFonts w:ascii="Times New Roman" w:hAnsi="Times New Roman" w:cs="Times New Roman"/>
        </w:rPr>
        <w:t>county, and</w:t>
      </w:r>
      <w:proofErr w:type="gramEnd"/>
      <w:r w:rsidRPr="0066775F">
        <w:rPr>
          <w:rFonts w:ascii="Times New Roman" w:hAnsi="Times New Roman" w:cs="Times New Roman"/>
        </w:rPr>
        <w:t xml:space="preserve"> can therefore not be grouped with any other counties. We exclude Hawaii because it only contains five counties, and none of its counties share a border. Lastly, we exclude Alaska because its county-equivalents underwent several changes during the sample period.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2EAB"/>
    <w:multiLevelType w:val="hybridMultilevel"/>
    <w:tmpl w:val="A016EA96"/>
    <w:lvl w:ilvl="0" w:tplc="FBF824E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96ECE"/>
    <w:multiLevelType w:val="hybridMultilevel"/>
    <w:tmpl w:val="A016EA96"/>
    <w:lvl w:ilvl="0" w:tplc="FBF824E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55659"/>
    <w:multiLevelType w:val="hybridMultilevel"/>
    <w:tmpl w:val="FD80C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7586F"/>
    <w:multiLevelType w:val="hybridMultilevel"/>
    <w:tmpl w:val="B0C2B0BA"/>
    <w:lvl w:ilvl="0" w:tplc="A7A274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7547A"/>
    <w:multiLevelType w:val="hybridMultilevel"/>
    <w:tmpl w:val="35126C80"/>
    <w:lvl w:ilvl="0" w:tplc="94DAFF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850C8"/>
    <w:multiLevelType w:val="hybridMultilevel"/>
    <w:tmpl w:val="46B6354E"/>
    <w:lvl w:ilvl="0" w:tplc="8F68F93E">
      <w:start w:val="18"/>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067446"/>
    <w:multiLevelType w:val="hybridMultilevel"/>
    <w:tmpl w:val="DD6E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926773"/>
    <w:multiLevelType w:val="hybridMultilevel"/>
    <w:tmpl w:val="B0C2B0BA"/>
    <w:lvl w:ilvl="0" w:tplc="A7A274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391502"/>
    <w:multiLevelType w:val="hybridMultilevel"/>
    <w:tmpl w:val="A016EA96"/>
    <w:lvl w:ilvl="0" w:tplc="FBF824E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575F39"/>
    <w:multiLevelType w:val="hybridMultilevel"/>
    <w:tmpl w:val="BDEA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631391"/>
    <w:multiLevelType w:val="hybridMultilevel"/>
    <w:tmpl w:val="12F0C904"/>
    <w:lvl w:ilvl="0" w:tplc="9A2E6ADC">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77BBC"/>
    <w:multiLevelType w:val="hybridMultilevel"/>
    <w:tmpl w:val="C9CC15CC"/>
    <w:lvl w:ilvl="0" w:tplc="AF1E99F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CE5645"/>
    <w:multiLevelType w:val="hybridMultilevel"/>
    <w:tmpl w:val="083EA9B4"/>
    <w:lvl w:ilvl="0" w:tplc="8F46E718">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E82FC4"/>
    <w:multiLevelType w:val="hybridMultilevel"/>
    <w:tmpl w:val="FD80C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7975252">
    <w:abstractNumId w:val="0"/>
  </w:num>
  <w:num w:numId="2" w16cid:durableId="1160998335">
    <w:abstractNumId w:val="5"/>
  </w:num>
  <w:num w:numId="3" w16cid:durableId="2107193083">
    <w:abstractNumId w:val="13"/>
  </w:num>
  <w:num w:numId="4" w16cid:durableId="36048703">
    <w:abstractNumId w:val="2"/>
  </w:num>
  <w:num w:numId="5" w16cid:durableId="496531082">
    <w:abstractNumId w:val="7"/>
  </w:num>
  <w:num w:numId="6" w16cid:durableId="284964443">
    <w:abstractNumId w:val="3"/>
  </w:num>
  <w:num w:numId="7" w16cid:durableId="509443364">
    <w:abstractNumId w:val="11"/>
  </w:num>
  <w:num w:numId="8" w16cid:durableId="1412235409">
    <w:abstractNumId w:val="1"/>
  </w:num>
  <w:num w:numId="9" w16cid:durableId="1821264205">
    <w:abstractNumId w:val="8"/>
  </w:num>
  <w:num w:numId="10" w16cid:durableId="628127980">
    <w:abstractNumId w:val="4"/>
  </w:num>
  <w:num w:numId="11" w16cid:durableId="808281891">
    <w:abstractNumId w:val="12"/>
  </w:num>
  <w:num w:numId="12" w16cid:durableId="1204904">
    <w:abstractNumId w:val="10"/>
  </w:num>
  <w:num w:numId="13" w16cid:durableId="8325996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119127">
    <w:abstractNumId w:val="9"/>
  </w:num>
  <w:num w:numId="15" w16cid:durableId="7723583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430"/>
    <w:rsid w:val="0000048C"/>
    <w:rsid w:val="00001B33"/>
    <w:rsid w:val="00002898"/>
    <w:rsid w:val="000028B0"/>
    <w:rsid w:val="00003C4B"/>
    <w:rsid w:val="0000461F"/>
    <w:rsid w:val="00005780"/>
    <w:rsid w:val="000063CC"/>
    <w:rsid w:val="000065CC"/>
    <w:rsid w:val="00007527"/>
    <w:rsid w:val="000105DC"/>
    <w:rsid w:val="000114D9"/>
    <w:rsid w:val="000119D2"/>
    <w:rsid w:val="00011BB0"/>
    <w:rsid w:val="00012309"/>
    <w:rsid w:val="0001235A"/>
    <w:rsid w:val="00012C5C"/>
    <w:rsid w:val="000134B2"/>
    <w:rsid w:val="0001395E"/>
    <w:rsid w:val="00014741"/>
    <w:rsid w:val="00014BAA"/>
    <w:rsid w:val="00014C47"/>
    <w:rsid w:val="00014E27"/>
    <w:rsid w:val="00014ECC"/>
    <w:rsid w:val="00015445"/>
    <w:rsid w:val="000154F3"/>
    <w:rsid w:val="000164EF"/>
    <w:rsid w:val="00017682"/>
    <w:rsid w:val="00017756"/>
    <w:rsid w:val="00017BB2"/>
    <w:rsid w:val="0002031D"/>
    <w:rsid w:val="00020FA4"/>
    <w:rsid w:val="00021326"/>
    <w:rsid w:val="0002174A"/>
    <w:rsid w:val="00021ECC"/>
    <w:rsid w:val="000233EA"/>
    <w:rsid w:val="00023C50"/>
    <w:rsid w:val="00025F73"/>
    <w:rsid w:val="00027192"/>
    <w:rsid w:val="000305E3"/>
    <w:rsid w:val="00030A9F"/>
    <w:rsid w:val="00030AA3"/>
    <w:rsid w:val="00030EF6"/>
    <w:rsid w:val="000312CB"/>
    <w:rsid w:val="00031C85"/>
    <w:rsid w:val="00032379"/>
    <w:rsid w:val="000326FC"/>
    <w:rsid w:val="000334D4"/>
    <w:rsid w:val="0003351E"/>
    <w:rsid w:val="000338E7"/>
    <w:rsid w:val="00033C16"/>
    <w:rsid w:val="00033C3E"/>
    <w:rsid w:val="00034D97"/>
    <w:rsid w:val="0003512D"/>
    <w:rsid w:val="00035CFA"/>
    <w:rsid w:val="0003631A"/>
    <w:rsid w:val="000364DE"/>
    <w:rsid w:val="000366A7"/>
    <w:rsid w:val="000370A2"/>
    <w:rsid w:val="00037176"/>
    <w:rsid w:val="000375DB"/>
    <w:rsid w:val="00037A12"/>
    <w:rsid w:val="00041372"/>
    <w:rsid w:val="000413D0"/>
    <w:rsid w:val="0004370E"/>
    <w:rsid w:val="00043772"/>
    <w:rsid w:val="00043A1F"/>
    <w:rsid w:val="00044EB4"/>
    <w:rsid w:val="00045F78"/>
    <w:rsid w:val="000471B2"/>
    <w:rsid w:val="00047774"/>
    <w:rsid w:val="00047CA0"/>
    <w:rsid w:val="00047D9E"/>
    <w:rsid w:val="0005073F"/>
    <w:rsid w:val="00050755"/>
    <w:rsid w:val="00050C49"/>
    <w:rsid w:val="00050E87"/>
    <w:rsid w:val="00050F29"/>
    <w:rsid w:val="00052698"/>
    <w:rsid w:val="00053D5C"/>
    <w:rsid w:val="00053E9A"/>
    <w:rsid w:val="000552D6"/>
    <w:rsid w:val="0005574E"/>
    <w:rsid w:val="00055CBC"/>
    <w:rsid w:val="00060781"/>
    <w:rsid w:val="000607BD"/>
    <w:rsid w:val="0006158F"/>
    <w:rsid w:val="0006193C"/>
    <w:rsid w:val="000620D1"/>
    <w:rsid w:val="000626C4"/>
    <w:rsid w:val="00062F7F"/>
    <w:rsid w:val="00063D2D"/>
    <w:rsid w:val="00064B64"/>
    <w:rsid w:val="0006763E"/>
    <w:rsid w:val="00067993"/>
    <w:rsid w:val="00070022"/>
    <w:rsid w:val="00070628"/>
    <w:rsid w:val="000714C9"/>
    <w:rsid w:val="00071A8C"/>
    <w:rsid w:val="0007202D"/>
    <w:rsid w:val="00072B4F"/>
    <w:rsid w:val="00072E5F"/>
    <w:rsid w:val="00073247"/>
    <w:rsid w:val="000743FC"/>
    <w:rsid w:val="0007488A"/>
    <w:rsid w:val="000756C5"/>
    <w:rsid w:val="00075A20"/>
    <w:rsid w:val="000770ED"/>
    <w:rsid w:val="0008020B"/>
    <w:rsid w:val="000808C2"/>
    <w:rsid w:val="00081A0F"/>
    <w:rsid w:val="00081E28"/>
    <w:rsid w:val="00082919"/>
    <w:rsid w:val="000830CE"/>
    <w:rsid w:val="00083155"/>
    <w:rsid w:val="00083298"/>
    <w:rsid w:val="00084447"/>
    <w:rsid w:val="00084502"/>
    <w:rsid w:val="00084E9A"/>
    <w:rsid w:val="000858AD"/>
    <w:rsid w:val="000859EA"/>
    <w:rsid w:val="00085B54"/>
    <w:rsid w:val="00086AA5"/>
    <w:rsid w:val="00086AB1"/>
    <w:rsid w:val="00086BCC"/>
    <w:rsid w:val="00086EDF"/>
    <w:rsid w:val="00087508"/>
    <w:rsid w:val="00087624"/>
    <w:rsid w:val="0008786C"/>
    <w:rsid w:val="00087A13"/>
    <w:rsid w:val="000904DF"/>
    <w:rsid w:val="00090EDA"/>
    <w:rsid w:val="00090EE3"/>
    <w:rsid w:val="000910A1"/>
    <w:rsid w:val="00091BF1"/>
    <w:rsid w:val="00092363"/>
    <w:rsid w:val="00092BB8"/>
    <w:rsid w:val="00092C67"/>
    <w:rsid w:val="000932B6"/>
    <w:rsid w:val="0009362D"/>
    <w:rsid w:val="00093703"/>
    <w:rsid w:val="00093F69"/>
    <w:rsid w:val="00094AF4"/>
    <w:rsid w:val="00094F96"/>
    <w:rsid w:val="00095782"/>
    <w:rsid w:val="00095889"/>
    <w:rsid w:val="000962C0"/>
    <w:rsid w:val="000966F7"/>
    <w:rsid w:val="00096D2A"/>
    <w:rsid w:val="000971B7"/>
    <w:rsid w:val="000A0370"/>
    <w:rsid w:val="000A05C7"/>
    <w:rsid w:val="000A06D7"/>
    <w:rsid w:val="000A0869"/>
    <w:rsid w:val="000A154A"/>
    <w:rsid w:val="000A2E12"/>
    <w:rsid w:val="000A3677"/>
    <w:rsid w:val="000A3897"/>
    <w:rsid w:val="000A3B39"/>
    <w:rsid w:val="000A4BA8"/>
    <w:rsid w:val="000A4BAF"/>
    <w:rsid w:val="000A4D65"/>
    <w:rsid w:val="000A5053"/>
    <w:rsid w:val="000A50A8"/>
    <w:rsid w:val="000A567E"/>
    <w:rsid w:val="000A5990"/>
    <w:rsid w:val="000A5B10"/>
    <w:rsid w:val="000A5C92"/>
    <w:rsid w:val="000A5CF7"/>
    <w:rsid w:val="000A6309"/>
    <w:rsid w:val="000A6696"/>
    <w:rsid w:val="000A66F1"/>
    <w:rsid w:val="000A6D42"/>
    <w:rsid w:val="000A6DBD"/>
    <w:rsid w:val="000A73D8"/>
    <w:rsid w:val="000A7ED8"/>
    <w:rsid w:val="000B084E"/>
    <w:rsid w:val="000B1147"/>
    <w:rsid w:val="000B120A"/>
    <w:rsid w:val="000B12C0"/>
    <w:rsid w:val="000B1EF8"/>
    <w:rsid w:val="000B34DC"/>
    <w:rsid w:val="000B3874"/>
    <w:rsid w:val="000B391F"/>
    <w:rsid w:val="000B39C7"/>
    <w:rsid w:val="000B3FD3"/>
    <w:rsid w:val="000B5A89"/>
    <w:rsid w:val="000B5B09"/>
    <w:rsid w:val="000B5FCB"/>
    <w:rsid w:val="000B5FDC"/>
    <w:rsid w:val="000B7219"/>
    <w:rsid w:val="000B78EF"/>
    <w:rsid w:val="000C0917"/>
    <w:rsid w:val="000C0F88"/>
    <w:rsid w:val="000C15B7"/>
    <w:rsid w:val="000C1A0E"/>
    <w:rsid w:val="000C1B10"/>
    <w:rsid w:val="000C1BFB"/>
    <w:rsid w:val="000C1D62"/>
    <w:rsid w:val="000C1F1E"/>
    <w:rsid w:val="000C1F8F"/>
    <w:rsid w:val="000C2959"/>
    <w:rsid w:val="000C305A"/>
    <w:rsid w:val="000C370F"/>
    <w:rsid w:val="000C5510"/>
    <w:rsid w:val="000C5899"/>
    <w:rsid w:val="000C58BB"/>
    <w:rsid w:val="000C66B9"/>
    <w:rsid w:val="000C6EB2"/>
    <w:rsid w:val="000C72F3"/>
    <w:rsid w:val="000C78A5"/>
    <w:rsid w:val="000C7B2F"/>
    <w:rsid w:val="000D0220"/>
    <w:rsid w:val="000D0DC8"/>
    <w:rsid w:val="000D1159"/>
    <w:rsid w:val="000D2208"/>
    <w:rsid w:val="000D3C63"/>
    <w:rsid w:val="000D3DC7"/>
    <w:rsid w:val="000D5001"/>
    <w:rsid w:val="000D56B0"/>
    <w:rsid w:val="000D66C7"/>
    <w:rsid w:val="000D70C6"/>
    <w:rsid w:val="000D7211"/>
    <w:rsid w:val="000D727D"/>
    <w:rsid w:val="000D7517"/>
    <w:rsid w:val="000D75DB"/>
    <w:rsid w:val="000D7AA1"/>
    <w:rsid w:val="000D7B5E"/>
    <w:rsid w:val="000E061A"/>
    <w:rsid w:val="000E0707"/>
    <w:rsid w:val="000E072A"/>
    <w:rsid w:val="000E17C6"/>
    <w:rsid w:val="000E1C91"/>
    <w:rsid w:val="000E3C78"/>
    <w:rsid w:val="000E4C65"/>
    <w:rsid w:val="000E4FB2"/>
    <w:rsid w:val="000E51B8"/>
    <w:rsid w:val="000E54D8"/>
    <w:rsid w:val="000E5E1F"/>
    <w:rsid w:val="000E73C2"/>
    <w:rsid w:val="000E7EBF"/>
    <w:rsid w:val="000F0225"/>
    <w:rsid w:val="000F0911"/>
    <w:rsid w:val="000F1B15"/>
    <w:rsid w:val="000F24E4"/>
    <w:rsid w:val="000F2CF2"/>
    <w:rsid w:val="000F2E99"/>
    <w:rsid w:val="000F2EFF"/>
    <w:rsid w:val="000F3A31"/>
    <w:rsid w:val="000F49B6"/>
    <w:rsid w:val="000F622B"/>
    <w:rsid w:val="000F6AB5"/>
    <w:rsid w:val="000F70A7"/>
    <w:rsid w:val="000F7643"/>
    <w:rsid w:val="000F7AC6"/>
    <w:rsid w:val="0010086D"/>
    <w:rsid w:val="00100DC8"/>
    <w:rsid w:val="00100F98"/>
    <w:rsid w:val="00101BAB"/>
    <w:rsid w:val="001030A9"/>
    <w:rsid w:val="001033A0"/>
    <w:rsid w:val="001039CB"/>
    <w:rsid w:val="00103A71"/>
    <w:rsid w:val="00103D23"/>
    <w:rsid w:val="00105966"/>
    <w:rsid w:val="00106DFC"/>
    <w:rsid w:val="00107214"/>
    <w:rsid w:val="00107F0C"/>
    <w:rsid w:val="001108D3"/>
    <w:rsid w:val="00112266"/>
    <w:rsid w:val="00112878"/>
    <w:rsid w:val="00112D9A"/>
    <w:rsid w:val="00112DE4"/>
    <w:rsid w:val="00112E3E"/>
    <w:rsid w:val="00112FA0"/>
    <w:rsid w:val="001137D2"/>
    <w:rsid w:val="0011546E"/>
    <w:rsid w:val="00115DE2"/>
    <w:rsid w:val="00115E33"/>
    <w:rsid w:val="0012145B"/>
    <w:rsid w:val="00121E66"/>
    <w:rsid w:val="00121F9D"/>
    <w:rsid w:val="00122881"/>
    <w:rsid w:val="00122AC3"/>
    <w:rsid w:val="001242AC"/>
    <w:rsid w:val="001244B7"/>
    <w:rsid w:val="001248A5"/>
    <w:rsid w:val="00124A88"/>
    <w:rsid w:val="001255BD"/>
    <w:rsid w:val="0012587E"/>
    <w:rsid w:val="00125E0C"/>
    <w:rsid w:val="00125EAD"/>
    <w:rsid w:val="001266DA"/>
    <w:rsid w:val="00130802"/>
    <w:rsid w:val="0013139A"/>
    <w:rsid w:val="001316E3"/>
    <w:rsid w:val="001329C4"/>
    <w:rsid w:val="00132E83"/>
    <w:rsid w:val="0013317A"/>
    <w:rsid w:val="0013400F"/>
    <w:rsid w:val="0013411A"/>
    <w:rsid w:val="001349D4"/>
    <w:rsid w:val="00134A0C"/>
    <w:rsid w:val="00134A1A"/>
    <w:rsid w:val="00134B2C"/>
    <w:rsid w:val="00134E9C"/>
    <w:rsid w:val="00134F68"/>
    <w:rsid w:val="001358F6"/>
    <w:rsid w:val="0013769F"/>
    <w:rsid w:val="00137957"/>
    <w:rsid w:val="00140429"/>
    <w:rsid w:val="00140702"/>
    <w:rsid w:val="00140D16"/>
    <w:rsid w:val="001426EB"/>
    <w:rsid w:val="00142B21"/>
    <w:rsid w:val="00143102"/>
    <w:rsid w:val="00145DB4"/>
    <w:rsid w:val="0014776A"/>
    <w:rsid w:val="00147DB3"/>
    <w:rsid w:val="001500D7"/>
    <w:rsid w:val="0015080C"/>
    <w:rsid w:val="00150A65"/>
    <w:rsid w:val="00151D3D"/>
    <w:rsid w:val="00151EDD"/>
    <w:rsid w:val="001522DF"/>
    <w:rsid w:val="0015363D"/>
    <w:rsid w:val="00153ABB"/>
    <w:rsid w:val="0015408B"/>
    <w:rsid w:val="00154523"/>
    <w:rsid w:val="00154CF1"/>
    <w:rsid w:val="00155561"/>
    <w:rsid w:val="0015612C"/>
    <w:rsid w:val="001605F5"/>
    <w:rsid w:val="001606D7"/>
    <w:rsid w:val="00160C46"/>
    <w:rsid w:val="00161A94"/>
    <w:rsid w:val="001625A9"/>
    <w:rsid w:val="00163012"/>
    <w:rsid w:val="001633DF"/>
    <w:rsid w:val="00163FFC"/>
    <w:rsid w:val="001641AC"/>
    <w:rsid w:val="00164D08"/>
    <w:rsid w:val="00166B11"/>
    <w:rsid w:val="00166FEF"/>
    <w:rsid w:val="00167298"/>
    <w:rsid w:val="00167921"/>
    <w:rsid w:val="00167963"/>
    <w:rsid w:val="00167B50"/>
    <w:rsid w:val="00167C48"/>
    <w:rsid w:val="0017089D"/>
    <w:rsid w:val="0017239F"/>
    <w:rsid w:val="001729B6"/>
    <w:rsid w:val="001731DE"/>
    <w:rsid w:val="00173255"/>
    <w:rsid w:val="00173824"/>
    <w:rsid w:val="00174B69"/>
    <w:rsid w:val="00175758"/>
    <w:rsid w:val="001762E8"/>
    <w:rsid w:val="0017630E"/>
    <w:rsid w:val="00177321"/>
    <w:rsid w:val="00180052"/>
    <w:rsid w:val="00180729"/>
    <w:rsid w:val="00181528"/>
    <w:rsid w:val="00181582"/>
    <w:rsid w:val="00181FC2"/>
    <w:rsid w:val="001822BA"/>
    <w:rsid w:val="00182789"/>
    <w:rsid w:val="00182D02"/>
    <w:rsid w:val="00183047"/>
    <w:rsid w:val="00183081"/>
    <w:rsid w:val="00184143"/>
    <w:rsid w:val="001854D0"/>
    <w:rsid w:val="00185823"/>
    <w:rsid w:val="00185ACD"/>
    <w:rsid w:val="00185BAC"/>
    <w:rsid w:val="00185F09"/>
    <w:rsid w:val="00186651"/>
    <w:rsid w:val="00186837"/>
    <w:rsid w:val="00186854"/>
    <w:rsid w:val="00186CB9"/>
    <w:rsid w:val="0019090F"/>
    <w:rsid w:val="00190B3A"/>
    <w:rsid w:val="00190EC9"/>
    <w:rsid w:val="0019152E"/>
    <w:rsid w:val="00191E65"/>
    <w:rsid w:val="00192329"/>
    <w:rsid w:val="00194BDF"/>
    <w:rsid w:val="001961A9"/>
    <w:rsid w:val="00196F0F"/>
    <w:rsid w:val="00197788"/>
    <w:rsid w:val="001A0579"/>
    <w:rsid w:val="001A089C"/>
    <w:rsid w:val="001A185B"/>
    <w:rsid w:val="001A188B"/>
    <w:rsid w:val="001A1C82"/>
    <w:rsid w:val="001A1E6E"/>
    <w:rsid w:val="001A2B6F"/>
    <w:rsid w:val="001A3312"/>
    <w:rsid w:val="001A3C00"/>
    <w:rsid w:val="001A4FC6"/>
    <w:rsid w:val="001A52CE"/>
    <w:rsid w:val="001A549E"/>
    <w:rsid w:val="001A54FB"/>
    <w:rsid w:val="001A5E8B"/>
    <w:rsid w:val="001A613A"/>
    <w:rsid w:val="001A6D4E"/>
    <w:rsid w:val="001A703A"/>
    <w:rsid w:val="001A782B"/>
    <w:rsid w:val="001A7A61"/>
    <w:rsid w:val="001A7A64"/>
    <w:rsid w:val="001B052E"/>
    <w:rsid w:val="001B0767"/>
    <w:rsid w:val="001B0B37"/>
    <w:rsid w:val="001B1B4D"/>
    <w:rsid w:val="001B2068"/>
    <w:rsid w:val="001B23A9"/>
    <w:rsid w:val="001B2FA7"/>
    <w:rsid w:val="001B3963"/>
    <w:rsid w:val="001B3D98"/>
    <w:rsid w:val="001B3E3F"/>
    <w:rsid w:val="001B42DF"/>
    <w:rsid w:val="001B499B"/>
    <w:rsid w:val="001B51F3"/>
    <w:rsid w:val="001B62E7"/>
    <w:rsid w:val="001B7854"/>
    <w:rsid w:val="001B796D"/>
    <w:rsid w:val="001B7A40"/>
    <w:rsid w:val="001C22DA"/>
    <w:rsid w:val="001C2552"/>
    <w:rsid w:val="001C2B49"/>
    <w:rsid w:val="001C2D5B"/>
    <w:rsid w:val="001C329B"/>
    <w:rsid w:val="001C3D09"/>
    <w:rsid w:val="001C4BF9"/>
    <w:rsid w:val="001C4FC3"/>
    <w:rsid w:val="001C5279"/>
    <w:rsid w:val="001C54D5"/>
    <w:rsid w:val="001C5CB1"/>
    <w:rsid w:val="001C649B"/>
    <w:rsid w:val="001C6C4B"/>
    <w:rsid w:val="001C7C30"/>
    <w:rsid w:val="001D061B"/>
    <w:rsid w:val="001D0CAF"/>
    <w:rsid w:val="001D1435"/>
    <w:rsid w:val="001D2D17"/>
    <w:rsid w:val="001D3D5D"/>
    <w:rsid w:val="001D3F82"/>
    <w:rsid w:val="001D4865"/>
    <w:rsid w:val="001D4ECD"/>
    <w:rsid w:val="001D586A"/>
    <w:rsid w:val="001D596F"/>
    <w:rsid w:val="001D6AF9"/>
    <w:rsid w:val="001D7657"/>
    <w:rsid w:val="001D772D"/>
    <w:rsid w:val="001E13A3"/>
    <w:rsid w:val="001E142A"/>
    <w:rsid w:val="001E147E"/>
    <w:rsid w:val="001E1ABD"/>
    <w:rsid w:val="001E247B"/>
    <w:rsid w:val="001E28B8"/>
    <w:rsid w:val="001E395C"/>
    <w:rsid w:val="001E3B9C"/>
    <w:rsid w:val="001E44ED"/>
    <w:rsid w:val="001E4682"/>
    <w:rsid w:val="001E5664"/>
    <w:rsid w:val="001E7B81"/>
    <w:rsid w:val="001F1C54"/>
    <w:rsid w:val="001F2308"/>
    <w:rsid w:val="001F28E9"/>
    <w:rsid w:val="001F2BC5"/>
    <w:rsid w:val="001F3726"/>
    <w:rsid w:val="001F3ED8"/>
    <w:rsid w:val="001F520A"/>
    <w:rsid w:val="001F5250"/>
    <w:rsid w:val="001F6213"/>
    <w:rsid w:val="001F672C"/>
    <w:rsid w:val="001F6B21"/>
    <w:rsid w:val="001F739D"/>
    <w:rsid w:val="001F774A"/>
    <w:rsid w:val="002004B8"/>
    <w:rsid w:val="00200A2D"/>
    <w:rsid w:val="00200D4F"/>
    <w:rsid w:val="00200DB6"/>
    <w:rsid w:val="00201BCF"/>
    <w:rsid w:val="00201C0E"/>
    <w:rsid w:val="00201D76"/>
    <w:rsid w:val="00201ECE"/>
    <w:rsid w:val="0020285F"/>
    <w:rsid w:val="00202B45"/>
    <w:rsid w:val="002033A6"/>
    <w:rsid w:val="00203621"/>
    <w:rsid w:val="0020366D"/>
    <w:rsid w:val="00203B42"/>
    <w:rsid w:val="00203B56"/>
    <w:rsid w:val="00203CD7"/>
    <w:rsid w:val="0020439E"/>
    <w:rsid w:val="00204B65"/>
    <w:rsid w:val="00205543"/>
    <w:rsid w:val="00205825"/>
    <w:rsid w:val="00205F60"/>
    <w:rsid w:val="00205F8E"/>
    <w:rsid w:val="00206144"/>
    <w:rsid w:val="00207482"/>
    <w:rsid w:val="00207578"/>
    <w:rsid w:val="002076F1"/>
    <w:rsid w:val="002079C7"/>
    <w:rsid w:val="002106BF"/>
    <w:rsid w:val="00210777"/>
    <w:rsid w:val="00211B24"/>
    <w:rsid w:val="002127EA"/>
    <w:rsid w:val="00212852"/>
    <w:rsid w:val="00212B46"/>
    <w:rsid w:val="0021328F"/>
    <w:rsid w:val="0021336F"/>
    <w:rsid w:val="00215797"/>
    <w:rsid w:val="002201D6"/>
    <w:rsid w:val="00220402"/>
    <w:rsid w:val="00220CFA"/>
    <w:rsid w:val="00220D43"/>
    <w:rsid w:val="00220E4A"/>
    <w:rsid w:val="0022135C"/>
    <w:rsid w:val="00221410"/>
    <w:rsid w:val="00222AFC"/>
    <w:rsid w:val="0022335A"/>
    <w:rsid w:val="00223F8C"/>
    <w:rsid w:val="002240A4"/>
    <w:rsid w:val="00224478"/>
    <w:rsid w:val="00224CA7"/>
    <w:rsid w:val="00224D00"/>
    <w:rsid w:val="0022512C"/>
    <w:rsid w:val="002252F2"/>
    <w:rsid w:val="00225EC2"/>
    <w:rsid w:val="00226B5D"/>
    <w:rsid w:val="00226CE0"/>
    <w:rsid w:val="00227981"/>
    <w:rsid w:val="00227D8D"/>
    <w:rsid w:val="00230518"/>
    <w:rsid w:val="00230E55"/>
    <w:rsid w:val="00233B64"/>
    <w:rsid w:val="00233E1F"/>
    <w:rsid w:val="002342C1"/>
    <w:rsid w:val="0023449C"/>
    <w:rsid w:val="00234665"/>
    <w:rsid w:val="0023498E"/>
    <w:rsid w:val="00234D8D"/>
    <w:rsid w:val="002359C1"/>
    <w:rsid w:val="00236354"/>
    <w:rsid w:val="00236456"/>
    <w:rsid w:val="00236A0D"/>
    <w:rsid w:val="00237351"/>
    <w:rsid w:val="00240385"/>
    <w:rsid w:val="00240CE0"/>
    <w:rsid w:val="00240DDC"/>
    <w:rsid w:val="002416BC"/>
    <w:rsid w:val="00241787"/>
    <w:rsid w:val="00242CF1"/>
    <w:rsid w:val="00242D9B"/>
    <w:rsid w:val="00243052"/>
    <w:rsid w:val="0024352A"/>
    <w:rsid w:val="0024385F"/>
    <w:rsid w:val="00243A06"/>
    <w:rsid w:val="00243B68"/>
    <w:rsid w:val="0024439C"/>
    <w:rsid w:val="00244EC0"/>
    <w:rsid w:val="00245295"/>
    <w:rsid w:val="00246D14"/>
    <w:rsid w:val="00247D88"/>
    <w:rsid w:val="002506A4"/>
    <w:rsid w:val="00250F94"/>
    <w:rsid w:val="00252BC9"/>
    <w:rsid w:val="00253433"/>
    <w:rsid w:val="00253D63"/>
    <w:rsid w:val="002551B0"/>
    <w:rsid w:val="0025573E"/>
    <w:rsid w:val="00256425"/>
    <w:rsid w:val="00256D51"/>
    <w:rsid w:val="0026177C"/>
    <w:rsid w:val="00261AC0"/>
    <w:rsid w:val="0026212D"/>
    <w:rsid w:val="002621DD"/>
    <w:rsid w:val="00263558"/>
    <w:rsid w:val="00263CDE"/>
    <w:rsid w:val="002648D8"/>
    <w:rsid w:val="00265238"/>
    <w:rsid w:val="00266853"/>
    <w:rsid w:val="00271DF6"/>
    <w:rsid w:val="00272B56"/>
    <w:rsid w:val="00273538"/>
    <w:rsid w:val="002735E4"/>
    <w:rsid w:val="002737B1"/>
    <w:rsid w:val="00273A23"/>
    <w:rsid w:val="00274D85"/>
    <w:rsid w:val="00276DF1"/>
    <w:rsid w:val="00276F6A"/>
    <w:rsid w:val="00276F7E"/>
    <w:rsid w:val="00277AF2"/>
    <w:rsid w:val="00280219"/>
    <w:rsid w:val="002809C8"/>
    <w:rsid w:val="0028170F"/>
    <w:rsid w:val="00281EAC"/>
    <w:rsid w:val="00282128"/>
    <w:rsid w:val="00282A75"/>
    <w:rsid w:val="00282BF7"/>
    <w:rsid w:val="00282E7D"/>
    <w:rsid w:val="0028316D"/>
    <w:rsid w:val="00283D5B"/>
    <w:rsid w:val="002867BE"/>
    <w:rsid w:val="00286D36"/>
    <w:rsid w:val="00287240"/>
    <w:rsid w:val="00287263"/>
    <w:rsid w:val="0029229E"/>
    <w:rsid w:val="002929D4"/>
    <w:rsid w:val="00292D18"/>
    <w:rsid w:val="00292FCA"/>
    <w:rsid w:val="0029427B"/>
    <w:rsid w:val="00294342"/>
    <w:rsid w:val="00294716"/>
    <w:rsid w:val="00294997"/>
    <w:rsid w:val="00294DD7"/>
    <w:rsid w:val="00296F11"/>
    <w:rsid w:val="002A0893"/>
    <w:rsid w:val="002A123B"/>
    <w:rsid w:val="002A1947"/>
    <w:rsid w:val="002A1967"/>
    <w:rsid w:val="002A1B0A"/>
    <w:rsid w:val="002A40E5"/>
    <w:rsid w:val="002A47D0"/>
    <w:rsid w:val="002A4B83"/>
    <w:rsid w:val="002A63DC"/>
    <w:rsid w:val="002A68FE"/>
    <w:rsid w:val="002A69F5"/>
    <w:rsid w:val="002A79AB"/>
    <w:rsid w:val="002A79CB"/>
    <w:rsid w:val="002B0613"/>
    <w:rsid w:val="002B073B"/>
    <w:rsid w:val="002B0BD7"/>
    <w:rsid w:val="002B16D9"/>
    <w:rsid w:val="002B1768"/>
    <w:rsid w:val="002B23C3"/>
    <w:rsid w:val="002B2D0E"/>
    <w:rsid w:val="002B32E5"/>
    <w:rsid w:val="002B3480"/>
    <w:rsid w:val="002B3551"/>
    <w:rsid w:val="002B3858"/>
    <w:rsid w:val="002B3D20"/>
    <w:rsid w:val="002B577F"/>
    <w:rsid w:val="002B57AD"/>
    <w:rsid w:val="002B584B"/>
    <w:rsid w:val="002B5F36"/>
    <w:rsid w:val="002B69C4"/>
    <w:rsid w:val="002B6D1A"/>
    <w:rsid w:val="002B70BA"/>
    <w:rsid w:val="002B719F"/>
    <w:rsid w:val="002B778B"/>
    <w:rsid w:val="002B7898"/>
    <w:rsid w:val="002C031F"/>
    <w:rsid w:val="002C09C5"/>
    <w:rsid w:val="002C16F3"/>
    <w:rsid w:val="002C1CD8"/>
    <w:rsid w:val="002C1E3F"/>
    <w:rsid w:val="002C1FC2"/>
    <w:rsid w:val="002C2775"/>
    <w:rsid w:val="002C2D93"/>
    <w:rsid w:val="002C3117"/>
    <w:rsid w:val="002C3E24"/>
    <w:rsid w:val="002C4CCF"/>
    <w:rsid w:val="002C54A3"/>
    <w:rsid w:val="002C6E77"/>
    <w:rsid w:val="002C6F02"/>
    <w:rsid w:val="002C6F19"/>
    <w:rsid w:val="002D09F8"/>
    <w:rsid w:val="002D1041"/>
    <w:rsid w:val="002D1E80"/>
    <w:rsid w:val="002D2341"/>
    <w:rsid w:val="002D277A"/>
    <w:rsid w:val="002D3350"/>
    <w:rsid w:val="002D3716"/>
    <w:rsid w:val="002D3730"/>
    <w:rsid w:val="002D3BE8"/>
    <w:rsid w:val="002D475F"/>
    <w:rsid w:val="002D5F7D"/>
    <w:rsid w:val="002D5FF9"/>
    <w:rsid w:val="002D6A22"/>
    <w:rsid w:val="002D6F81"/>
    <w:rsid w:val="002D78CE"/>
    <w:rsid w:val="002D7BC8"/>
    <w:rsid w:val="002E0210"/>
    <w:rsid w:val="002E0251"/>
    <w:rsid w:val="002E05F2"/>
    <w:rsid w:val="002E1A12"/>
    <w:rsid w:val="002E3287"/>
    <w:rsid w:val="002E3747"/>
    <w:rsid w:val="002E4277"/>
    <w:rsid w:val="002E499D"/>
    <w:rsid w:val="002E5340"/>
    <w:rsid w:val="002E5B1C"/>
    <w:rsid w:val="002E5FEE"/>
    <w:rsid w:val="002E638A"/>
    <w:rsid w:val="002E777A"/>
    <w:rsid w:val="002F0C16"/>
    <w:rsid w:val="002F161F"/>
    <w:rsid w:val="002F3D7C"/>
    <w:rsid w:val="002F426F"/>
    <w:rsid w:val="002F4351"/>
    <w:rsid w:val="002F4BEE"/>
    <w:rsid w:val="002F4F85"/>
    <w:rsid w:val="002F59AE"/>
    <w:rsid w:val="002F5BC9"/>
    <w:rsid w:val="002F5E8E"/>
    <w:rsid w:val="002F5EB7"/>
    <w:rsid w:val="002F65F0"/>
    <w:rsid w:val="002F69E3"/>
    <w:rsid w:val="002F70E0"/>
    <w:rsid w:val="002F7482"/>
    <w:rsid w:val="00300421"/>
    <w:rsid w:val="00300459"/>
    <w:rsid w:val="003010CE"/>
    <w:rsid w:val="00301ECA"/>
    <w:rsid w:val="003029E7"/>
    <w:rsid w:val="00302C94"/>
    <w:rsid w:val="0030314A"/>
    <w:rsid w:val="00303507"/>
    <w:rsid w:val="003037C8"/>
    <w:rsid w:val="00303AFB"/>
    <w:rsid w:val="00303DBF"/>
    <w:rsid w:val="00303DF5"/>
    <w:rsid w:val="00303E3C"/>
    <w:rsid w:val="00304A88"/>
    <w:rsid w:val="00304AB8"/>
    <w:rsid w:val="0030580D"/>
    <w:rsid w:val="00305ECB"/>
    <w:rsid w:val="0030685B"/>
    <w:rsid w:val="00306B30"/>
    <w:rsid w:val="00306FD1"/>
    <w:rsid w:val="003070F3"/>
    <w:rsid w:val="00307A66"/>
    <w:rsid w:val="00307E73"/>
    <w:rsid w:val="003108DC"/>
    <w:rsid w:val="00310B46"/>
    <w:rsid w:val="00310E82"/>
    <w:rsid w:val="0031134E"/>
    <w:rsid w:val="00313D24"/>
    <w:rsid w:val="00314A4E"/>
    <w:rsid w:val="00314CD5"/>
    <w:rsid w:val="00314D87"/>
    <w:rsid w:val="0031656A"/>
    <w:rsid w:val="00316720"/>
    <w:rsid w:val="00316E38"/>
    <w:rsid w:val="00317A5F"/>
    <w:rsid w:val="00317C7C"/>
    <w:rsid w:val="00320903"/>
    <w:rsid w:val="00321BCB"/>
    <w:rsid w:val="0032368E"/>
    <w:rsid w:val="003241CC"/>
    <w:rsid w:val="003245AF"/>
    <w:rsid w:val="00324D32"/>
    <w:rsid w:val="00324F49"/>
    <w:rsid w:val="00325136"/>
    <w:rsid w:val="003253F8"/>
    <w:rsid w:val="003256C0"/>
    <w:rsid w:val="003257C8"/>
    <w:rsid w:val="00325D53"/>
    <w:rsid w:val="00326761"/>
    <w:rsid w:val="0032705B"/>
    <w:rsid w:val="00330177"/>
    <w:rsid w:val="00330F64"/>
    <w:rsid w:val="00331087"/>
    <w:rsid w:val="003311D5"/>
    <w:rsid w:val="00332309"/>
    <w:rsid w:val="00332DBC"/>
    <w:rsid w:val="003330CF"/>
    <w:rsid w:val="00333BC0"/>
    <w:rsid w:val="00334E6C"/>
    <w:rsid w:val="00335BDF"/>
    <w:rsid w:val="0033656B"/>
    <w:rsid w:val="003368E0"/>
    <w:rsid w:val="003407D5"/>
    <w:rsid w:val="003410FF"/>
    <w:rsid w:val="003417F4"/>
    <w:rsid w:val="0034193D"/>
    <w:rsid w:val="003419D5"/>
    <w:rsid w:val="00341CA9"/>
    <w:rsid w:val="003439DF"/>
    <w:rsid w:val="00343DD5"/>
    <w:rsid w:val="003444B1"/>
    <w:rsid w:val="0034492B"/>
    <w:rsid w:val="003455D3"/>
    <w:rsid w:val="00345AD2"/>
    <w:rsid w:val="00345C47"/>
    <w:rsid w:val="00346E5B"/>
    <w:rsid w:val="003470A4"/>
    <w:rsid w:val="00350D44"/>
    <w:rsid w:val="00351579"/>
    <w:rsid w:val="00351C69"/>
    <w:rsid w:val="003521F3"/>
    <w:rsid w:val="00352CDE"/>
    <w:rsid w:val="00353711"/>
    <w:rsid w:val="00353F35"/>
    <w:rsid w:val="00354025"/>
    <w:rsid w:val="0035492A"/>
    <w:rsid w:val="00354AA0"/>
    <w:rsid w:val="0035567C"/>
    <w:rsid w:val="003567D9"/>
    <w:rsid w:val="00356B7F"/>
    <w:rsid w:val="00356C5C"/>
    <w:rsid w:val="00356DBE"/>
    <w:rsid w:val="00357C79"/>
    <w:rsid w:val="00360BA1"/>
    <w:rsid w:val="003611F6"/>
    <w:rsid w:val="003615CD"/>
    <w:rsid w:val="00361A17"/>
    <w:rsid w:val="00361DE9"/>
    <w:rsid w:val="003622FA"/>
    <w:rsid w:val="00362342"/>
    <w:rsid w:val="00363735"/>
    <w:rsid w:val="00363C28"/>
    <w:rsid w:val="00364D89"/>
    <w:rsid w:val="003658CA"/>
    <w:rsid w:val="003664BE"/>
    <w:rsid w:val="00366795"/>
    <w:rsid w:val="00366C56"/>
    <w:rsid w:val="00367370"/>
    <w:rsid w:val="00367455"/>
    <w:rsid w:val="00367BE2"/>
    <w:rsid w:val="00370F8A"/>
    <w:rsid w:val="003711CE"/>
    <w:rsid w:val="0037177F"/>
    <w:rsid w:val="00371E76"/>
    <w:rsid w:val="0037333C"/>
    <w:rsid w:val="00373E13"/>
    <w:rsid w:val="003750DD"/>
    <w:rsid w:val="00375300"/>
    <w:rsid w:val="0037586B"/>
    <w:rsid w:val="00375BCB"/>
    <w:rsid w:val="00376DD7"/>
    <w:rsid w:val="00377A55"/>
    <w:rsid w:val="00381052"/>
    <w:rsid w:val="00381603"/>
    <w:rsid w:val="00382A2D"/>
    <w:rsid w:val="00382BA9"/>
    <w:rsid w:val="0038309C"/>
    <w:rsid w:val="00383933"/>
    <w:rsid w:val="00383E0C"/>
    <w:rsid w:val="00384ABE"/>
    <w:rsid w:val="0038541C"/>
    <w:rsid w:val="00385AB1"/>
    <w:rsid w:val="00386894"/>
    <w:rsid w:val="00387556"/>
    <w:rsid w:val="003878F3"/>
    <w:rsid w:val="00387F89"/>
    <w:rsid w:val="003903CB"/>
    <w:rsid w:val="00390B52"/>
    <w:rsid w:val="00390BEB"/>
    <w:rsid w:val="003914F6"/>
    <w:rsid w:val="00392C87"/>
    <w:rsid w:val="00393396"/>
    <w:rsid w:val="00393D1B"/>
    <w:rsid w:val="003943D3"/>
    <w:rsid w:val="00395EC0"/>
    <w:rsid w:val="00396298"/>
    <w:rsid w:val="0039736B"/>
    <w:rsid w:val="003A0210"/>
    <w:rsid w:val="003A087F"/>
    <w:rsid w:val="003A1E54"/>
    <w:rsid w:val="003A20C7"/>
    <w:rsid w:val="003A20F1"/>
    <w:rsid w:val="003A25B6"/>
    <w:rsid w:val="003A2E43"/>
    <w:rsid w:val="003A335F"/>
    <w:rsid w:val="003A341F"/>
    <w:rsid w:val="003A3F61"/>
    <w:rsid w:val="003A43DE"/>
    <w:rsid w:val="003A55E2"/>
    <w:rsid w:val="003A5F3B"/>
    <w:rsid w:val="003A611B"/>
    <w:rsid w:val="003A69F2"/>
    <w:rsid w:val="003A6BC5"/>
    <w:rsid w:val="003B0032"/>
    <w:rsid w:val="003B01B5"/>
    <w:rsid w:val="003B0E35"/>
    <w:rsid w:val="003B17BC"/>
    <w:rsid w:val="003B1914"/>
    <w:rsid w:val="003B24CD"/>
    <w:rsid w:val="003B3BE3"/>
    <w:rsid w:val="003B3EEF"/>
    <w:rsid w:val="003B44AA"/>
    <w:rsid w:val="003B69CE"/>
    <w:rsid w:val="003B6E29"/>
    <w:rsid w:val="003B7DE1"/>
    <w:rsid w:val="003C0917"/>
    <w:rsid w:val="003C0FF8"/>
    <w:rsid w:val="003C1259"/>
    <w:rsid w:val="003C1430"/>
    <w:rsid w:val="003C1A7C"/>
    <w:rsid w:val="003C23C5"/>
    <w:rsid w:val="003C279A"/>
    <w:rsid w:val="003C2827"/>
    <w:rsid w:val="003C2BAF"/>
    <w:rsid w:val="003C39E0"/>
    <w:rsid w:val="003C4BB1"/>
    <w:rsid w:val="003C57EA"/>
    <w:rsid w:val="003C5D51"/>
    <w:rsid w:val="003C647F"/>
    <w:rsid w:val="003C66DD"/>
    <w:rsid w:val="003C6D52"/>
    <w:rsid w:val="003C77D6"/>
    <w:rsid w:val="003C7AE0"/>
    <w:rsid w:val="003C7B57"/>
    <w:rsid w:val="003D0115"/>
    <w:rsid w:val="003D0633"/>
    <w:rsid w:val="003D1ABE"/>
    <w:rsid w:val="003D1B93"/>
    <w:rsid w:val="003D3136"/>
    <w:rsid w:val="003D3235"/>
    <w:rsid w:val="003D37FC"/>
    <w:rsid w:val="003D4113"/>
    <w:rsid w:val="003D428A"/>
    <w:rsid w:val="003D443A"/>
    <w:rsid w:val="003D4B8D"/>
    <w:rsid w:val="003D4BF1"/>
    <w:rsid w:val="003D4DE6"/>
    <w:rsid w:val="003D54FC"/>
    <w:rsid w:val="003D5D6B"/>
    <w:rsid w:val="003D5E9B"/>
    <w:rsid w:val="003D612C"/>
    <w:rsid w:val="003D62D3"/>
    <w:rsid w:val="003D6332"/>
    <w:rsid w:val="003D67BB"/>
    <w:rsid w:val="003D738D"/>
    <w:rsid w:val="003D7874"/>
    <w:rsid w:val="003D7FB1"/>
    <w:rsid w:val="003E01C6"/>
    <w:rsid w:val="003E0667"/>
    <w:rsid w:val="003E0943"/>
    <w:rsid w:val="003E0DEF"/>
    <w:rsid w:val="003E1D80"/>
    <w:rsid w:val="003E242E"/>
    <w:rsid w:val="003E4B52"/>
    <w:rsid w:val="003E596E"/>
    <w:rsid w:val="003E59AC"/>
    <w:rsid w:val="003E6246"/>
    <w:rsid w:val="003E6993"/>
    <w:rsid w:val="003E741D"/>
    <w:rsid w:val="003F078C"/>
    <w:rsid w:val="003F0908"/>
    <w:rsid w:val="003F0B28"/>
    <w:rsid w:val="003F21E6"/>
    <w:rsid w:val="003F382C"/>
    <w:rsid w:val="003F3D08"/>
    <w:rsid w:val="003F4188"/>
    <w:rsid w:val="003F4583"/>
    <w:rsid w:val="003F4AF4"/>
    <w:rsid w:val="003F516F"/>
    <w:rsid w:val="003F7653"/>
    <w:rsid w:val="003F77E8"/>
    <w:rsid w:val="003F7B74"/>
    <w:rsid w:val="00400005"/>
    <w:rsid w:val="004001B1"/>
    <w:rsid w:val="004013EE"/>
    <w:rsid w:val="004017B5"/>
    <w:rsid w:val="00401A9A"/>
    <w:rsid w:val="004027AC"/>
    <w:rsid w:val="00403296"/>
    <w:rsid w:val="004034F8"/>
    <w:rsid w:val="00403846"/>
    <w:rsid w:val="00403996"/>
    <w:rsid w:val="00403AC8"/>
    <w:rsid w:val="00404758"/>
    <w:rsid w:val="00405CCB"/>
    <w:rsid w:val="0040648C"/>
    <w:rsid w:val="004065CD"/>
    <w:rsid w:val="00407582"/>
    <w:rsid w:val="00410EB4"/>
    <w:rsid w:val="004113BB"/>
    <w:rsid w:val="00411732"/>
    <w:rsid w:val="0041276D"/>
    <w:rsid w:val="004128B3"/>
    <w:rsid w:val="00412DEB"/>
    <w:rsid w:val="00413AC3"/>
    <w:rsid w:val="00413C13"/>
    <w:rsid w:val="00413DDE"/>
    <w:rsid w:val="004150D8"/>
    <w:rsid w:val="00415A8D"/>
    <w:rsid w:val="00416531"/>
    <w:rsid w:val="00416CE4"/>
    <w:rsid w:val="00417021"/>
    <w:rsid w:val="004176D1"/>
    <w:rsid w:val="004206C0"/>
    <w:rsid w:val="00422786"/>
    <w:rsid w:val="00423179"/>
    <w:rsid w:val="004239BB"/>
    <w:rsid w:val="004245B0"/>
    <w:rsid w:val="00424CF2"/>
    <w:rsid w:val="00425504"/>
    <w:rsid w:val="00426735"/>
    <w:rsid w:val="00426843"/>
    <w:rsid w:val="00427FC9"/>
    <w:rsid w:val="004301C5"/>
    <w:rsid w:val="004304CC"/>
    <w:rsid w:val="0043052D"/>
    <w:rsid w:val="00430C2E"/>
    <w:rsid w:val="004310F8"/>
    <w:rsid w:val="0043122F"/>
    <w:rsid w:val="0043132D"/>
    <w:rsid w:val="004313C7"/>
    <w:rsid w:val="0043159F"/>
    <w:rsid w:val="004316FD"/>
    <w:rsid w:val="004318EF"/>
    <w:rsid w:val="00431D9E"/>
    <w:rsid w:val="004320AD"/>
    <w:rsid w:val="00432141"/>
    <w:rsid w:val="004330B5"/>
    <w:rsid w:val="004330DF"/>
    <w:rsid w:val="00434851"/>
    <w:rsid w:val="00435377"/>
    <w:rsid w:val="00435C0E"/>
    <w:rsid w:val="00436D9A"/>
    <w:rsid w:val="004404EA"/>
    <w:rsid w:val="004407A9"/>
    <w:rsid w:val="00441FB3"/>
    <w:rsid w:val="004421DD"/>
    <w:rsid w:val="00442839"/>
    <w:rsid w:val="00442AEB"/>
    <w:rsid w:val="00443B39"/>
    <w:rsid w:val="0044402A"/>
    <w:rsid w:val="0044435A"/>
    <w:rsid w:val="004445D1"/>
    <w:rsid w:val="00444FC7"/>
    <w:rsid w:val="00445114"/>
    <w:rsid w:val="00445A7B"/>
    <w:rsid w:val="00447084"/>
    <w:rsid w:val="00447F2D"/>
    <w:rsid w:val="00450606"/>
    <w:rsid w:val="00450E90"/>
    <w:rsid w:val="004517CF"/>
    <w:rsid w:val="00452DC6"/>
    <w:rsid w:val="004536A7"/>
    <w:rsid w:val="00454C5E"/>
    <w:rsid w:val="004557FD"/>
    <w:rsid w:val="00456489"/>
    <w:rsid w:val="0045670E"/>
    <w:rsid w:val="004572B2"/>
    <w:rsid w:val="004576B9"/>
    <w:rsid w:val="00457D1D"/>
    <w:rsid w:val="004612C7"/>
    <w:rsid w:val="00461481"/>
    <w:rsid w:val="00461685"/>
    <w:rsid w:val="00461CEF"/>
    <w:rsid w:val="0046279F"/>
    <w:rsid w:val="00462AC4"/>
    <w:rsid w:val="00462B01"/>
    <w:rsid w:val="004664F0"/>
    <w:rsid w:val="00466B97"/>
    <w:rsid w:val="00466CAE"/>
    <w:rsid w:val="00466DF7"/>
    <w:rsid w:val="00467A50"/>
    <w:rsid w:val="00467B09"/>
    <w:rsid w:val="00470C24"/>
    <w:rsid w:val="0047170F"/>
    <w:rsid w:val="00471A3B"/>
    <w:rsid w:val="00471C56"/>
    <w:rsid w:val="00471F6F"/>
    <w:rsid w:val="004720F3"/>
    <w:rsid w:val="00472312"/>
    <w:rsid w:val="00472322"/>
    <w:rsid w:val="00472746"/>
    <w:rsid w:val="00472751"/>
    <w:rsid w:val="00473172"/>
    <w:rsid w:val="004734E5"/>
    <w:rsid w:val="00475625"/>
    <w:rsid w:val="00476C2B"/>
    <w:rsid w:val="00476E7A"/>
    <w:rsid w:val="00477C5E"/>
    <w:rsid w:val="00480671"/>
    <w:rsid w:val="00481678"/>
    <w:rsid w:val="00481F64"/>
    <w:rsid w:val="00483D87"/>
    <w:rsid w:val="00484597"/>
    <w:rsid w:val="004846B5"/>
    <w:rsid w:val="00484B2E"/>
    <w:rsid w:val="00486209"/>
    <w:rsid w:val="00486CDC"/>
    <w:rsid w:val="00487C6C"/>
    <w:rsid w:val="0049117E"/>
    <w:rsid w:val="004914D3"/>
    <w:rsid w:val="00491624"/>
    <w:rsid w:val="00491CBC"/>
    <w:rsid w:val="00492317"/>
    <w:rsid w:val="00492453"/>
    <w:rsid w:val="00493E8E"/>
    <w:rsid w:val="00493F41"/>
    <w:rsid w:val="004943D5"/>
    <w:rsid w:val="00497698"/>
    <w:rsid w:val="00497C6D"/>
    <w:rsid w:val="004A2713"/>
    <w:rsid w:val="004A2737"/>
    <w:rsid w:val="004A281D"/>
    <w:rsid w:val="004A3594"/>
    <w:rsid w:val="004A35B6"/>
    <w:rsid w:val="004A4C9C"/>
    <w:rsid w:val="004A57B9"/>
    <w:rsid w:val="004A62A3"/>
    <w:rsid w:val="004A65A6"/>
    <w:rsid w:val="004A72FF"/>
    <w:rsid w:val="004A7A10"/>
    <w:rsid w:val="004A7CE0"/>
    <w:rsid w:val="004B04F6"/>
    <w:rsid w:val="004B143A"/>
    <w:rsid w:val="004B1BD4"/>
    <w:rsid w:val="004B2155"/>
    <w:rsid w:val="004B2DAA"/>
    <w:rsid w:val="004B3298"/>
    <w:rsid w:val="004B3872"/>
    <w:rsid w:val="004B3CB6"/>
    <w:rsid w:val="004B47E5"/>
    <w:rsid w:val="004B4BD4"/>
    <w:rsid w:val="004B4FEC"/>
    <w:rsid w:val="004B53DD"/>
    <w:rsid w:val="004B5413"/>
    <w:rsid w:val="004B5750"/>
    <w:rsid w:val="004B5C86"/>
    <w:rsid w:val="004B5E4C"/>
    <w:rsid w:val="004B667E"/>
    <w:rsid w:val="004B6B3E"/>
    <w:rsid w:val="004B7EB4"/>
    <w:rsid w:val="004C04D7"/>
    <w:rsid w:val="004C156D"/>
    <w:rsid w:val="004C1861"/>
    <w:rsid w:val="004C2013"/>
    <w:rsid w:val="004C22BE"/>
    <w:rsid w:val="004C2BF5"/>
    <w:rsid w:val="004C2C8C"/>
    <w:rsid w:val="004C320C"/>
    <w:rsid w:val="004C3409"/>
    <w:rsid w:val="004C3CF4"/>
    <w:rsid w:val="004C43C3"/>
    <w:rsid w:val="004C4916"/>
    <w:rsid w:val="004C4D53"/>
    <w:rsid w:val="004C4F97"/>
    <w:rsid w:val="004C53E9"/>
    <w:rsid w:val="004C5544"/>
    <w:rsid w:val="004C6435"/>
    <w:rsid w:val="004C66BA"/>
    <w:rsid w:val="004C697D"/>
    <w:rsid w:val="004C6FCA"/>
    <w:rsid w:val="004C7862"/>
    <w:rsid w:val="004C786B"/>
    <w:rsid w:val="004C79CE"/>
    <w:rsid w:val="004D1536"/>
    <w:rsid w:val="004D2489"/>
    <w:rsid w:val="004D328F"/>
    <w:rsid w:val="004D3EFE"/>
    <w:rsid w:val="004D5882"/>
    <w:rsid w:val="004D62F7"/>
    <w:rsid w:val="004D6652"/>
    <w:rsid w:val="004D6922"/>
    <w:rsid w:val="004D7596"/>
    <w:rsid w:val="004E0A24"/>
    <w:rsid w:val="004E1D66"/>
    <w:rsid w:val="004E3FA1"/>
    <w:rsid w:val="004E42BD"/>
    <w:rsid w:val="004E5BB6"/>
    <w:rsid w:val="004E63BC"/>
    <w:rsid w:val="004E7681"/>
    <w:rsid w:val="004E7B46"/>
    <w:rsid w:val="004E7CD8"/>
    <w:rsid w:val="004F0464"/>
    <w:rsid w:val="004F06CB"/>
    <w:rsid w:val="004F07BD"/>
    <w:rsid w:val="004F0E0B"/>
    <w:rsid w:val="004F0EAB"/>
    <w:rsid w:val="004F2C9D"/>
    <w:rsid w:val="004F4D30"/>
    <w:rsid w:val="004F5233"/>
    <w:rsid w:val="004F529D"/>
    <w:rsid w:val="004F5B14"/>
    <w:rsid w:val="004F5EFD"/>
    <w:rsid w:val="004F5F11"/>
    <w:rsid w:val="004F6C20"/>
    <w:rsid w:val="004F6F5F"/>
    <w:rsid w:val="004F7AC2"/>
    <w:rsid w:val="004F7B49"/>
    <w:rsid w:val="004F7C77"/>
    <w:rsid w:val="00500729"/>
    <w:rsid w:val="005007B9"/>
    <w:rsid w:val="00500B85"/>
    <w:rsid w:val="00500E42"/>
    <w:rsid w:val="00500EB6"/>
    <w:rsid w:val="00501A0B"/>
    <w:rsid w:val="00502274"/>
    <w:rsid w:val="005039B3"/>
    <w:rsid w:val="00503B4B"/>
    <w:rsid w:val="00503BBF"/>
    <w:rsid w:val="005043A1"/>
    <w:rsid w:val="005043F0"/>
    <w:rsid w:val="005044BE"/>
    <w:rsid w:val="005055E9"/>
    <w:rsid w:val="005056DD"/>
    <w:rsid w:val="00505BF2"/>
    <w:rsid w:val="00506961"/>
    <w:rsid w:val="005079FC"/>
    <w:rsid w:val="00510D93"/>
    <w:rsid w:val="00511F3D"/>
    <w:rsid w:val="00511F4F"/>
    <w:rsid w:val="0051265A"/>
    <w:rsid w:val="005131C5"/>
    <w:rsid w:val="00513C8E"/>
    <w:rsid w:val="0051447B"/>
    <w:rsid w:val="005145F9"/>
    <w:rsid w:val="00515CC3"/>
    <w:rsid w:val="00515CFF"/>
    <w:rsid w:val="00516053"/>
    <w:rsid w:val="00516971"/>
    <w:rsid w:val="00516C50"/>
    <w:rsid w:val="00516DAA"/>
    <w:rsid w:val="00516E7B"/>
    <w:rsid w:val="005202B2"/>
    <w:rsid w:val="00520DA8"/>
    <w:rsid w:val="0052135D"/>
    <w:rsid w:val="005215CB"/>
    <w:rsid w:val="00521E1A"/>
    <w:rsid w:val="005220DA"/>
    <w:rsid w:val="005220F0"/>
    <w:rsid w:val="00523033"/>
    <w:rsid w:val="00523D03"/>
    <w:rsid w:val="00523F06"/>
    <w:rsid w:val="005244A6"/>
    <w:rsid w:val="005258E3"/>
    <w:rsid w:val="005259EB"/>
    <w:rsid w:val="00526127"/>
    <w:rsid w:val="00526772"/>
    <w:rsid w:val="00527258"/>
    <w:rsid w:val="00527D4B"/>
    <w:rsid w:val="00530635"/>
    <w:rsid w:val="00530806"/>
    <w:rsid w:val="00530EC7"/>
    <w:rsid w:val="00531291"/>
    <w:rsid w:val="00531CEF"/>
    <w:rsid w:val="00532A37"/>
    <w:rsid w:val="00532BA6"/>
    <w:rsid w:val="005342E8"/>
    <w:rsid w:val="00534750"/>
    <w:rsid w:val="00534DF8"/>
    <w:rsid w:val="005353F3"/>
    <w:rsid w:val="00535491"/>
    <w:rsid w:val="005354DB"/>
    <w:rsid w:val="00536203"/>
    <w:rsid w:val="005362F8"/>
    <w:rsid w:val="00537724"/>
    <w:rsid w:val="00537F8F"/>
    <w:rsid w:val="00540035"/>
    <w:rsid w:val="005402CD"/>
    <w:rsid w:val="00540E06"/>
    <w:rsid w:val="005419BD"/>
    <w:rsid w:val="00542356"/>
    <w:rsid w:val="005423B4"/>
    <w:rsid w:val="00542A2E"/>
    <w:rsid w:val="00542A94"/>
    <w:rsid w:val="00542B52"/>
    <w:rsid w:val="00542D3F"/>
    <w:rsid w:val="00542D7D"/>
    <w:rsid w:val="0054339B"/>
    <w:rsid w:val="005433C2"/>
    <w:rsid w:val="005436B1"/>
    <w:rsid w:val="00543C9C"/>
    <w:rsid w:val="00543DF2"/>
    <w:rsid w:val="0054456B"/>
    <w:rsid w:val="00544612"/>
    <w:rsid w:val="00544995"/>
    <w:rsid w:val="005450E8"/>
    <w:rsid w:val="00545698"/>
    <w:rsid w:val="00545DBD"/>
    <w:rsid w:val="00545F77"/>
    <w:rsid w:val="00546480"/>
    <w:rsid w:val="00546887"/>
    <w:rsid w:val="0054714D"/>
    <w:rsid w:val="0054727A"/>
    <w:rsid w:val="00547A4F"/>
    <w:rsid w:val="00550726"/>
    <w:rsid w:val="00551A6C"/>
    <w:rsid w:val="00551CD3"/>
    <w:rsid w:val="00551CFA"/>
    <w:rsid w:val="0055379C"/>
    <w:rsid w:val="00553DE2"/>
    <w:rsid w:val="0055434F"/>
    <w:rsid w:val="00554465"/>
    <w:rsid w:val="00554EF4"/>
    <w:rsid w:val="005556B5"/>
    <w:rsid w:val="00556873"/>
    <w:rsid w:val="00556EE4"/>
    <w:rsid w:val="00557439"/>
    <w:rsid w:val="0056070D"/>
    <w:rsid w:val="00560C4A"/>
    <w:rsid w:val="00561071"/>
    <w:rsid w:val="00561BD5"/>
    <w:rsid w:val="00562AD9"/>
    <w:rsid w:val="00563056"/>
    <w:rsid w:val="005633BB"/>
    <w:rsid w:val="0056552A"/>
    <w:rsid w:val="00565669"/>
    <w:rsid w:val="0056619B"/>
    <w:rsid w:val="00567027"/>
    <w:rsid w:val="00567618"/>
    <w:rsid w:val="00567AE1"/>
    <w:rsid w:val="00567D83"/>
    <w:rsid w:val="00567F91"/>
    <w:rsid w:val="0057123A"/>
    <w:rsid w:val="005732B5"/>
    <w:rsid w:val="0057339E"/>
    <w:rsid w:val="0057439A"/>
    <w:rsid w:val="005743BD"/>
    <w:rsid w:val="00574FF5"/>
    <w:rsid w:val="00576C4C"/>
    <w:rsid w:val="00576E1C"/>
    <w:rsid w:val="00577A4C"/>
    <w:rsid w:val="005807EA"/>
    <w:rsid w:val="005814E4"/>
    <w:rsid w:val="00581D9B"/>
    <w:rsid w:val="0058209C"/>
    <w:rsid w:val="00582162"/>
    <w:rsid w:val="00583433"/>
    <w:rsid w:val="00584006"/>
    <w:rsid w:val="005844CE"/>
    <w:rsid w:val="005854B8"/>
    <w:rsid w:val="00585843"/>
    <w:rsid w:val="00585EF4"/>
    <w:rsid w:val="00586A9C"/>
    <w:rsid w:val="00586B78"/>
    <w:rsid w:val="00586DB7"/>
    <w:rsid w:val="00586F3F"/>
    <w:rsid w:val="005875E8"/>
    <w:rsid w:val="00587BE7"/>
    <w:rsid w:val="00587EF4"/>
    <w:rsid w:val="00590401"/>
    <w:rsid w:val="00590CD7"/>
    <w:rsid w:val="00591733"/>
    <w:rsid w:val="0059197E"/>
    <w:rsid w:val="00591EB2"/>
    <w:rsid w:val="00591EF9"/>
    <w:rsid w:val="005922ED"/>
    <w:rsid w:val="00593915"/>
    <w:rsid w:val="0059395B"/>
    <w:rsid w:val="00594D18"/>
    <w:rsid w:val="005959DF"/>
    <w:rsid w:val="00596652"/>
    <w:rsid w:val="005A154D"/>
    <w:rsid w:val="005A2F9B"/>
    <w:rsid w:val="005A333E"/>
    <w:rsid w:val="005A4031"/>
    <w:rsid w:val="005A45A9"/>
    <w:rsid w:val="005A4608"/>
    <w:rsid w:val="005A6651"/>
    <w:rsid w:val="005A669E"/>
    <w:rsid w:val="005A693A"/>
    <w:rsid w:val="005A6AC3"/>
    <w:rsid w:val="005A6C8E"/>
    <w:rsid w:val="005A78EC"/>
    <w:rsid w:val="005A7F99"/>
    <w:rsid w:val="005B0D74"/>
    <w:rsid w:val="005B1003"/>
    <w:rsid w:val="005B2AB8"/>
    <w:rsid w:val="005B2C25"/>
    <w:rsid w:val="005B307F"/>
    <w:rsid w:val="005B3168"/>
    <w:rsid w:val="005B368F"/>
    <w:rsid w:val="005B4210"/>
    <w:rsid w:val="005B47C8"/>
    <w:rsid w:val="005B55B7"/>
    <w:rsid w:val="005B55E2"/>
    <w:rsid w:val="005B5C88"/>
    <w:rsid w:val="005B6549"/>
    <w:rsid w:val="005B65D9"/>
    <w:rsid w:val="005B71CA"/>
    <w:rsid w:val="005C0463"/>
    <w:rsid w:val="005C1660"/>
    <w:rsid w:val="005C1AFB"/>
    <w:rsid w:val="005C1B23"/>
    <w:rsid w:val="005C23AF"/>
    <w:rsid w:val="005C2D99"/>
    <w:rsid w:val="005C365E"/>
    <w:rsid w:val="005C48D4"/>
    <w:rsid w:val="005C4DAE"/>
    <w:rsid w:val="005C5444"/>
    <w:rsid w:val="005C56A1"/>
    <w:rsid w:val="005C584D"/>
    <w:rsid w:val="005C689A"/>
    <w:rsid w:val="005C792B"/>
    <w:rsid w:val="005D0088"/>
    <w:rsid w:val="005D01B5"/>
    <w:rsid w:val="005D05B1"/>
    <w:rsid w:val="005D12E9"/>
    <w:rsid w:val="005D1579"/>
    <w:rsid w:val="005D170E"/>
    <w:rsid w:val="005D1CC4"/>
    <w:rsid w:val="005D2400"/>
    <w:rsid w:val="005D388E"/>
    <w:rsid w:val="005D5275"/>
    <w:rsid w:val="005D5936"/>
    <w:rsid w:val="005D5DDF"/>
    <w:rsid w:val="005D6A62"/>
    <w:rsid w:val="005D7255"/>
    <w:rsid w:val="005D7832"/>
    <w:rsid w:val="005E02FF"/>
    <w:rsid w:val="005E0921"/>
    <w:rsid w:val="005E0A95"/>
    <w:rsid w:val="005E15D0"/>
    <w:rsid w:val="005E281C"/>
    <w:rsid w:val="005E2B83"/>
    <w:rsid w:val="005E3122"/>
    <w:rsid w:val="005E352A"/>
    <w:rsid w:val="005E48DA"/>
    <w:rsid w:val="005E526C"/>
    <w:rsid w:val="005E573D"/>
    <w:rsid w:val="005E6205"/>
    <w:rsid w:val="005E6345"/>
    <w:rsid w:val="005E6DF4"/>
    <w:rsid w:val="005E7B6E"/>
    <w:rsid w:val="005F0564"/>
    <w:rsid w:val="005F0E98"/>
    <w:rsid w:val="005F1287"/>
    <w:rsid w:val="005F12E1"/>
    <w:rsid w:val="005F1766"/>
    <w:rsid w:val="005F1A29"/>
    <w:rsid w:val="005F1D5A"/>
    <w:rsid w:val="005F255E"/>
    <w:rsid w:val="005F3245"/>
    <w:rsid w:val="005F372D"/>
    <w:rsid w:val="005F3BCB"/>
    <w:rsid w:val="005F3C38"/>
    <w:rsid w:val="005F3FBA"/>
    <w:rsid w:val="005F5A30"/>
    <w:rsid w:val="005F68E5"/>
    <w:rsid w:val="00601BB6"/>
    <w:rsid w:val="00601D18"/>
    <w:rsid w:val="00602C86"/>
    <w:rsid w:val="00603820"/>
    <w:rsid w:val="00605763"/>
    <w:rsid w:val="00605A8C"/>
    <w:rsid w:val="00605EF9"/>
    <w:rsid w:val="006064C6"/>
    <w:rsid w:val="00606791"/>
    <w:rsid w:val="00607BB8"/>
    <w:rsid w:val="0061005E"/>
    <w:rsid w:val="00610614"/>
    <w:rsid w:val="006106E6"/>
    <w:rsid w:val="00610A23"/>
    <w:rsid w:val="00611494"/>
    <w:rsid w:val="0061252B"/>
    <w:rsid w:val="00612B26"/>
    <w:rsid w:val="0061302E"/>
    <w:rsid w:val="00614D06"/>
    <w:rsid w:val="0061528B"/>
    <w:rsid w:val="00615297"/>
    <w:rsid w:val="00615EC5"/>
    <w:rsid w:val="00615FAC"/>
    <w:rsid w:val="006160EC"/>
    <w:rsid w:val="00616739"/>
    <w:rsid w:val="00616EC8"/>
    <w:rsid w:val="006176BD"/>
    <w:rsid w:val="00620B2A"/>
    <w:rsid w:val="00621949"/>
    <w:rsid w:val="00621A7F"/>
    <w:rsid w:val="00622058"/>
    <w:rsid w:val="0062208C"/>
    <w:rsid w:val="00622572"/>
    <w:rsid w:val="006232A3"/>
    <w:rsid w:val="00623808"/>
    <w:rsid w:val="00625A0F"/>
    <w:rsid w:val="00625C1A"/>
    <w:rsid w:val="00626E74"/>
    <w:rsid w:val="00627191"/>
    <w:rsid w:val="00627893"/>
    <w:rsid w:val="0063048D"/>
    <w:rsid w:val="006304CE"/>
    <w:rsid w:val="00630650"/>
    <w:rsid w:val="006306B1"/>
    <w:rsid w:val="006316BC"/>
    <w:rsid w:val="00631B93"/>
    <w:rsid w:val="00631BD5"/>
    <w:rsid w:val="00632201"/>
    <w:rsid w:val="00632746"/>
    <w:rsid w:val="006329BB"/>
    <w:rsid w:val="00632D0B"/>
    <w:rsid w:val="00632DB9"/>
    <w:rsid w:val="00633052"/>
    <w:rsid w:val="006340AF"/>
    <w:rsid w:val="00634A46"/>
    <w:rsid w:val="00634BE9"/>
    <w:rsid w:val="00635215"/>
    <w:rsid w:val="0063528E"/>
    <w:rsid w:val="00635299"/>
    <w:rsid w:val="00635778"/>
    <w:rsid w:val="006366D7"/>
    <w:rsid w:val="006370B6"/>
    <w:rsid w:val="006378B0"/>
    <w:rsid w:val="00640ED2"/>
    <w:rsid w:val="006411F8"/>
    <w:rsid w:val="00641E1B"/>
    <w:rsid w:val="00642FCC"/>
    <w:rsid w:val="00643580"/>
    <w:rsid w:val="00643CF9"/>
    <w:rsid w:val="0064430C"/>
    <w:rsid w:val="0064623F"/>
    <w:rsid w:val="006463D9"/>
    <w:rsid w:val="00647275"/>
    <w:rsid w:val="00647837"/>
    <w:rsid w:val="006500FA"/>
    <w:rsid w:val="006502D0"/>
    <w:rsid w:val="00650E42"/>
    <w:rsid w:val="006513B1"/>
    <w:rsid w:val="00652C7E"/>
    <w:rsid w:val="00652FA4"/>
    <w:rsid w:val="0065395E"/>
    <w:rsid w:val="00654138"/>
    <w:rsid w:val="006548FD"/>
    <w:rsid w:val="00654EB9"/>
    <w:rsid w:val="00655D8C"/>
    <w:rsid w:val="00655E42"/>
    <w:rsid w:val="00656055"/>
    <w:rsid w:val="006563BA"/>
    <w:rsid w:val="00657161"/>
    <w:rsid w:val="00657A31"/>
    <w:rsid w:val="00657FC6"/>
    <w:rsid w:val="00660401"/>
    <w:rsid w:val="00660AF4"/>
    <w:rsid w:val="00660B29"/>
    <w:rsid w:val="00660CAB"/>
    <w:rsid w:val="00661246"/>
    <w:rsid w:val="00661C62"/>
    <w:rsid w:val="00661D32"/>
    <w:rsid w:val="00661DFE"/>
    <w:rsid w:val="006635E9"/>
    <w:rsid w:val="00663936"/>
    <w:rsid w:val="00663AEA"/>
    <w:rsid w:val="0066512C"/>
    <w:rsid w:val="0066549E"/>
    <w:rsid w:val="006666C9"/>
    <w:rsid w:val="00666CF1"/>
    <w:rsid w:val="0066775F"/>
    <w:rsid w:val="00667960"/>
    <w:rsid w:val="00667C80"/>
    <w:rsid w:val="006702A1"/>
    <w:rsid w:val="00670832"/>
    <w:rsid w:val="0067083A"/>
    <w:rsid w:val="00671448"/>
    <w:rsid w:val="00671A7D"/>
    <w:rsid w:val="00673DEB"/>
    <w:rsid w:val="006744A5"/>
    <w:rsid w:val="006750E1"/>
    <w:rsid w:val="00675644"/>
    <w:rsid w:val="00675B75"/>
    <w:rsid w:val="00675FC5"/>
    <w:rsid w:val="00676757"/>
    <w:rsid w:val="00676DF6"/>
    <w:rsid w:val="00677781"/>
    <w:rsid w:val="0067789A"/>
    <w:rsid w:val="00680365"/>
    <w:rsid w:val="0068166E"/>
    <w:rsid w:val="0068413B"/>
    <w:rsid w:val="006848A7"/>
    <w:rsid w:val="00684C34"/>
    <w:rsid w:val="00684E1F"/>
    <w:rsid w:val="00685038"/>
    <w:rsid w:val="00685082"/>
    <w:rsid w:val="00685190"/>
    <w:rsid w:val="006852C8"/>
    <w:rsid w:val="00685A3F"/>
    <w:rsid w:val="00685B7B"/>
    <w:rsid w:val="00687168"/>
    <w:rsid w:val="0068716C"/>
    <w:rsid w:val="006871B4"/>
    <w:rsid w:val="006908EA"/>
    <w:rsid w:val="00690A2A"/>
    <w:rsid w:val="00691604"/>
    <w:rsid w:val="00691A55"/>
    <w:rsid w:val="00691FF4"/>
    <w:rsid w:val="0069270A"/>
    <w:rsid w:val="006931B9"/>
    <w:rsid w:val="0069327E"/>
    <w:rsid w:val="00693E2B"/>
    <w:rsid w:val="00693FFD"/>
    <w:rsid w:val="006948B9"/>
    <w:rsid w:val="006951E3"/>
    <w:rsid w:val="00695B78"/>
    <w:rsid w:val="00696C1F"/>
    <w:rsid w:val="00696E3C"/>
    <w:rsid w:val="006979AB"/>
    <w:rsid w:val="006A008B"/>
    <w:rsid w:val="006A00F8"/>
    <w:rsid w:val="006A037C"/>
    <w:rsid w:val="006A0D04"/>
    <w:rsid w:val="006A1E83"/>
    <w:rsid w:val="006A42BF"/>
    <w:rsid w:val="006A452A"/>
    <w:rsid w:val="006A500C"/>
    <w:rsid w:val="006A5AD3"/>
    <w:rsid w:val="006A5EBB"/>
    <w:rsid w:val="006A66C0"/>
    <w:rsid w:val="006A6840"/>
    <w:rsid w:val="006A6CCD"/>
    <w:rsid w:val="006A6E5B"/>
    <w:rsid w:val="006A70D8"/>
    <w:rsid w:val="006B0DAE"/>
    <w:rsid w:val="006B1609"/>
    <w:rsid w:val="006B1B53"/>
    <w:rsid w:val="006B1D46"/>
    <w:rsid w:val="006B2137"/>
    <w:rsid w:val="006B2298"/>
    <w:rsid w:val="006B270F"/>
    <w:rsid w:val="006B2AF3"/>
    <w:rsid w:val="006B3847"/>
    <w:rsid w:val="006B3A09"/>
    <w:rsid w:val="006B3F46"/>
    <w:rsid w:val="006B4011"/>
    <w:rsid w:val="006B4649"/>
    <w:rsid w:val="006B50FD"/>
    <w:rsid w:val="006B538A"/>
    <w:rsid w:val="006B5D19"/>
    <w:rsid w:val="006B7E28"/>
    <w:rsid w:val="006C066A"/>
    <w:rsid w:val="006C0A23"/>
    <w:rsid w:val="006C16A4"/>
    <w:rsid w:val="006C16EA"/>
    <w:rsid w:val="006C19B0"/>
    <w:rsid w:val="006C2058"/>
    <w:rsid w:val="006C2245"/>
    <w:rsid w:val="006C2F21"/>
    <w:rsid w:val="006C33A1"/>
    <w:rsid w:val="006C3AA5"/>
    <w:rsid w:val="006C4AB3"/>
    <w:rsid w:val="006C4BD7"/>
    <w:rsid w:val="006C5119"/>
    <w:rsid w:val="006C5134"/>
    <w:rsid w:val="006C6297"/>
    <w:rsid w:val="006C67B0"/>
    <w:rsid w:val="006C6900"/>
    <w:rsid w:val="006C72E4"/>
    <w:rsid w:val="006C792F"/>
    <w:rsid w:val="006D10E7"/>
    <w:rsid w:val="006D130E"/>
    <w:rsid w:val="006D13BF"/>
    <w:rsid w:val="006D1511"/>
    <w:rsid w:val="006D1CDB"/>
    <w:rsid w:val="006D3230"/>
    <w:rsid w:val="006D33CC"/>
    <w:rsid w:val="006D3640"/>
    <w:rsid w:val="006D3BC0"/>
    <w:rsid w:val="006D4523"/>
    <w:rsid w:val="006D615F"/>
    <w:rsid w:val="006D7341"/>
    <w:rsid w:val="006D76A6"/>
    <w:rsid w:val="006D7A67"/>
    <w:rsid w:val="006D7BE9"/>
    <w:rsid w:val="006D7D9F"/>
    <w:rsid w:val="006D7E2D"/>
    <w:rsid w:val="006E01D7"/>
    <w:rsid w:val="006E1271"/>
    <w:rsid w:val="006E164E"/>
    <w:rsid w:val="006E1878"/>
    <w:rsid w:val="006E388E"/>
    <w:rsid w:val="006E3E57"/>
    <w:rsid w:val="006E416E"/>
    <w:rsid w:val="006E44C3"/>
    <w:rsid w:val="006E4816"/>
    <w:rsid w:val="006E4936"/>
    <w:rsid w:val="006E4B8B"/>
    <w:rsid w:val="006E63FE"/>
    <w:rsid w:val="006E7BDE"/>
    <w:rsid w:val="006E7E2B"/>
    <w:rsid w:val="006E7EC5"/>
    <w:rsid w:val="006F04F3"/>
    <w:rsid w:val="006F0BC4"/>
    <w:rsid w:val="006F0F78"/>
    <w:rsid w:val="006F16BE"/>
    <w:rsid w:val="006F1C72"/>
    <w:rsid w:val="006F1CB5"/>
    <w:rsid w:val="006F25A8"/>
    <w:rsid w:val="006F2879"/>
    <w:rsid w:val="006F2DBE"/>
    <w:rsid w:val="006F3375"/>
    <w:rsid w:val="006F354D"/>
    <w:rsid w:val="006F418F"/>
    <w:rsid w:val="006F5CCA"/>
    <w:rsid w:val="006F621C"/>
    <w:rsid w:val="006F6744"/>
    <w:rsid w:val="006F6B6E"/>
    <w:rsid w:val="006F6DC8"/>
    <w:rsid w:val="006F7347"/>
    <w:rsid w:val="006F737B"/>
    <w:rsid w:val="006F750F"/>
    <w:rsid w:val="006F7D77"/>
    <w:rsid w:val="007003A0"/>
    <w:rsid w:val="0070056D"/>
    <w:rsid w:val="007006CE"/>
    <w:rsid w:val="00701D29"/>
    <w:rsid w:val="00701E38"/>
    <w:rsid w:val="00702324"/>
    <w:rsid w:val="00703C5B"/>
    <w:rsid w:val="00704068"/>
    <w:rsid w:val="00704167"/>
    <w:rsid w:val="00705190"/>
    <w:rsid w:val="00705915"/>
    <w:rsid w:val="00705FF0"/>
    <w:rsid w:val="00706FD3"/>
    <w:rsid w:val="0070774D"/>
    <w:rsid w:val="00707F24"/>
    <w:rsid w:val="007109BF"/>
    <w:rsid w:val="00711241"/>
    <w:rsid w:val="007117C6"/>
    <w:rsid w:val="007122C1"/>
    <w:rsid w:val="007125DE"/>
    <w:rsid w:val="00713BA1"/>
    <w:rsid w:val="007141D0"/>
    <w:rsid w:val="00715E78"/>
    <w:rsid w:val="00716211"/>
    <w:rsid w:val="0071743E"/>
    <w:rsid w:val="00717972"/>
    <w:rsid w:val="00720433"/>
    <w:rsid w:val="00721AD3"/>
    <w:rsid w:val="00721D88"/>
    <w:rsid w:val="00721E10"/>
    <w:rsid w:val="00721EF4"/>
    <w:rsid w:val="007237DA"/>
    <w:rsid w:val="00724326"/>
    <w:rsid w:val="00724ADA"/>
    <w:rsid w:val="00725554"/>
    <w:rsid w:val="0072591F"/>
    <w:rsid w:val="00725F7D"/>
    <w:rsid w:val="0072666A"/>
    <w:rsid w:val="00727F24"/>
    <w:rsid w:val="00731490"/>
    <w:rsid w:val="00731637"/>
    <w:rsid w:val="00732729"/>
    <w:rsid w:val="00732AB8"/>
    <w:rsid w:val="007338DD"/>
    <w:rsid w:val="00733D94"/>
    <w:rsid w:val="00733EBA"/>
    <w:rsid w:val="0073491E"/>
    <w:rsid w:val="007351F9"/>
    <w:rsid w:val="007359D3"/>
    <w:rsid w:val="00736187"/>
    <w:rsid w:val="00737195"/>
    <w:rsid w:val="007371C3"/>
    <w:rsid w:val="00740790"/>
    <w:rsid w:val="007413B4"/>
    <w:rsid w:val="007414F9"/>
    <w:rsid w:val="007417A4"/>
    <w:rsid w:val="0074185A"/>
    <w:rsid w:val="00742D27"/>
    <w:rsid w:val="00742DD7"/>
    <w:rsid w:val="00744545"/>
    <w:rsid w:val="00744707"/>
    <w:rsid w:val="00745DD3"/>
    <w:rsid w:val="00745E36"/>
    <w:rsid w:val="0074616D"/>
    <w:rsid w:val="00746A31"/>
    <w:rsid w:val="00746EF6"/>
    <w:rsid w:val="00747239"/>
    <w:rsid w:val="00747B87"/>
    <w:rsid w:val="0075220E"/>
    <w:rsid w:val="0075288B"/>
    <w:rsid w:val="00752F49"/>
    <w:rsid w:val="0075342E"/>
    <w:rsid w:val="007544C8"/>
    <w:rsid w:val="00754F7B"/>
    <w:rsid w:val="007552AF"/>
    <w:rsid w:val="0075547A"/>
    <w:rsid w:val="00755836"/>
    <w:rsid w:val="00756148"/>
    <w:rsid w:val="00756354"/>
    <w:rsid w:val="0075691A"/>
    <w:rsid w:val="00756931"/>
    <w:rsid w:val="007570BE"/>
    <w:rsid w:val="00757514"/>
    <w:rsid w:val="00761167"/>
    <w:rsid w:val="007616A7"/>
    <w:rsid w:val="00762D65"/>
    <w:rsid w:val="0076391E"/>
    <w:rsid w:val="00763C15"/>
    <w:rsid w:val="00763F77"/>
    <w:rsid w:val="00764414"/>
    <w:rsid w:val="00764A14"/>
    <w:rsid w:val="00765210"/>
    <w:rsid w:val="0076586E"/>
    <w:rsid w:val="00766665"/>
    <w:rsid w:val="00766A83"/>
    <w:rsid w:val="00766BD6"/>
    <w:rsid w:val="00766DF8"/>
    <w:rsid w:val="00770678"/>
    <w:rsid w:val="0077152E"/>
    <w:rsid w:val="0077256C"/>
    <w:rsid w:val="00772BF1"/>
    <w:rsid w:val="00773311"/>
    <w:rsid w:val="00773954"/>
    <w:rsid w:val="00773DFC"/>
    <w:rsid w:val="007740DD"/>
    <w:rsid w:val="00774B1C"/>
    <w:rsid w:val="00775F64"/>
    <w:rsid w:val="00776059"/>
    <w:rsid w:val="007761CA"/>
    <w:rsid w:val="007767FA"/>
    <w:rsid w:val="00777871"/>
    <w:rsid w:val="00777ADF"/>
    <w:rsid w:val="00777D6E"/>
    <w:rsid w:val="00780122"/>
    <w:rsid w:val="0078012F"/>
    <w:rsid w:val="00780D8B"/>
    <w:rsid w:val="00781154"/>
    <w:rsid w:val="007819E0"/>
    <w:rsid w:val="00782717"/>
    <w:rsid w:val="007827D2"/>
    <w:rsid w:val="00782C73"/>
    <w:rsid w:val="00782DC0"/>
    <w:rsid w:val="00783198"/>
    <w:rsid w:val="0078319E"/>
    <w:rsid w:val="007836EC"/>
    <w:rsid w:val="00783EFE"/>
    <w:rsid w:val="00784200"/>
    <w:rsid w:val="0078435D"/>
    <w:rsid w:val="00784E7C"/>
    <w:rsid w:val="00785098"/>
    <w:rsid w:val="00785388"/>
    <w:rsid w:val="0078579C"/>
    <w:rsid w:val="00785B25"/>
    <w:rsid w:val="00786167"/>
    <w:rsid w:val="0078619B"/>
    <w:rsid w:val="00786E31"/>
    <w:rsid w:val="007877CF"/>
    <w:rsid w:val="007878AD"/>
    <w:rsid w:val="00791F38"/>
    <w:rsid w:val="00791FD3"/>
    <w:rsid w:val="00792002"/>
    <w:rsid w:val="00792467"/>
    <w:rsid w:val="007929A8"/>
    <w:rsid w:val="00792C66"/>
    <w:rsid w:val="00792FE8"/>
    <w:rsid w:val="00794AB4"/>
    <w:rsid w:val="00794D30"/>
    <w:rsid w:val="00794DCD"/>
    <w:rsid w:val="00794F85"/>
    <w:rsid w:val="0079539F"/>
    <w:rsid w:val="00796128"/>
    <w:rsid w:val="007969FF"/>
    <w:rsid w:val="007A058A"/>
    <w:rsid w:val="007A08AF"/>
    <w:rsid w:val="007A08D6"/>
    <w:rsid w:val="007A130F"/>
    <w:rsid w:val="007A132F"/>
    <w:rsid w:val="007A16EA"/>
    <w:rsid w:val="007A239E"/>
    <w:rsid w:val="007A2EDA"/>
    <w:rsid w:val="007A45D4"/>
    <w:rsid w:val="007A4E93"/>
    <w:rsid w:val="007A501A"/>
    <w:rsid w:val="007A5CCE"/>
    <w:rsid w:val="007A5E3D"/>
    <w:rsid w:val="007A77F0"/>
    <w:rsid w:val="007A7ED5"/>
    <w:rsid w:val="007B0506"/>
    <w:rsid w:val="007B105C"/>
    <w:rsid w:val="007B123A"/>
    <w:rsid w:val="007B1AE4"/>
    <w:rsid w:val="007B25B6"/>
    <w:rsid w:val="007B39F0"/>
    <w:rsid w:val="007B3B9D"/>
    <w:rsid w:val="007B4381"/>
    <w:rsid w:val="007B50CB"/>
    <w:rsid w:val="007B53D9"/>
    <w:rsid w:val="007B5DE5"/>
    <w:rsid w:val="007B661D"/>
    <w:rsid w:val="007B6BD7"/>
    <w:rsid w:val="007B7046"/>
    <w:rsid w:val="007B71AF"/>
    <w:rsid w:val="007B739B"/>
    <w:rsid w:val="007B77FA"/>
    <w:rsid w:val="007B7DFE"/>
    <w:rsid w:val="007C01C2"/>
    <w:rsid w:val="007C0DF1"/>
    <w:rsid w:val="007C1338"/>
    <w:rsid w:val="007C19A8"/>
    <w:rsid w:val="007C2EE7"/>
    <w:rsid w:val="007C2F89"/>
    <w:rsid w:val="007C3E64"/>
    <w:rsid w:val="007C523B"/>
    <w:rsid w:val="007C538C"/>
    <w:rsid w:val="007C595A"/>
    <w:rsid w:val="007C5ACC"/>
    <w:rsid w:val="007C5D5F"/>
    <w:rsid w:val="007C65B1"/>
    <w:rsid w:val="007C7F97"/>
    <w:rsid w:val="007D0203"/>
    <w:rsid w:val="007D032D"/>
    <w:rsid w:val="007D174F"/>
    <w:rsid w:val="007D2CD9"/>
    <w:rsid w:val="007D2CDE"/>
    <w:rsid w:val="007D3382"/>
    <w:rsid w:val="007D58A2"/>
    <w:rsid w:val="007D5B20"/>
    <w:rsid w:val="007D5D09"/>
    <w:rsid w:val="007D660B"/>
    <w:rsid w:val="007D6ABA"/>
    <w:rsid w:val="007D6CCE"/>
    <w:rsid w:val="007D716D"/>
    <w:rsid w:val="007D76E1"/>
    <w:rsid w:val="007D7A66"/>
    <w:rsid w:val="007E01F1"/>
    <w:rsid w:val="007E1ADC"/>
    <w:rsid w:val="007E260C"/>
    <w:rsid w:val="007E2D87"/>
    <w:rsid w:val="007E3A5A"/>
    <w:rsid w:val="007E4018"/>
    <w:rsid w:val="007E51EA"/>
    <w:rsid w:val="007E5A5E"/>
    <w:rsid w:val="007E5A7B"/>
    <w:rsid w:val="007E646F"/>
    <w:rsid w:val="007E66F7"/>
    <w:rsid w:val="007E69E0"/>
    <w:rsid w:val="007E741B"/>
    <w:rsid w:val="007E7823"/>
    <w:rsid w:val="007F05B3"/>
    <w:rsid w:val="007F0607"/>
    <w:rsid w:val="007F1400"/>
    <w:rsid w:val="007F187F"/>
    <w:rsid w:val="007F197B"/>
    <w:rsid w:val="007F1A53"/>
    <w:rsid w:val="007F1B8D"/>
    <w:rsid w:val="007F27A8"/>
    <w:rsid w:val="007F28BD"/>
    <w:rsid w:val="007F4A19"/>
    <w:rsid w:val="007F4E19"/>
    <w:rsid w:val="007F6C87"/>
    <w:rsid w:val="007F78E9"/>
    <w:rsid w:val="008016FB"/>
    <w:rsid w:val="00803AAB"/>
    <w:rsid w:val="008040C7"/>
    <w:rsid w:val="0080522F"/>
    <w:rsid w:val="008053F5"/>
    <w:rsid w:val="008059D5"/>
    <w:rsid w:val="008069AF"/>
    <w:rsid w:val="008072BC"/>
    <w:rsid w:val="00810165"/>
    <w:rsid w:val="00810434"/>
    <w:rsid w:val="00811169"/>
    <w:rsid w:val="00811A30"/>
    <w:rsid w:val="008130E2"/>
    <w:rsid w:val="008134DA"/>
    <w:rsid w:val="00813637"/>
    <w:rsid w:val="00813D87"/>
    <w:rsid w:val="00813E4D"/>
    <w:rsid w:val="0081420D"/>
    <w:rsid w:val="00814571"/>
    <w:rsid w:val="00814617"/>
    <w:rsid w:val="00814D95"/>
    <w:rsid w:val="00814E39"/>
    <w:rsid w:val="00815422"/>
    <w:rsid w:val="00815AA2"/>
    <w:rsid w:val="0081629E"/>
    <w:rsid w:val="008163C8"/>
    <w:rsid w:val="00816726"/>
    <w:rsid w:val="008167DF"/>
    <w:rsid w:val="008175A5"/>
    <w:rsid w:val="00817C8A"/>
    <w:rsid w:val="00820B7A"/>
    <w:rsid w:val="00820CA9"/>
    <w:rsid w:val="00821A44"/>
    <w:rsid w:val="00821CD8"/>
    <w:rsid w:val="00821E20"/>
    <w:rsid w:val="00822203"/>
    <w:rsid w:val="008222D5"/>
    <w:rsid w:val="008239EA"/>
    <w:rsid w:val="00824633"/>
    <w:rsid w:val="008260C5"/>
    <w:rsid w:val="0082612D"/>
    <w:rsid w:val="00826243"/>
    <w:rsid w:val="008267D9"/>
    <w:rsid w:val="00831B0C"/>
    <w:rsid w:val="00831B5D"/>
    <w:rsid w:val="00831E30"/>
    <w:rsid w:val="008322BD"/>
    <w:rsid w:val="00833FA9"/>
    <w:rsid w:val="008346D1"/>
    <w:rsid w:val="008347F0"/>
    <w:rsid w:val="00834F92"/>
    <w:rsid w:val="00835207"/>
    <w:rsid w:val="00835513"/>
    <w:rsid w:val="00835DC3"/>
    <w:rsid w:val="00836019"/>
    <w:rsid w:val="008362C1"/>
    <w:rsid w:val="00836F0B"/>
    <w:rsid w:val="008402A5"/>
    <w:rsid w:val="00840820"/>
    <w:rsid w:val="00840DB2"/>
    <w:rsid w:val="00840E12"/>
    <w:rsid w:val="00841202"/>
    <w:rsid w:val="00841D72"/>
    <w:rsid w:val="008423A9"/>
    <w:rsid w:val="00843790"/>
    <w:rsid w:val="008437CC"/>
    <w:rsid w:val="008438E7"/>
    <w:rsid w:val="00844131"/>
    <w:rsid w:val="008441C7"/>
    <w:rsid w:val="008445B5"/>
    <w:rsid w:val="00844E07"/>
    <w:rsid w:val="00844F44"/>
    <w:rsid w:val="00845C62"/>
    <w:rsid w:val="00845C7F"/>
    <w:rsid w:val="00846067"/>
    <w:rsid w:val="008461F6"/>
    <w:rsid w:val="00846240"/>
    <w:rsid w:val="0084682F"/>
    <w:rsid w:val="00846C43"/>
    <w:rsid w:val="0084785E"/>
    <w:rsid w:val="00847C7A"/>
    <w:rsid w:val="008505BF"/>
    <w:rsid w:val="00850A37"/>
    <w:rsid w:val="0085163F"/>
    <w:rsid w:val="00852108"/>
    <w:rsid w:val="0085238A"/>
    <w:rsid w:val="00852D13"/>
    <w:rsid w:val="0085322C"/>
    <w:rsid w:val="008538BD"/>
    <w:rsid w:val="0085417B"/>
    <w:rsid w:val="00855A92"/>
    <w:rsid w:val="00856537"/>
    <w:rsid w:val="008576CE"/>
    <w:rsid w:val="00857F88"/>
    <w:rsid w:val="00861A8D"/>
    <w:rsid w:val="00863025"/>
    <w:rsid w:val="00863105"/>
    <w:rsid w:val="00863ABD"/>
    <w:rsid w:val="00864BC3"/>
    <w:rsid w:val="00865B66"/>
    <w:rsid w:val="00865C1F"/>
    <w:rsid w:val="008678FA"/>
    <w:rsid w:val="00867F31"/>
    <w:rsid w:val="00870231"/>
    <w:rsid w:val="008708BE"/>
    <w:rsid w:val="00870A71"/>
    <w:rsid w:val="00870B1F"/>
    <w:rsid w:val="00871D32"/>
    <w:rsid w:val="00872541"/>
    <w:rsid w:val="00872BAB"/>
    <w:rsid w:val="00872E5A"/>
    <w:rsid w:val="0087331A"/>
    <w:rsid w:val="00873B36"/>
    <w:rsid w:val="00873B4B"/>
    <w:rsid w:val="00874631"/>
    <w:rsid w:val="00874754"/>
    <w:rsid w:val="00875B1E"/>
    <w:rsid w:val="00876209"/>
    <w:rsid w:val="00876DA1"/>
    <w:rsid w:val="00880440"/>
    <w:rsid w:val="00880575"/>
    <w:rsid w:val="00881417"/>
    <w:rsid w:val="00881932"/>
    <w:rsid w:val="008819A3"/>
    <w:rsid w:val="00881A23"/>
    <w:rsid w:val="00881CBB"/>
    <w:rsid w:val="00882786"/>
    <w:rsid w:val="00883299"/>
    <w:rsid w:val="0088339B"/>
    <w:rsid w:val="0088344F"/>
    <w:rsid w:val="00883D6D"/>
    <w:rsid w:val="00883E6F"/>
    <w:rsid w:val="008842F5"/>
    <w:rsid w:val="00884ACB"/>
    <w:rsid w:val="00884CA4"/>
    <w:rsid w:val="0088545D"/>
    <w:rsid w:val="0088560D"/>
    <w:rsid w:val="008856C6"/>
    <w:rsid w:val="00885FF3"/>
    <w:rsid w:val="0089044E"/>
    <w:rsid w:val="0089056C"/>
    <w:rsid w:val="008917EA"/>
    <w:rsid w:val="00891DB7"/>
    <w:rsid w:val="00892635"/>
    <w:rsid w:val="00893206"/>
    <w:rsid w:val="008943F4"/>
    <w:rsid w:val="0089505C"/>
    <w:rsid w:val="008951C7"/>
    <w:rsid w:val="00895E0F"/>
    <w:rsid w:val="00895ED9"/>
    <w:rsid w:val="008963A8"/>
    <w:rsid w:val="00897791"/>
    <w:rsid w:val="008978E1"/>
    <w:rsid w:val="008A1138"/>
    <w:rsid w:val="008A1396"/>
    <w:rsid w:val="008A16C6"/>
    <w:rsid w:val="008A1CA5"/>
    <w:rsid w:val="008A3928"/>
    <w:rsid w:val="008A395E"/>
    <w:rsid w:val="008A4D64"/>
    <w:rsid w:val="008A51F1"/>
    <w:rsid w:val="008A6145"/>
    <w:rsid w:val="008A68D8"/>
    <w:rsid w:val="008B02E8"/>
    <w:rsid w:val="008B0A91"/>
    <w:rsid w:val="008B229E"/>
    <w:rsid w:val="008B250A"/>
    <w:rsid w:val="008B25F5"/>
    <w:rsid w:val="008B3074"/>
    <w:rsid w:val="008B3CAE"/>
    <w:rsid w:val="008B3DB1"/>
    <w:rsid w:val="008B45DE"/>
    <w:rsid w:val="008B4B6C"/>
    <w:rsid w:val="008B4D26"/>
    <w:rsid w:val="008B50C6"/>
    <w:rsid w:val="008B53D1"/>
    <w:rsid w:val="008B560F"/>
    <w:rsid w:val="008B595A"/>
    <w:rsid w:val="008B5C80"/>
    <w:rsid w:val="008B5CF9"/>
    <w:rsid w:val="008B622B"/>
    <w:rsid w:val="008B6703"/>
    <w:rsid w:val="008B6B99"/>
    <w:rsid w:val="008B6D77"/>
    <w:rsid w:val="008B7B4B"/>
    <w:rsid w:val="008C0455"/>
    <w:rsid w:val="008C0FD0"/>
    <w:rsid w:val="008C22E2"/>
    <w:rsid w:val="008C246A"/>
    <w:rsid w:val="008C2766"/>
    <w:rsid w:val="008C3779"/>
    <w:rsid w:val="008C37E9"/>
    <w:rsid w:val="008C4496"/>
    <w:rsid w:val="008C4639"/>
    <w:rsid w:val="008C47E4"/>
    <w:rsid w:val="008C48BD"/>
    <w:rsid w:val="008C4C03"/>
    <w:rsid w:val="008C4D67"/>
    <w:rsid w:val="008C53E1"/>
    <w:rsid w:val="008C55EE"/>
    <w:rsid w:val="008C5788"/>
    <w:rsid w:val="008C6401"/>
    <w:rsid w:val="008C6427"/>
    <w:rsid w:val="008C68B2"/>
    <w:rsid w:val="008D04E4"/>
    <w:rsid w:val="008D05FE"/>
    <w:rsid w:val="008D0D00"/>
    <w:rsid w:val="008D1890"/>
    <w:rsid w:val="008D1B1A"/>
    <w:rsid w:val="008D236A"/>
    <w:rsid w:val="008D2D2F"/>
    <w:rsid w:val="008D37C6"/>
    <w:rsid w:val="008D3876"/>
    <w:rsid w:val="008D40DA"/>
    <w:rsid w:val="008D43AD"/>
    <w:rsid w:val="008D47A5"/>
    <w:rsid w:val="008D4D7E"/>
    <w:rsid w:val="008D5546"/>
    <w:rsid w:val="008D55A5"/>
    <w:rsid w:val="008D5856"/>
    <w:rsid w:val="008D5A20"/>
    <w:rsid w:val="008D6171"/>
    <w:rsid w:val="008D7A7E"/>
    <w:rsid w:val="008D7B9C"/>
    <w:rsid w:val="008D7DA2"/>
    <w:rsid w:val="008E0CAD"/>
    <w:rsid w:val="008E1077"/>
    <w:rsid w:val="008E1E88"/>
    <w:rsid w:val="008E232E"/>
    <w:rsid w:val="008E241D"/>
    <w:rsid w:val="008E2D50"/>
    <w:rsid w:val="008E31C4"/>
    <w:rsid w:val="008E37E8"/>
    <w:rsid w:val="008E3B0F"/>
    <w:rsid w:val="008E46A3"/>
    <w:rsid w:val="008E58E3"/>
    <w:rsid w:val="008E59A0"/>
    <w:rsid w:val="008E5FC7"/>
    <w:rsid w:val="008E6A31"/>
    <w:rsid w:val="008E75FA"/>
    <w:rsid w:val="008E7FD4"/>
    <w:rsid w:val="008F00CA"/>
    <w:rsid w:val="008F040D"/>
    <w:rsid w:val="008F08DE"/>
    <w:rsid w:val="008F09E9"/>
    <w:rsid w:val="008F0FE7"/>
    <w:rsid w:val="008F1894"/>
    <w:rsid w:val="008F1993"/>
    <w:rsid w:val="008F1C4B"/>
    <w:rsid w:val="008F2018"/>
    <w:rsid w:val="008F2029"/>
    <w:rsid w:val="008F2292"/>
    <w:rsid w:val="008F2724"/>
    <w:rsid w:val="008F2898"/>
    <w:rsid w:val="008F2AFC"/>
    <w:rsid w:val="008F2F42"/>
    <w:rsid w:val="008F31C2"/>
    <w:rsid w:val="008F4CAE"/>
    <w:rsid w:val="008F535A"/>
    <w:rsid w:val="008F6CBD"/>
    <w:rsid w:val="008F758A"/>
    <w:rsid w:val="008F7F69"/>
    <w:rsid w:val="0090140C"/>
    <w:rsid w:val="009016B3"/>
    <w:rsid w:val="009037AE"/>
    <w:rsid w:val="00903ADE"/>
    <w:rsid w:val="00903B4E"/>
    <w:rsid w:val="00904600"/>
    <w:rsid w:val="00904DF5"/>
    <w:rsid w:val="009077F4"/>
    <w:rsid w:val="00907972"/>
    <w:rsid w:val="009102E3"/>
    <w:rsid w:val="00910802"/>
    <w:rsid w:val="00911DBB"/>
    <w:rsid w:val="00911E58"/>
    <w:rsid w:val="00911EA8"/>
    <w:rsid w:val="00911FEF"/>
    <w:rsid w:val="00912421"/>
    <w:rsid w:val="00912F21"/>
    <w:rsid w:val="00913563"/>
    <w:rsid w:val="00916519"/>
    <w:rsid w:val="00916888"/>
    <w:rsid w:val="0091740A"/>
    <w:rsid w:val="00920FB2"/>
    <w:rsid w:val="009210A2"/>
    <w:rsid w:val="009216F4"/>
    <w:rsid w:val="0092211F"/>
    <w:rsid w:val="00922285"/>
    <w:rsid w:val="0092232E"/>
    <w:rsid w:val="009229EC"/>
    <w:rsid w:val="00923614"/>
    <w:rsid w:val="009249AE"/>
    <w:rsid w:val="00924BC2"/>
    <w:rsid w:val="009258A5"/>
    <w:rsid w:val="009279D1"/>
    <w:rsid w:val="00930442"/>
    <w:rsid w:val="0093060A"/>
    <w:rsid w:val="00930A46"/>
    <w:rsid w:val="00930BB2"/>
    <w:rsid w:val="00931A35"/>
    <w:rsid w:val="009328A6"/>
    <w:rsid w:val="00932BBA"/>
    <w:rsid w:val="009331F5"/>
    <w:rsid w:val="00933F37"/>
    <w:rsid w:val="0093419A"/>
    <w:rsid w:val="00935524"/>
    <w:rsid w:val="0093633D"/>
    <w:rsid w:val="00936597"/>
    <w:rsid w:val="00936BD5"/>
    <w:rsid w:val="009370DF"/>
    <w:rsid w:val="009371D0"/>
    <w:rsid w:val="00937212"/>
    <w:rsid w:val="00937991"/>
    <w:rsid w:val="00937CBF"/>
    <w:rsid w:val="00937D52"/>
    <w:rsid w:val="00937FE1"/>
    <w:rsid w:val="009405E2"/>
    <w:rsid w:val="00940C53"/>
    <w:rsid w:val="00940D94"/>
    <w:rsid w:val="0094154E"/>
    <w:rsid w:val="00941CDA"/>
    <w:rsid w:val="0094209E"/>
    <w:rsid w:val="00942502"/>
    <w:rsid w:val="00942620"/>
    <w:rsid w:val="00942A62"/>
    <w:rsid w:val="00942CC3"/>
    <w:rsid w:val="009442D6"/>
    <w:rsid w:val="00944BCA"/>
    <w:rsid w:val="00944F2C"/>
    <w:rsid w:val="00946B55"/>
    <w:rsid w:val="00947082"/>
    <w:rsid w:val="0094718B"/>
    <w:rsid w:val="009472BC"/>
    <w:rsid w:val="009476E9"/>
    <w:rsid w:val="00947E6F"/>
    <w:rsid w:val="0095026C"/>
    <w:rsid w:val="00950343"/>
    <w:rsid w:val="00950A91"/>
    <w:rsid w:val="00950C76"/>
    <w:rsid w:val="00951555"/>
    <w:rsid w:val="00951DFF"/>
    <w:rsid w:val="009520BE"/>
    <w:rsid w:val="00952254"/>
    <w:rsid w:val="00953401"/>
    <w:rsid w:val="00953B6C"/>
    <w:rsid w:val="00955696"/>
    <w:rsid w:val="0095739D"/>
    <w:rsid w:val="009577FF"/>
    <w:rsid w:val="009602E3"/>
    <w:rsid w:val="00961DA2"/>
    <w:rsid w:val="009624DB"/>
    <w:rsid w:val="00963504"/>
    <w:rsid w:val="00963984"/>
    <w:rsid w:val="00963DD7"/>
    <w:rsid w:val="00964918"/>
    <w:rsid w:val="00964B32"/>
    <w:rsid w:val="00965FB8"/>
    <w:rsid w:val="00966486"/>
    <w:rsid w:val="0096729B"/>
    <w:rsid w:val="009672C8"/>
    <w:rsid w:val="00967A2B"/>
    <w:rsid w:val="00970684"/>
    <w:rsid w:val="00970ADD"/>
    <w:rsid w:val="00971301"/>
    <w:rsid w:val="00971AEA"/>
    <w:rsid w:val="009722FE"/>
    <w:rsid w:val="009731B9"/>
    <w:rsid w:val="00973C33"/>
    <w:rsid w:val="00973D3F"/>
    <w:rsid w:val="0097410F"/>
    <w:rsid w:val="009749ED"/>
    <w:rsid w:val="009751F2"/>
    <w:rsid w:val="00975820"/>
    <w:rsid w:val="00975FD9"/>
    <w:rsid w:val="0097626F"/>
    <w:rsid w:val="00976904"/>
    <w:rsid w:val="00977B74"/>
    <w:rsid w:val="009800C5"/>
    <w:rsid w:val="009812AF"/>
    <w:rsid w:val="00982779"/>
    <w:rsid w:val="009827B8"/>
    <w:rsid w:val="00983075"/>
    <w:rsid w:val="0098334F"/>
    <w:rsid w:val="00983A7D"/>
    <w:rsid w:val="00983B59"/>
    <w:rsid w:val="00983DA7"/>
    <w:rsid w:val="00983FA7"/>
    <w:rsid w:val="00984943"/>
    <w:rsid w:val="00985D50"/>
    <w:rsid w:val="00986235"/>
    <w:rsid w:val="0098711E"/>
    <w:rsid w:val="0098729D"/>
    <w:rsid w:val="009873E8"/>
    <w:rsid w:val="009900E0"/>
    <w:rsid w:val="009900FE"/>
    <w:rsid w:val="00990228"/>
    <w:rsid w:val="00990B47"/>
    <w:rsid w:val="00990E91"/>
    <w:rsid w:val="0099152D"/>
    <w:rsid w:val="00991CFC"/>
    <w:rsid w:val="00992A4F"/>
    <w:rsid w:val="0099308C"/>
    <w:rsid w:val="009937D3"/>
    <w:rsid w:val="009948B5"/>
    <w:rsid w:val="00994DBB"/>
    <w:rsid w:val="00994E68"/>
    <w:rsid w:val="00994F69"/>
    <w:rsid w:val="00995E72"/>
    <w:rsid w:val="009969B2"/>
    <w:rsid w:val="00996BF5"/>
    <w:rsid w:val="00997265"/>
    <w:rsid w:val="00997F94"/>
    <w:rsid w:val="009A07AD"/>
    <w:rsid w:val="009A0E9D"/>
    <w:rsid w:val="009A1A8F"/>
    <w:rsid w:val="009A1AE7"/>
    <w:rsid w:val="009A1B53"/>
    <w:rsid w:val="009A2061"/>
    <w:rsid w:val="009A2D86"/>
    <w:rsid w:val="009A3622"/>
    <w:rsid w:val="009A3C3F"/>
    <w:rsid w:val="009A530C"/>
    <w:rsid w:val="009A6853"/>
    <w:rsid w:val="009B0543"/>
    <w:rsid w:val="009B05ED"/>
    <w:rsid w:val="009B0CD8"/>
    <w:rsid w:val="009B1442"/>
    <w:rsid w:val="009B1829"/>
    <w:rsid w:val="009B1B5A"/>
    <w:rsid w:val="009B3EE0"/>
    <w:rsid w:val="009B56AF"/>
    <w:rsid w:val="009B5CCE"/>
    <w:rsid w:val="009B67BC"/>
    <w:rsid w:val="009B747E"/>
    <w:rsid w:val="009C0A77"/>
    <w:rsid w:val="009C14BD"/>
    <w:rsid w:val="009C1881"/>
    <w:rsid w:val="009C207F"/>
    <w:rsid w:val="009C2DA2"/>
    <w:rsid w:val="009C3C01"/>
    <w:rsid w:val="009C4AA5"/>
    <w:rsid w:val="009C59C3"/>
    <w:rsid w:val="009C633C"/>
    <w:rsid w:val="009C6EFB"/>
    <w:rsid w:val="009C7690"/>
    <w:rsid w:val="009D076F"/>
    <w:rsid w:val="009D0A5C"/>
    <w:rsid w:val="009D1171"/>
    <w:rsid w:val="009D29D7"/>
    <w:rsid w:val="009D29EA"/>
    <w:rsid w:val="009D2D81"/>
    <w:rsid w:val="009D348B"/>
    <w:rsid w:val="009D34B2"/>
    <w:rsid w:val="009D36E1"/>
    <w:rsid w:val="009D3C72"/>
    <w:rsid w:val="009D50FF"/>
    <w:rsid w:val="009D5E23"/>
    <w:rsid w:val="009D63D9"/>
    <w:rsid w:val="009D6835"/>
    <w:rsid w:val="009D70A3"/>
    <w:rsid w:val="009D7BF4"/>
    <w:rsid w:val="009E08DF"/>
    <w:rsid w:val="009E0B7E"/>
    <w:rsid w:val="009E0D83"/>
    <w:rsid w:val="009E1D0C"/>
    <w:rsid w:val="009E20A1"/>
    <w:rsid w:val="009E20E4"/>
    <w:rsid w:val="009E2246"/>
    <w:rsid w:val="009E271F"/>
    <w:rsid w:val="009E2A7F"/>
    <w:rsid w:val="009E4370"/>
    <w:rsid w:val="009E47D0"/>
    <w:rsid w:val="009E497A"/>
    <w:rsid w:val="009E5AD5"/>
    <w:rsid w:val="009E7F15"/>
    <w:rsid w:val="009F02DC"/>
    <w:rsid w:val="009F0C0D"/>
    <w:rsid w:val="009F0F64"/>
    <w:rsid w:val="009F12DD"/>
    <w:rsid w:val="009F143F"/>
    <w:rsid w:val="009F15F0"/>
    <w:rsid w:val="009F2531"/>
    <w:rsid w:val="009F276B"/>
    <w:rsid w:val="009F2EF5"/>
    <w:rsid w:val="009F3103"/>
    <w:rsid w:val="009F4C2C"/>
    <w:rsid w:val="009F5FCB"/>
    <w:rsid w:val="009F61A2"/>
    <w:rsid w:val="009F6718"/>
    <w:rsid w:val="009F79A9"/>
    <w:rsid w:val="00A006ED"/>
    <w:rsid w:val="00A00970"/>
    <w:rsid w:val="00A0192C"/>
    <w:rsid w:val="00A030AB"/>
    <w:rsid w:val="00A03437"/>
    <w:rsid w:val="00A039F7"/>
    <w:rsid w:val="00A04CF8"/>
    <w:rsid w:val="00A05D57"/>
    <w:rsid w:val="00A0600B"/>
    <w:rsid w:val="00A064CA"/>
    <w:rsid w:val="00A06EAE"/>
    <w:rsid w:val="00A06F57"/>
    <w:rsid w:val="00A077F7"/>
    <w:rsid w:val="00A079BF"/>
    <w:rsid w:val="00A07FE0"/>
    <w:rsid w:val="00A105E5"/>
    <w:rsid w:val="00A11467"/>
    <w:rsid w:val="00A1179E"/>
    <w:rsid w:val="00A11882"/>
    <w:rsid w:val="00A11A2D"/>
    <w:rsid w:val="00A12247"/>
    <w:rsid w:val="00A130A0"/>
    <w:rsid w:val="00A134A0"/>
    <w:rsid w:val="00A1428B"/>
    <w:rsid w:val="00A14AF7"/>
    <w:rsid w:val="00A14B40"/>
    <w:rsid w:val="00A15B67"/>
    <w:rsid w:val="00A16176"/>
    <w:rsid w:val="00A1672F"/>
    <w:rsid w:val="00A16C07"/>
    <w:rsid w:val="00A16C9E"/>
    <w:rsid w:val="00A2080D"/>
    <w:rsid w:val="00A20935"/>
    <w:rsid w:val="00A20C28"/>
    <w:rsid w:val="00A2111A"/>
    <w:rsid w:val="00A2117A"/>
    <w:rsid w:val="00A21992"/>
    <w:rsid w:val="00A21AC4"/>
    <w:rsid w:val="00A22309"/>
    <w:rsid w:val="00A23BF0"/>
    <w:rsid w:val="00A23C4F"/>
    <w:rsid w:val="00A23E7D"/>
    <w:rsid w:val="00A241FB"/>
    <w:rsid w:val="00A24504"/>
    <w:rsid w:val="00A24699"/>
    <w:rsid w:val="00A24C5F"/>
    <w:rsid w:val="00A25057"/>
    <w:rsid w:val="00A267DC"/>
    <w:rsid w:val="00A268F4"/>
    <w:rsid w:val="00A26C4F"/>
    <w:rsid w:val="00A26FEE"/>
    <w:rsid w:val="00A27A25"/>
    <w:rsid w:val="00A304EC"/>
    <w:rsid w:val="00A31359"/>
    <w:rsid w:val="00A313C2"/>
    <w:rsid w:val="00A31473"/>
    <w:rsid w:val="00A314B2"/>
    <w:rsid w:val="00A31D4B"/>
    <w:rsid w:val="00A32153"/>
    <w:rsid w:val="00A3296C"/>
    <w:rsid w:val="00A33087"/>
    <w:rsid w:val="00A331FA"/>
    <w:rsid w:val="00A333AA"/>
    <w:rsid w:val="00A33A46"/>
    <w:rsid w:val="00A33DAB"/>
    <w:rsid w:val="00A3478E"/>
    <w:rsid w:val="00A347EE"/>
    <w:rsid w:val="00A3485E"/>
    <w:rsid w:val="00A34EAE"/>
    <w:rsid w:val="00A3624E"/>
    <w:rsid w:val="00A36363"/>
    <w:rsid w:val="00A365CA"/>
    <w:rsid w:val="00A377ED"/>
    <w:rsid w:val="00A40045"/>
    <w:rsid w:val="00A40D92"/>
    <w:rsid w:val="00A40DAD"/>
    <w:rsid w:val="00A41223"/>
    <w:rsid w:val="00A43018"/>
    <w:rsid w:val="00A43A59"/>
    <w:rsid w:val="00A43D66"/>
    <w:rsid w:val="00A4440D"/>
    <w:rsid w:val="00A4552D"/>
    <w:rsid w:val="00A455C0"/>
    <w:rsid w:val="00A45844"/>
    <w:rsid w:val="00A46CBD"/>
    <w:rsid w:val="00A46EDB"/>
    <w:rsid w:val="00A4775E"/>
    <w:rsid w:val="00A47840"/>
    <w:rsid w:val="00A500D8"/>
    <w:rsid w:val="00A508E5"/>
    <w:rsid w:val="00A50AB3"/>
    <w:rsid w:val="00A50EAF"/>
    <w:rsid w:val="00A516CD"/>
    <w:rsid w:val="00A52B1E"/>
    <w:rsid w:val="00A5396E"/>
    <w:rsid w:val="00A53DE5"/>
    <w:rsid w:val="00A5499D"/>
    <w:rsid w:val="00A54B04"/>
    <w:rsid w:val="00A54CF8"/>
    <w:rsid w:val="00A54D0C"/>
    <w:rsid w:val="00A552DA"/>
    <w:rsid w:val="00A55D69"/>
    <w:rsid w:val="00A565CC"/>
    <w:rsid w:val="00A5660D"/>
    <w:rsid w:val="00A56CE8"/>
    <w:rsid w:val="00A56E61"/>
    <w:rsid w:val="00A57B58"/>
    <w:rsid w:val="00A605D5"/>
    <w:rsid w:val="00A60768"/>
    <w:rsid w:val="00A627A9"/>
    <w:rsid w:val="00A634D9"/>
    <w:rsid w:val="00A6392A"/>
    <w:rsid w:val="00A63EDD"/>
    <w:rsid w:val="00A64685"/>
    <w:rsid w:val="00A64B09"/>
    <w:rsid w:val="00A64BC1"/>
    <w:rsid w:val="00A64DC4"/>
    <w:rsid w:val="00A64FA6"/>
    <w:rsid w:val="00A654F6"/>
    <w:rsid w:val="00A65D6B"/>
    <w:rsid w:val="00A6736B"/>
    <w:rsid w:val="00A673D3"/>
    <w:rsid w:val="00A67EDB"/>
    <w:rsid w:val="00A7081D"/>
    <w:rsid w:val="00A71117"/>
    <w:rsid w:val="00A71C31"/>
    <w:rsid w:val="00A72128"/>
    <w:rsid w:val="00A72542"/>
    <w:rsid w:val="00A72B1E"/>
    <w:rsid w:val="00A73195"/>
    <w:rsid w:val="00A76633"/>
    <w:rsid w:val="00A7728B"/>
    <w:rsid w:val="00A77778"/>
    <w:rsid w:val="00A7780E"/>
    <w:rsid w:val="00A77884"/>
    <w:rsid w:val="00A77AAA"/>
    <w:rsid w:val="00A81440"/>
    <w:rsid w:val="00A815A2"/>
    <w:rsid w:val="00A82E4F"/>
    <w:rsid w:val="00A8417A"/>
    <w:rsid w:val="00A84811"/>
    <w:rsid w:val="00A84A00"/>
    <w:rsid w:val="00A85830"/>
    <w:rsid w:val="00A8624A"/>
    <w:rsid w:val="00A8676D"/>
    <w:rsid w:val="00A86F7D"/>
    <w:rsid w:val="00A90725"/>
    <w:rsid w:val="00A908EF"/>
    <w:rsid w:val="00A918EF"/>
    <w:rsid w:val="00A91A55"/>
    <w:rsid w:val="00A920FA"/>
    <w:rsid w:val="00A92EC1"/>
    <w:rsid w:val="00A936CA"/>
    <w:rsid w:val="00A952BE"/>
    <w:rsid w:val="00A95328"/>
    <w:rsid w:val="00A953E4"/>
    <w:rsid w:val="00A95DD5"/>
    <w:rsid w:val="00A968CE"/>
    <w:rsid w:val="00A96BF3"/>
    <w:rsid w:val="00A96E31"/>
    <w:rsid w:val="00A97119"/>
    <w:rsid w:val="00A977CA"/>
    <w:rsid w:val="00A97815"/>
    <w:rsid w:val="00A97BD5"/>
    <w:rsid w:val="00A97EAE"/>
    <w:rsid w:val="00AA07CC"/>
    <w:rsid w:val="00AA10C5"/>
    <w:rsid w:val="00AA1162"/>
    <w:rsid w:val="00AA2C1B"/>
    <w:rsid w:val="00AA2F88"/>
    <w:rsid w:val="00AA2F90"/>
    <w:rsid w:val="00AA2FAB"/>
    <w:rsid w:val="00AA39D3"/>
    <w:rsid w:val="00AA40D3"/>
    <w:rsid w:val="00AA42C7"/>
    <w:rsid w:val="00AA52AD"/>
    <w:rsid w:val="00AA66B0"/>
    <w:rsid w:val="00AA66D8"/>
    <w:rsid w:val="00AB0399"/>
    <w:rsid w:val="00AB0864"/>
    <w:rsid w:val="00AB2113"/>
    <w:rsid w:val="00AB250D"/>
    <w:rsid w:val="00AB296A"/>
    <w:rsid w:val="00AB3347"/>
    <w:rsid w:val="00AB37F8"/>
    <w:rsid w:val="00AB382F"/>
    <w:rsid w:val="00AB4BE2"/>
    <w:rsid w:val="00AB50E5"/>
    <w:rsid w:val="00AB651A"/>
    <w:rsid w:val="00AB7682"/>
    <w:rsid w:val="00AB7C7D"/>
    <w:rsid w:val="00AB7D40"/>
    <w:rsid w:val="00AC0667"/>
    <w:rsid w:val="00AC0774"/>
    <w:rsid w:val="00AC1907"/>
    <w:rsid w:val="00AC2291"/>
    <w:rsid w:val="00AC3621"/>
    <w:rsid w:val="00AC37F9"/>
    <w:rsid w:val="00AC3B5A"/>
    <w:rsid w:val="00AC442F"/>
    <w:rsid w:val="00AC5063"/>
    <w:rsid w:val="00AC52B2"/>
    <w:rsid w:val="00AC582E"/>
    <w:rsid w:val="00AC5904"/>
    <w:rsid w:val="00AC5D44"/>
    <w:rsid w:val="00AC61DD"/>
    <w:rsid w:val="00AC6791"/>
    <w:rsid w:val="00AC7A96"/>
    <w:rsid w:val="00AC7BE6"/>
    <w:rsid w:val="00AD0CFD"/>
    <w:rsid w:val="00AD0D22"/>
    <w:rsid w:val="00AD1CD7"/>
    <w:rsid w:val="00AD1E10"/>
    <w:rsid w:val="00AD2335"/>
    <w:rsid w:val="00AD2FAF"/>
    <w:rsid w:val="00AD31E2"/>
    <w:rsid w:val="00AD465E"/>
    <w:rsid w:val="00AD476E"/>
    <w:rsid w:val="00AD4B41"/>
    <w:rsid w:val="00AD4D99"/>
    <w:rsid w:val="00AD55D5"/>
    <w:rsid w:val="00AD5AD9"/>
    <w:rsid w:val="00AD67A5"/>
    <w:rsid w:val="00AD797D"/>
    <w:rsid w:val="00AE0329"/>
    <w:rsid w:val="00AE0432"/>
    <w:rsid w:val="00AE0ACE"/>
    <w:rsid w:val="00AE11EB"/>
    <w:rsid w:val="00AE1844"/>
    <w:rsid w:val="00AE1EC1"/>
    <w:rsid w:val="00AE2794"/>
    <w:rsid w:val="00AE28A1"/>
    <w:rsid w:val="00AE2B36"/>
    <w:rsid w:val="00AE358C"/>
    <w:rsid w:val="00AE3D2F"/>
    <w:rsid w:val="00AE3EEF"/>
    <w:rsid w:val="00AE4245"/>
    <w:rsid w:val="00AE5229"/>
    <w:rsid w:val="00AE792E"/>
    <w:rsid w:val="00AF0024"/>
    <w:rsid w:val="00AF0727"/>
    <w:rsid w:val="00AF2409"/>
    <w:rsid w:val="00AF275E"/>
    <w:rsid w:val="00AF370A"/>
    <w:rsid w:val="00AF5CDD"/>
    <w:rsid w:val="00AF6A10"/>
    <w:rsid w:val="00AF7CDB"/>
    <w:rsid w:val="00B004D7"/>
    <w:rsid w:val="00B01068"/>
    <w:rsid w:val="00B015FC"/>
    <w:rsid w:val="00B01687"/>
    <w:rsid w:val="00B02248"/>
    <w:rsid w:val="00B02FB0"/>
    <w:rsid w:val="00B035B1"/>
    <w:rsid w:val="00B0385F"/>
    <w:rsid w:val="00B038DE"/>
    <w:rsid w:val="00B03E98"/>
    <w:rsid w:val="00B0422C"/>
    <w:rsid w:val="00B0596E"/>
    <w:rsid w:val="00B06C0C"/>
    <w:rsid w:val="00B0733A"/>
    <w:rsid w:val="00B076C6"/>
    <w:rsid w:val="00B104A7"/>
    <w:rsid w:val="00B12510"/>
    <w:rsid w:val="00B133B1"/>
    <w:rsid w:val="00B13926"/>
    <w:rsid w:val="00B13CA7"/>
    <w:rsid w:val="00B13F85"/>
    <w:rsid w:val="00B14C96"/>
    <w:rsid w:val="00B14F46"/>
    <w:rsid w:val="00B16C21"/>
    <w:rsid w:val="00B16DE5"/>
    <w:rsid w:val="00B20585"/>
    <w:rsid w:val="00B20D37"/>
    <w:rsid w:val="00B218E5"/>
    <w:rsid w:val="00B21CC2"/>
    <w:rsid w:val="00B224AF"/>
    <w:rsid w:val="00B22E2E"/>
    <w:rsid w:val="00B23B54"/>
    <w:rsid w:val="00B24982"/>
    <w:rsid w:val="00B2508C"/>
    <w:rsid w:val="00B25578"/>
    <w:rsid w:val="00B26A37"/>
    <w:rsid w:val="00B27C39"/>
    <w:rsid w:val="00B27EC5"/>
    <w:rsid w:val="00B301A3"/>
    <w:rsid w:val="00B306A2"/>
    <w:rsid w:val="00B30A67"/>
    <w:rsid w:val="00B30E24"/>
    <w:rsid w:val="00B31041"/>
    <w:rsid w:val="00B31910"/>
    <w:rsid w:val="00B32126"/>
    <w:rsid w:val="00B321B0"/>
    <w:rsid w:val="00B3252A"/>
    <w:rsid w:val="00B3254F"/>
    <w:rsid w:val="00B33963"/>
    <w:rsid w:val="00B34B11"/>
    <w:rsid w:val="00B352DC"/>
    <w:rsid w:val="00B3620E"/>
    <w:rsid w:val="00B367C3"/>
    <w:rsid w:val="00B36F4B"/>
    <w:rsid w:val="00B373E3"/>
    <w:rsid w:val="00B37455"/>
    <w:rsid w:val="00B374EF"/>
    <w:rsid w:val="00B37592"/>
    <w:rsid w:val="00B37C5B"/>
    <w:rsid w:val="00B41086"/>
    <w:rsid w:val="00B413E6"/>
    <w:rsid w:val="00B41B06"/>
    <w:rsid w:val="00B41C16"/>
    <w:rsid w:val="00B41CC8"/>
    <w:rsid w:val="00B42185"/>
    <w:rsid w:val="00B425B7"/>
    <w:rsid w:val="00B444FF"/>
    <w:rsid w:val="00B45479"/>
    <w:rsid w:val="00B456E9"/>
    <w:rsid w:val="00B45D20"/>
    <w:rsid w:val="00B465DA"/>
    <w:rsid w:val="00B472D2"/>
    <w:rsid w:val="00B47FF0"/>
    <w:rsid w:val="00B50291"/>
    <w:rsid w:val="00B5044E"/>
    <w:rsid w:val="00B507B8"/>
    <w:rsid w:val="00B509E8"/>
    <w:rsid w:val="00B51D8E"/>
    <w:rsid w:val="00B524B1"/>
    <w:rsid w:val="00B52C77"/>
    <w:rsid w:val="00B52DAF"/>
    <w:rsid w:val="00B5365A"/>
    <w:rsid w:val="00B53A36"/>
    <w:rsid w:val="00B5442B"/>
    <w:rsid w:val="00B544B1"/>
    <w:rsid w:val="00B54AC7"/>
    <w:rsid w:val="00B55216"/>
    <w:rsid w:val="00B5583D"/>
    <w:rsid w:val="00B567ED"/>
    <w:rsid w:val="00B56B53"/>
    <w:rsid w:val="00B57C26"/>
    <w:rsid w:val="00B6019C"/>
    <w:rsid w:val="00B61885"/>
    <w:rsid w:val="00B61903"/>
    <w:rsid w:val="00B61FDC"/>
    <w:rsid w:val="00B629E0"/>
    <w:rsid w:val="00B63285"/>
    <w:rsid w:val="00B63347"/>
    <w:rsid w:val="00B63EE1"/>
    <w:rsid w:val="00B6420E"/>
    <w:rsid w:val="00B64510"/>
    <w:rsid w:val="00B645DD"/>
    <w:rsid w:val="00B6538D"/>
    <w:rsid w:val="00B65402"/>
    <w:rsid w:val="00B65641"/>
    <w:rsid w:val="00B6679B"/>
    <w:rsid w:val="00B67232"/>
    <w:rsid w:val="00B67476"/>
    <w:rsid w:val="00B6793B"/>
    <w:rsid w:val="00B67BCC"/>
    <w:rsid w:val="00B67E31"/>
    <w:rsid w:val="00B7022E"/>
    <w:rsid w:val="00B706FF"/>
    <w:rsid w:val="00B71FB5"/>
    <w:rsid w:val="00B72B1A"/>
    <w:rsid w:val="00B72F11"/>
    <w:rsid w:val="00B739FB"/>
    <w:rsid w:val="00B73C51"/>
    <w:rsid w:val="00B74022"/>
    <w:rsid w:val="00B74668"/>
    <w:rsid w:val="00B755FF"/>
    <w:rsid w:val="00B75A58"/>
    <w:rsid w:val="00B75F2B"/>
    <w:rsid w:val="00B766CB"/>
    <w:rsid w:val="00B76824"/>
    <w:rsid w:val="00B77040"/>
    <w:rsid w:val="00B7781F"/>
    <w:rsid w:val="00B77EAC"/>
    <w:rsid w:val="00B801C3"/>
    <w:rsid w:val="00B808B3"/>
    <w:rsid w:val="00B81248"/>
    <w:rsid w:val="00B81FC5"/>
    <w:rsid w:val="00B8281F"/>
    <w:rsid w:val="00B8304E"/>
    <w:rsid w:val="00B83924"/>
    <w:rsid w:val="00B83FE0"/>
    <w:rsid w:val="00B85547"/>
    <w:rsid w:val="00B855C3"/>
    <w:rsid w:val="00B857F5"/>
    <w:rsid w:val="00B85EBA"/>
    <w:rsid w:val="00B870E3"/>
    <w:rsid w:val="00B87A78"/>
    <w:rsid w:val="00B87BC3"/>
    <w:rsid w:val="00B87D17"/>
    <w:rsid w:val="00B91BC6"/>
    <w:rsid w:val="00B922C9"/>
    <w:rsid w:val="00B928B0"/>
    <w:rsid w:val="00B92E6D"/>
    <w:rsid w:val="00B93827"/>
    <w:rsid w:val="00B93F21"/>
    <w:rsid w:val="00B94033"/>
    <w:rsid w:val="00B943BD"/>
    <w:rsid w:val="00B949D6"/>
    <w:rsid w:val="00B964F5"/>
    <w:rsid w:val="00B969BE"/>
    <w:rsid w:val="00B96FDE"/>
    <w:rsid w:val="00B970B7"/>
    <w:rsid w:val="00BA0A9B"/>
    <w:rsid w:val="00BA0D1C"/>
    <w:rsid w:val="00BA2979"/>
    <w:rsid w:val="00BA2CD1"/>
    <w:rsid w:val="00BA38DF"/>
    <w:rsid w:val="00BA40FB"/>
    <w:rsid w:val="00BA4304"/>
    <w:rsid w:val="00BA4F64"/>
    <w:rsid w:val="00BA50DF"/>
    <w:rsid w:val="00BA56AE"/>
    <w:rsid w:val="00BA5824"/>
    <w:rsid w:val="00BA59BB"/>
    <w:rsid w:val="00BA5AD6"/>
    <w:rsid w:val="00BA61BC"/>
    <w:rsid w:val="00BA61D3"/>
    <w:rsid w:val="00BA68CF"/>
    <w:rsid w:val="00BA6ABC"/>
    <w:rsid w:val="00BA6B2F"/>
    <w:rsid w:val="00BB11F9"/>
    <w:rsid w:val="00BB1231"/>
    <w:rsid w:val="00BB2477"/>
    <w:rsid w:val="00BB24FA"/>
    <w:rsid w:val="00BB2B4F"/>
    <w:rsid w:val="00BB2BEA"/>
    <w:rsid w:val="00BB32A8"/>
    <w:rsid w:val="00BB3638"/>
    <w:rsid w:val="00BB3B07"/>
    <w:rsid w:val="00BB3C80"/>
    <w:rsid w:val="00BB4ED7"/>
    <w:rsid w:val="00BB5682"/>
    <w:rsid w:val="00BB69E7"/>
    <w:rsid w:val="00BB7B53"/>
    <w:rsid w:val="00BC0B5E"/>
    <w:rsid w:val="00BC0E56"/>
    <w:rsid w:val="00BC1849"/>
    <w:rsid w:val="00BC236C"/>
    <w:rsid w:val="00BC2B05"/>
    <w:rsid w:val="00BC2B3D"/>
    <w:rsid w:val="00BC34F6"/>
    <w:rsid w:val="00BC3FAE"/>
    <w:rsid w:val="00BC442D"/>
    <w:rsid w:val="00BC5BD6"/>
    <w:rsid w:val="00BC679E"/>
    <w:rsid w:val="00BC7309"/>
    <w:rsid w:val="00BD0B44"/>
    <w:rsid w:val="00BD0CFA"/>
    <w:rsid w:val="00BD3C42"/>
    <w:rsid w:val="00BD426F"/>
    <w:rsid w:val="00BD454D"/>
    <w:rsid w:val="00BD46CC"/>
    <w:rsid w:val="00BD471E"/>
    <w:rsid w:val="00BD4B9A"/>
    <w:rsid w:val="00BD545D"/>
    <w:rsid w:val="00BD5A54"/>
    <w:rsid w:val="00BD72BA"/>
    <w:rsid w:val="00BD787A"/>
    <w:rsid w:val="00BD79C1"/>
    <w:rsid w:val="00BD7D10"/>
    <w:rsid w:val="00BE13EC"/>
    <w:rsid w:val="00BE2670"/>
    <w:rsid w:val="00BE3D97"/>
    <w:rsid w:val="00BE4578"/>
    <w:rsid w:val="00BE4BFF"/>
    <w:rsid w:val="00BE4D2D"/>
    <w:rsid w:val="00BE4EA8"/>
    <w:rsid w:val="00BE5333"/>
    <w:rsid w:val="00BE561C"/>
    <w:rsid w:val="00BE609C"/>
    <w:rsid w:val="00BE6B4D"/>
    <w:rsid w:val="00BE6D94"/>
    <w:rsid w:val="00BE7066"/>
    <w:rsid w:val="00BE71A2"/>
    <w:rsid w:val="00BE768B"/>
    <w:rsid w:val="00BE7B12"/>
    <w:rsid w:val="00BE7F9F"/>
    <w:rsid w:val="00BF0053"/>
    <w:rsid w:val="00BF08DF"/>
    <w:rsid w:val="00BF0CE6"/>
    <w:rsid w:val="00BF0F2F"/>
    <w:rsid w:val="00BF1016"/>
    <w:rsid w:val="00BF14E1"/>
    <w:rsid w:val="00BF154A"/>
    <w:rsid w:val="00BF1649"/>
    <w:rsid w:val="00BF1DBE"/>
    <w:rsid w:val="00BF223E"/>
    <w:rsid w:val="00BF2D48"/>
    <w:rsid w:val="00BF3240"/>
    <w:rsid w:val="00BF34A4"/>
    <w:rsid w:val="00BF3879"/>
    <w:rsid w:val="00BF4FBD"/>
    <w:rsid w:val="00BF54CE"/>
    <w:rsid w:val="00BF56C3"/>
    <w:rsid w:val="00BF5E05"/>
    <w:rsid w:val="00BF6BB3"/>
    <w:rsid w:val="00BF6EB7"/>
    <w:rsid w:val="00C006F5"/>
    <w:rsid w:val="00C0071B"/>
    <w:rsid w:val="00C00A2B"/>
    <w:rsid w:val="00C039EF"/>
    <w:rsid w:val="00C03B82"/>
    <w:rsid w:val="00C04640"/>
    <w:rsid w:val="00C04772"/>
    <w:rsid w:val="00C05E31"/>
    <w:rsid w:val="00C06553"/>
    <w:rsid w:val="00C065E6"/>
    <w:rsid w:val="00C0739F"/>
    <w:rsid w:val="00C07586"/>
    <w:rsid w:val="00C0765C"/>
    <w:rsid w:val="00C07E8F"/>
    <w:rsid w:val="00C11AB8"/>
    <w:rsid w:val="00C12464"/>
    <w:rsid w:val="00C12C8F"/>
    <w:rsid w:val="00C12FC8"/>
    <w:rsid w:val="00C13160"/>
    <w:rsid w:val="00C13395"/>
    <w:rsid w:val="00C13D50"/>
    <w:rsid w:val="00C13DC4"/>
    <w:rsid w:val="00C1461F"/>
    <w:rsid w:val="00C1481B"/>
    <w:rsid w:val="00C14C56"/>
    <w:rsid w:val="00C14CAE"/>
    <w:rsid w:val="00C14FFC"/>
    <w:rsid w:val="00C150C8"/>
    <w:rsid w:val="00C15DF8"/>
    <w:rsid w:val="00C16847"/>
    <w:rsid w:val="00C16A45"/>
    <w:rsid w:val="00C16A8B"/>
    <w:rsid w:val="00C16EB0"/>
    <w:rsid w:val="00C17037"/>
    <w:rsid w:val="00C172BC"/>
    <w:rsid w:val="00C17ADA"/>
    <w:rsid w:val="00C20D5A"/>
    <w:rsid w:val="00C2114E"/>
    <w:rsid w:val="00C21A81"/>
    <w:rsid w:val="00C22257"/>
    <w:rsid w:val="00C2235D"/>
    <w:rsid w:val="00C22608"/>
    <w:rsid w:val="00C22B20"/>
    <w:rsid w:val="00C231EE"/>
    <w:rsid w:val="00C23F93"/>
    <w:rsid w:val="00C240FD"/>
    <w:rsid w:val="00C24A0A"/>
    <w:rsid w:val="00C24B7B"/>
    <w:rsid w:val="00C24ECA"/>
    <w:rsid w:val="00C25757"/>
    <w:rsid w:val="00C2577A"/>
    <w:rsid w:val="00C2598E"/>
    <w:rsid w:val="00C259FC"/>
    <w:rsid w:val="00C25F17"/>
    <w:rsid w:val="00C26C3B"/>
    <w:rsid w:val="00C26D2B"/>
    <w:rsid w:val="00C275B7"/>
    <w:rsid w:val="00C27981"/>
    <w:rsid w:val="00C302E1"/>
    <w:rsid w:val="00C30834"/>
    <w:rsid w:val="00C31324"/>
    <w:rsid w:val="00C31C82"/>
    <w:rsid w:val="00C31F9A"/>
    <w:rsid w:val="00C32B69"/>
    <w:rsid w:val="00C32BF9"/>
    <w:rsid w:val="00C32EBA"/>
    <w:rsid w:val="00C33485"/>
    <w:rsid w:val="00C33BD1"/>
    <w:rsid w:val="00C344EE"/>
    <w:rsid w:val="00C35DBE"/>
    <w:rsid w:val="00C37376"/>
    <w:rsid w:val="00C40FE6"/>
    <w:rsid w:val="00C41549"/>
    <w:rsid w:val="00C41ED6"/>
    <w:rsid w:val="00C41EDE"/>
    <w:rsid w:val="00C41FF1"/>
    <w:rsid w:val="00C424AE"/>
    <w:rsid w:val="00C42675"/>
    <w:rsid w:val="00C4268A"/>
    <w:rsid w:val="00C4288D"/>
    <w:rsid w:val="00C43444"/>
    <w:rsid w:val="00C43630"/>
    <w:rsid w:val="00C43780"/>
    <w:rsid w:val="00C43FDB"/>
    <w:rsid w:val="00C45C43"/>
    <w:rsid w:val="00C46317"/>
    <w:rsid w:val="00C46938"/>
    <w:rsid w:val="00C469AC"/>
    <w:rsid w:val="00C47029"/>
    <w:rsid w:val="00C47329"/>
    <w:rsid w:val="00C5061D"/>
    <w:rsid w:val="00C513B4"/>
    <w:rsid w:val="00C51572"/>
    <w:rsid w:val="00C516DA"/>
    <w:rsid w:val="00C52499"/>
    <w:rsid w:val="00C524FA"/>
    <w:rsid w:val="00C525AB"/>
    <w:rsid w:val="00C52E13"/>
    <w:rsid w:val="00C53F0D"/>
    <w:rsid w:val="00C54727"/>
    <w:rsid w:val="00C5569B"/>
    <w:rsid w:val="00C55F85"/>
    <w:rsid w:val="00C56540"/>
    <w:rsid w:val="00C57520"/>
    <w:rsid w:val="00C57A4F"/>
    <w:rsid w:val="00C57CDA"/>
    <w:rsid w:val="00C60DB4"/>
    <w:rsid w:val="00C61414"/>
    <w:rsid w:val="00C618A0"/>
    <w:rsid w:val="00C6196F"/>
    <w:rsid w:val="00C64206"/>
    <w:rsid w:val="00C647CF"/>
    <w:rsid w:val="00C655C0"/>
    <w:rsid w:val="00C65751"/>
    <w:rsid w:val="00C65E78"/>
    <w:rsid w:val="00C6675C"/>
    <w:rsid w:val="00C6712E"/>
    <w:rsid w:val="00C675A7"/>
    <w:rsid w:val="00C67BDF"/>
    <w:rsid w:val="00C67EF1"/>
    <w:rsid w:val="00C7031F"/>
    <w:rsid w:val="00C7187F"/>
    <w:rsid w:val="00C71BEA"/>
    <w:rsid w:val="00C71E60"/>
    <w:rsid w:val="00C740B3"/>
    <w:rsid w:val="00C74B6F"/>
    <w:rsid w:val="00C74F23"/>
    <w:rsid w:val="00C74FE5"/>
    <w:rsid w:val="00C75803"/>
    <w:rsid w:val="00C7788A"/>
    <w:rsid w:val="00C77D0E"/>
    <w:rsid w:val="00C800FC"/>
    <w:rsid w:val="00C816DD"/>
    <w:rsid w:val="00C82440"/>
    <w:rsid w:val="00C8277E"/>
    <w:rsid w:val="00C82ABC"/>
    <w:rsid w:val="00C83870"/>
    <w:rsid w:val="00C83971"/>
    <w:rsid w:val="00C839D4"/>
    <w:rsid w:val="00C83C58"/>
    <w:rsid w:val="00C8435E"/>
    <w:rsid w:val="00C85932"/>
    <w:rsid w:val="00C85BEB"/>
    <w:rsid w:val="00C86A3A"/>
    <w:rsid w:val="00C86E67"/>
    <w:rsid w:val="00C86F3D"/>
    <w:rsid w:val="00C874DE"/>
    <w:rsid w:val="00C875CC"/>
    <w:rsid w:val="00C90FAA"/>
    <w:rsid w:val="00C920E3"/>
    <w:rsid w:val="00C921EC"/>
    <w:rsid w:val="00C9294F"/>
    <w:rsid w:val="00C92ABF"/>
    <w:rsid w:val="00C92D07"/>
    <w:rsid w:val="00C93125"/>
    <w:rsid w:val="00C93536"/>
    <w:rsid w:val="00C93D2F"/>
    <w:rsid w:val="00C940F1"/>
    <w:rsid w:val="00C942E6"/>
    <w:rsid w:val="00C94633"/>
    <w:rsid w:val="00C9468E"/>
    <w:rsid w:val="00C954B8"/>
    <w:rsid w:val="00C95A98"/>
    <w:rsid w:val="00C95F22"/>
    <w:rsid w:val="00C960FE"/>
    <w:rsid w:val="00C96CA7"/>
    <w:rsid w:val="00CA0519"/>
    <w:rsid w:val="00CA0581"/>
    <w:rsid w:val="00CA0CBC"/>
    <w:rsid w:val="00CA0FEC"/>
    <w:rsid w:val="00CA1DC5"/>
    <w:rsid w:val="00CA1F42"/>
    <w:rsid w:val="00CA2D22"/>
    <w:rsid w:val="00CA2FF0"/>
    <w:rsid w:val="00CA3DE5"/>
    <w:rsid w:val="00CA4BE5"/>
    <w:rsid w:val="00CA5343"/>
    <w:rsid w:val="00CA565B"/>
    <w:rsid w:val="00CA6042"/>
    <w:rsid w:val="00CA61F0"/>
    <w:rsid w:val="00CA6558"/>
    <w:rsid w:val="00CA6A39"/>
    <w:rsid w:val="00CA7CFD"/>
    <w:rsid w:val="00CB038D"/>
    <w:rsid w:val="00CB047B"/>
    <w:rsid w:val="00CB1CBC"/>
    <w:rsid w:val="00CB202A"/>
    <w:rsid w:val="00CB24A5"/>
    <w:rsid w:val="00CB2F90"/>
    <w:rsid w:val="00CB2F94"/>
    <w:rsid w:val="00CB3588"/>
    <w:rsid w:val="00CB54A6"/>
    <w:rsid w:val="00CB55EB"/>
    <w:rsid w:val="00CB6243"/>
    <w:rsid w:val="00CB69E2"/>
    <w:rsid w:val="00CB6C17"/>
    <w:rsid w:val="00CC08AF"/>
    <w:rsid w:val="00CC095C"/>
    <w:rsid w:val="00CC25FB"/>
    <w:rsid w:val="00CC45B2"/>
    <w:rsid w:val="00CC47EA"/>
    <w:rsid w:val="00CC4997"/>
    <w:rsid w:val="00CC77EA"/>
    <w:rsid w:val="00CC7F08"/>
    <w:rsid w:val="00CD0AD8"/>
    <w:rsid w:val="00CD0ECC"/>
    <w:rsid w:val="00CD2BB7"/>
    <w:rsid w:val="00CD2FE4"/>
    <w:rsid w:val="00CD44CC"/>
    <w:rsid w:val="00CD5536"/>
    <w:rsid w:val="00CD57F4"/>
    <w:rsid w:val="00CD6B88"/>
    <w:rsid w:val="00CD6FD6"/>
    <w:rsid w:val="00CD7C0F"/>
    <w:rsid w:val="00CE085A"/>
    <w:rsid w:val="00CE0A02"/>
    <w:rsid w:val="00CE1559"/>
    <w:rsid w:val="00CE2664"/>
    <w:rsid w:val="00CE2E59"/>
    <w:rsid w:val="00CE337C"/>
    <w:rsid w:val="00CE3ABE"/>
    <w:rsid w:val="00CE4911"/>
    <w:rsid w:val="00CE64A7"/>
    <w:rsid w:val="00CE6721"/>
    <w:rsid w:val="00CE6A9C"/>
    <w:rsid w:val="00CE72D1"/>
    <w:rsid w:val="00CE793E"/>
    <w:rsid w:val="00CF00BA"/>
    <w:rsid w:val="00CF03C0"/>
    <w:rsid w:val="00CF0A03"/>
    <w:rsid w:val="00CF1A87"/>
    <w:rsid w:val="00CF2098"/>
    <w:rsid w:val="00CF2902"/>
    <w:rsid w:val="00CF2AF6"/>
    <w:rsid w:val="00CF32DC"/>
    <w:rsid w:val="00CF334B"/>
    <w:rsid w:val="00CF36F0"/>
    <w:rsid w:val="00CF3A1A"/>
    <w:rsid w:val="00CF43A6"/>
    <w:rsid w:val="00CF46BC"/>
    <w:rsid w:val="00CF508A"/>
    <w:rsid w:val="00CF5235"/>
    <w:rsid w:val="00CF5A46"/>
    <w:rsid w:val="00CF6714"/>
    <w:rsid w:val="00CF671B"/>
    <w:rsid w:val="00CF7865"/>
    <w:rsid w:val="00CF7D60"/>
    <w:rsid w:val="00D007A1"/>
    <w:rsid w:val="00D00BD4"/>
    <w:rsid w:val="00D00C4F"/>
    <w:rsid w:val="00D01986"/>
    <w:rsid w:val="00D01E95"/>
    <w:rsid w:val="00D01F42"/>
    <w:rsid w:val="00D032C8"/>
    <w:rsid w:val="00D033E7"/>
    <w:rsid w:val="00D03F8E"/>
    <w:rsid w:val="00D04A8D"/>
    <w:rsid w:val="00D0596E"/>
    <w:rsid w:val="00D06D5E"/>
    <w:rsid w:val="00D1026B"/>
    <w:rsid w:val="00D10A89"/>
    <w:rsid w:val="00D10D41"/>
    <w:rsid w:val="00D10F13"/>
    <w:rsid w:val="00D118F1"/>
    <w:rsid w:val="00D11DA9"/>
    <w:rsid w:val="00D11ED7"/>
    <w:rsid w:val="00D12180"/>
    <w:rsid w:val="00D12255"/>
    <w:rsid w:val="00D12B58"/>
    <w:rsid w:val="00D13741"/>
    <w:rsid w:val="00D13944"/>
    <w:rsid w:val="00D13D06"/>
    <w:rsid w:val="00D145B1"/>
    <w:rsid w:val="00D1478F"/>
    <w:rsid w:val="00D14C31"/>
    <w:rsid w:val="00D155AC"/>
    <w:rsid w:val="00D1602E"/>
    <w:rsid w:val="00D160E0"/>
    <w:rsid w:val="00D17499"/>
    <w:rsid w:val="00D17900"/>
    <w:rsid w:val="00D17B18"/>
    <w:rsid w:val="00D17C1F"/>
    <w:rsid w:val="00D17DE9"/>
    <w:rsid w:val="00D20318"/>
    <w:rsid w:val="00D20612"/>
    <w:rsid w:val="00D20C6B"/>
    <w:rsid w:val="00D20F92"/>
    <w:rsid w:val="00D2184E"/>
    <w:rsid w:val="00D22A7C"/>
    <w:rsid w:val="00D22F3B"/>
    <w:rsid w:val="00D2389C"/>
    <w:rsid w:val="00D24292"/>
    <w:rsid w:val="00D24D5E"/>
    <w:rsid w:val="00D25015"/>
    <w:rsid w:val="00D255AF"/>
    <w:rsid w:val="00D26424"/>
    <w:rsid w:val="00D266E8"/>
    <w:rsid w:val="00D268A3"/>
    <w:rsid w:val="00D2722D"/>
    <w:rsid w:val="00D27966"/>
    <w:rsid w:val="00D27BB3"/>
    <w:rsid w:val="00D27BFC"/>
    <w:rsid w:val="00D30140"/>
    <w:rsid w:val="00D303F9"/>
    <w:rsid w:val="00D311AC"/>
    <w:rsid w:val="00D312E1"/>
    <w:rsid w:val="00D31AEB"/>
    <w:rsid w:val="00D32D5B"/>
    <w:rsid w:val="00D33791"/>
    <w:rsid w:val="00D34B96"/>
    <w:rsid w:val="00D3520E"/>
    <w:rsid w:val="00D3589F"/>
    <w:rsid w:val="00D35EA6"/>
    <w:rsid w:val="00D361F2"/>
    <w:rsid w:val="00D3714E"/>
    <w:rsid w:val="00D41039"/>
    <w:rsid w:val="00D41C86"/>
    <w:rsid w:val="00D41D20"/>
    <w:rsid w:val="00D41FB2"/>
    <w:rsid w:val="00D4200F"/>
    <w:rsid w:val="00D423E8"/>
    <w:rsid w:val="00D42DED"/>
    <w:rsid w:val="00D434D8"/>
    <w:rsid w:val="00D435B6"/>
    <w:rsid w:val="00D439F6"/>
    <w:rsid w:val="00D43C03"/>
    <w:rsid w:val="00D44339"/>
    <w:rsid w:val="00D44A08"/>
    <w:rsid w:val="00D44BF8"/>
    <w:rsid w:val="00D44CCE"/>
    <w:rsid w:val="00D45017"/>
    <w:rsid w:val="00D45B71"/>
    <w:rsid w:val="00D4639E"/>
    <w:rsid w:val="00D46A28"/>
    <w:rsid w:val="00D46EC3"/>
    <w:rsid w:val="00D47BC9"/>
    <w:rsid w:val="00D47D51"/>
    <w:rsid w:val="00D47F80"/>
    <w:rsid w:val="00D50401"/>
    <w:rsid w:val="00D50A12"/>
    <w:rsid w:val="00D51C25"/>
    <w:rsid w:val="00D51CB0"/>
    <w:rsid w:val="00D51CD8"/>
    <w:rsid w:val="00D5202D"/>
    <w:rsid w:val="00D526AE"/>
    <w:rsid w:val="00D53498"/>
    <w:rsid w:val="00D5363B"/>
    <w:rsid w:val="00D53A06"/>
    <w:rsid w:val="00D5427C"/>
    <w:rsid w:val="00D5494A"/>
    <w:rsid w:val="00D55FF2"/>
    <w:rsid w:val="00D562E6"/>
    <w:rsid w:val="00D56437"/>
    <w:rsid w:val="00D56921"/>
    <w:rsid w:val="00D56CC2"/>
    <w:rsid w:val="00D57381"/>
    <w:rsid w:val="00D573EA"/>
    <w:rsid w:val="00D57E3F"/>
    <w:rsid w:val="00D600C7"/>
    <w:rsid w:val="00D607F6"/>
    <w:rsid w:val="00D60D81"/>
    <w:rsid w:val="00D60F3D"/>
    <w:rsid w:val="00D61492"/>
    <w:rsid w:val="00D61835"/>
    <w:rsid w:val="00D62E37"/>
    <w:rsid w:val="00D63B00"/>
    <w:rsid w:val="00D63D43"/>
    <w:rsid w:val="00D64310"/>
    <w:rsid w:val="00D65654"/>
    <w:rsid w:val="00D66105"/>
    <w:rsid w:val="00D6628C"/>
    <w:rsid w:val="00D6662A"/>
    <w:rsid w:val="00D66F6E"/>
    <w:rsid w:val="00D67B7A"/>
    <w:rsid w:val="00D704B2"/>
    <w:rsid w:val="00D7053B"/>
    <w:rsid w:val="00D705C1"/>
    <w:rsid w:val="00D735FF"/>
    <w:rsid w:val="00D7394C"/>
    <w:rsid w:val="00D73A35"/>
    <w:rsid w:val="00D73AE4"/>
    <w:rsid w:val="00D73D15"/>
    <w:rsid w:val="00D74823"/>
    <w:rsid w:val="00D74B25"/>
    <w:rsid w:val="00D750AD"/>
    <w:rsid w:val="00D75DE0"/>
    <w:rsid w:val="00D76273"/>
    <w:rsid w:val="00D77343"/>
    <w:rsid w:val="00D776E1"/>
    <w:rsid w:val="00D77915"/>
    <w:rsid w:val="00D80163"/>
    <w:rsid w:val="00D802E5"/>
    <w:rsid w:val="00D8080A"/>
    <w:rsid w:val="00D80BF2"/>
    <w:rsid w:val="00D81A7C"/>
    <w:rsid w:val="00D81F7A"/>
    <w:rsid w:val="00D8200A"/>
    <w:rsid w:val="00D82CA5"/>
    <w:rsid w:val="00D830DC"/>
    <w:rsid w:val="00D83201"/>
    <w:rsid w:val="00D83B2F"/>
    <w:rsid w:val="00D83CBA"/>
    <w:rsid w:val="00D84A72"/>
    <w:rsid w:val="00D8632E"/>
    <w:rsid w:val="00D86EB0"/>
    <w:rsid w:val="00D86F1F"/>
    <w:rsid w:val="00D8750D"/>
    <w:rsid w:val="00D87DE6"/>
    <w:rsid w:val="00D9020A"/>
    <w:rsid w:val="00D904AB"/>
    <w:rsid w:val="00D9080B"/>
    <w:rsid w:val="00D90831"/>
    <w:rsid w:val="00D90E6A"/>
    <w:rsid w:val="00D91A11"/>
    <w:rsid w:val="00D91B47"/>
    <w:rsid w:val="00D92AA2"/>
    <w:rsid w:val="00D92AD3"/>
    <w:rsid w:val="00D92B32"/>
    <w:rsid w:val="00D94E64"/>
    <w:rsid w:val="00D9643D"/>
    <w:rsid w:val="00D978B6"/>
    <w:rsid w:val="00D97FC2"/>
    <w:rsid w:val="00DA0ABD"/>
    <w:rsid w:val="00DA1D38"/>
    <w:rsid w:val="00DA1DC8"/>
    <w:rsid w:val="00DA3952"/>
    <w:rsid w:val="00DA3C7E"/>
    <w:rsid w:val="00DA3E3D"/>
    <w:rsid w:val="00DA4546"/>
    <w:rsid w:val="00DA4F30"/>
    <w:rsid w:val="00DA5644"/>
    <w:rsid w:val="00DA5693"/>
    <w:rsid w:val="00DA73AA"/>
    <w:rsid w:val="00DB1DED"/>
    <w:rsid w:val="00DB21BB"/>
    <w:rsid w:val="00DB226E"/>
    <w:rsid w:val="00DB2FAE"/>
    <w:rsid w:val="00DB3353"/>
    <w:rsid w:val="00DB3766"/>
    <w:rsid w:val="00DB439B"/>
    <w:rsid w:val="00DB4E2C"/>
    <w:rsid w:val="00DB5378"/>
    <w:rsid w:val="00DB541E"/>
    <w:rsid w:val="00DB58F2"/>
    <w:rsid w:val="00DB68BB"/>
    <w:rsid w:val="00DB6D2B"/>
    <w:rsid w:val="00DB7D32"/>
    <w:rsid w:val="00DC0454"/>
    <w:rsid w:val="00DC072E"/>
    <w:rsid w:val="00DC27C1"/>
    <w:rsid w:val="00DC31F5"/>
    <w:rsid w:val="00DC3947"/>
    <w:rsid w:val="00DC43B3"/>
    <w:rsid w:val="00DC45AB"/>
    <w:rsid w:val="00DC46E5"/>
    <w:rsid w:val="00DC4A42"/>
    <w:rsid w:val="00DC6076"/>
    <w:rsid w:val="00DC6780"/>
    <w:rsid w:val="00DC6868"/>
    <w:rsid w:val="00DC68E7"/>
    <w:rsid w:val="00DC6C21"/>
    <w:rsid w:val="00DC70A1"/>
    <w:rsid w:val="00DC764F"/>
    <w:rsid w:val="00DC7AF8"/>
    <w:rsid w:val="00DC7E01"/>
    <w:rsid w:val="00DD1713"/>
    <w:rsid w:val="00DD3304"/>
    <w:rsid w:val="00DD3C8A"/>
    <w:rsid w:val="00DD53D3"/>
    <w:rsid w:val="00DD5763"/>
    <w:rsid w:val="00DD5AD4"/>
    <w:rsid w:val="00DD5BC8"/>
    <w:rsid w:val="00DD5CCF"/>
    <w:rsid w:val="00DD63A3"/>
    <w:rsid w:val="00DD6685"/>
    <w:rsid w:val="00DD6D23"/>
    <w:rsid w:val="00DD6F1D"/>
    <w:rsid w:val="00DD77D7"/>
    <w:rsid w:val="00DE0648"/>
    <w:rsid w:val="00DE0D39"/>
    <w:rsid w:val="00DE0D63"/>
    <w:rsid w:val="00DE12CC"/>
    <w:rsid w:val="00DE2435"/>
    <w:rsid w:val="00DE28E8"/>
    <w:rsid w:val="00DE3954"/>
    <w:rsid w:val="00DE4A23"/>
    <w:rsid w:val="00DE623D"/>
    <w:rsid w:val="00DE6608"/>
    <w:rsid w:val="00DE6CF8"/>
    <w:rsid w:val="00DE6D4F"/>
    <w:rsid w:val="00DE767C"/>
    <w:rsid w:val="00DE792E"/>
    <w:rsid w:val="00DE7C25"/>
    <w:rsid w:val="00DF0F5E"/>
    <w:rsid w:val="00DF148D"/>
    <w:rsid w:val="00DF1778"/>
    <w:rsid w:val="00DF1B48"/>
    <w:rsid w:val="00DF2CCB"/>
    <w:rsid w:val="00DF35BA"/>
    <w:rsid w:val="00DF40B1"/>
    <w:rsid w:val="00DF5266"/>
    <w:rsid w:val="00DF5C70"/>
    <w:rsid w:val="00DF7283"/>
    <w:rsid w:val="00DF79F8"/>
    <w:rsid w:val="00E00066"/>
    <w:rsid w:val="00E006C3"/>
    <w:rsid w:val="00E007A6"/>
    <w:rsid w:val="00E0089C"/>
    <w:rsid w:val="00E00970"/>
    <w:rsid w:val="00E00AF0"/>
    <w:rsid w:val="00E00BA8"/>
    <w:rsid w:val="00E01B8B"/>
    <w:rsid w:val="00E01DF7"/>
    <w:rsid w:val="00E020E4"/>
    <w:rsid w:val="00E02126"/>
    <w:rsid w:val="00E02169"/>
    <w:rsid w:val="00E03331"/>
    <w:rsid w:val="00E0395E"/>
    <w:rsid w:val="00E03FE2"/>
    <w:rsid w:val="00E04312"/>
    <w:rsid w:val="00E043F8"/>
    <w:rsid w:val="00E047B8"/>
    <w:rsid w:val="00E0499D"/>
    <w:rsid w:val="00E05961"/>
    <w:rsid w:val="00E06C37"/>
    <w:rsid w:val="00E06CFE"/>
    <w:rsid w:val="00E07324"/>
    <w:rsid w:val="00E101D1"/>
    <w:rsid w:val="00E10378"/>
    <w:rsid w:val="00E107C2"/>
    <w:rsid w:val="00E11977"/>
    <w:rsid w:val="00E11CA8"/>
    <w:rsid w:val="00E12202"/>
    <w:rsid w:val="00E127F5"/>
    <w:rsid w:val="00E1302C"/>
    <w:rsid w:val="00E137DE"/>
    <w:rsid w:val="00E141E6"/>
    <w:rsid w:val="00E14CD1"/>
    <w:rsid w:val="00E15016"/>
    <w:rsid w:val="00E15D25"/>
    <w:rsid w:val="00E1713B"/>
    <w:rsid w:val="00E202A0"/>
    <w:rsid w:val="00E20A24"/>
    <w:rsid w:val="00E20D93"/>
    <w:rsid w:val="00E21A75"/>
    <w:rsid w:val="00E22352"/>
    <w:rsid w:val="00E225C7"/>
    <w:rsid w:val="00E22690"/>
    <w:rsid w:val="00E23983"/>
    <w:rsid w:val="00E24175"/>
    <w:rsid w:val="00E24EC9"/>
    <w:rsid w:val="00E250D8"/>
    <w:rsid w:val="00E2519B"/>
    <w:rsid w:val="00E25CEB"/>
    <w:rsid w:val="00E26004"/>
    <w:rsid w:val="00E26CD8"/>
    <w:rsid w:val="00E27E24"/>
    <w:rsid w:val="00E31407"/>
    <w:rsid w:val="00E32800"/>
    <w:rsid w:val="00E32AEE"/>
    <w:rsid w:val="00E32B06"/>
    <w:rsid w:val="00E32BEE"/>
    <w:rsid w:val="00E3441C"/>
    <w:rsid w:val="00E34EB6"/>
    <w:rsid w:val="00E35494"/>
    <w:rsid w:val="00E3588D"/>
    <w:rsid w:val="00E360E9"/>
    <w:rsid w:val="00E368FB"/>
    <w:rsid w:val="00E37A83"/>
    <w:rsid w:val="00E4079B"/>
    <w:rsid w:val="00E41AB3"/>
    <w:rsid w:val="00E41E34"/>
    <w:rsid w:val="00E4284D"/>
    <w:rsid w:val="00E444D2"/>
    <w:rsid w:val="00E4450A"/>
    <w:rsid w:val="00E45990"/>
    <w:rsid w:val="00E462BD"/>
    <w:rsid w:val="00E465C7"/>
    <w:rsid w:val="00E468A5"/>
    <w:rsid w:val="00E46924"/>
    <w:rsid w:val="00E46BF9"/>
    <w:rsid w:val="00E4703E"/>
    <w:rsid w:val="00E500B1"/>
    <w:rsid w:val="00E504C2"/>
    <w:rsid w:val="00E513BE"/>
    <w:rsid w:val="00E5161E"/>
    <w:rsid w:val="00E536B2"/>
    <w:rsid w:val="00E537CA"/>
    <w:rsid w:val="00E538A6"/>
    <w:rsid w:val="00E5447A"/>
    <w:rsid w:val="00E54550"/>
    <w:rsid w:val="00E548AE"/>
    <w:rsid w:val="00E54D8E"/>
    <w:rsid w:val="00E55885"/>
    <w:rsid w:val="00E55ECE"/>
    <w:rsid w:val="00E55ECF"/>
    <w:rsid w:val="00E5631D"/>
    <w:rsid w:val="00E57090"/>
    <w:rsid w:val="00E60CE1"/>
    <w:rsid w:val="00E6174A"/>
    <w:rsid w:val="00E6304B"/>
    <w:rsid w:val="00E6309A"/>
    <w:rsid w:val="00E633FF"/>
    <w:rsid w:val="00E63BE2"/>
    <w:rsid w:val="00E6429C"/>
    <w:rsid w:val="00E642B5"/>
    <w:rsid w:val="00E65142"/>
    <w:rsid w:val="00E6545B"/>
    <w:rsid w:val="00E65740"/>
    <w:rsid w:val="00E659D1"/>
    <w:rsid w:val="00E6668C"/>
    <w:rsid w:val="00E671DD"/>
    <w:rsid w:val="00E6771C"/>
    <w:rsid w:val="00E67793"/>
    <w:rsid w:val="00E67E24"/>
    <w:rsid w:val="00E705A9"/>
    <w:rsid w:val="00E70639"/>
    <w:rsid w:val="00E70CD3"/>
    <w:rsid w:val="00E71459"/>
    <w:rsid w:val="00E71D0E"/>
    <w:rsid w:val="00E71E8B"/>
    <w:rsid w:val="00E7310F"/>
    <w:rsid w:val="00E734CC"/>
    <w:rsid w:val="00E73A92"/>
    <w:rsid w:val="00E73D48"/>
    <w:rsid w:val="00E73FBA"/>
    <w:rsid w:val="00E741E3"/>
    <w:rsid w:val="00E759F0"/>
    <w:rsid w:val="00E761B2"/>
    <w:rsid w:val="00E769FC"/>
    <w:rsid w:val="00E76AE8"/>
    <w:rsid w:val="00E76FAC"/>
    <w:rsid w:val="00E8086F"/>
    <w:rsid w:val="00E815C0"/>
    <w:rsid w:val="00E816CB"/>
    <w:rsid w:val="00E822CB"/>
    <w:rsid w:val="00E8336C"/>
    <w:rsid w:val="00E835F6"/>
    <w:rsid w:val="00E839E8"/>
    <w:rsid w:val="00E839F2"/>
    <w:rsid w:val="00E83B06"/>
    <w:rsid w:val="00E83EA3"/>
    <w:rsid w:val="00E845B6"/>
    <w:rsid w:val="00E855EC"/>
    <w:rsid w:val="00E85BC2"/>
    <w:rsid w:val="00E85D64"/>
    <w:rsid w:val="00E85D72"/>
    <w:rsid w:val="00E86BFA"/>
    <w:rsid w:val="00E87615"/>
    <w:rsid w:val="00E87833"/>
    <w:rsid w:val="00E87907"/>
    <w:rsid w:val="00E904BF"/>
    <w:rsid w:val="00E90646"/>
    <w:rsid w:val="00E90A25"/>
    <w:rsid w:val="00E918C9"/>
    <w:rsid w:val="00E91D2C"/>
    <w:rsid w:val="00E9217C"/>
    <w:rsid w:val="00E924A9"/>
    <w:rsid w:val="00E92BB1"/>
    <w:rsid w:val="00E92E5D"/>
    <w:rsid w:val="00E932A3"/>
    <w:rsid w:val="00E93878"/>
    <w:rsid w:val="00E93B44"/>
    <w:rsid w:val="00E94FDC"/>
    <w:rsid w:val="00E957C8"/>
    <w:rsid w:val="00E95F70"/>
    <w:rsid w:val="00E96242"/>
    <w:rsid w:val="00E96B95"/>
    <w:rsid w:val="00E97506"/>
    <w:rsid w:val="00EA04F8"/>
    <w:rsid w:val="00EA0B0A"/>
    <w:rsid w:val="00EA1483"/>
    <w:rsid w:val="00EA1B3A"/>
    <w:rsid w:val="00EA2260"/>
    <w:rsid w:val="00EA2534"/>
    <w:rsid w:val="00EA26E1"/>
    <w:rsid w:val="00EA3399"/>
    <w:rsid w:val="00EA3C92"/>
    <w:rsid w:val="00EA429D"/>
    <w:rsid w:val="00EA4483"/>
    <w:rsid w:val="00EA4A8F"/>
    <w:rsid w:val="00EA5238"/>
    <w:rsid w:val="00EA5D61"/>
    <w:rsid w:val="00EA6888"/>
    <w:rsid w:val="00EA68CC"/>
    <w:rsid w:val="00EA6BA5"/>
    <w:rsid w:val="00EA6D0D"/>
    <w:rsid w:val="00EB062C"/>
    <w:rsid w:val="00EB095F"/>
    <w:rsid w:val="00EB0981"/>
    <w:rsid w:val="00EB2120"/>
    <w:rsid w:val="00EB2C38"/>
    <w:rsid w:val="00EB405F"/>
    <w:rsid w:val="00EB42CE"/>
    <w:rsid w:val="00EB444A"/>
    <w:rsid w:val="00EB47CF"/>
    <w:rsid w:val="00EB4B77"/>
    <w:rsid w:val="00EB57D0"/>
    <w:rsid w:val="00EB57D9"/>
    <w:rsid w:val="00EB67D9"/>
    <w:rsid w:val="00EB6997"/>
    <w:rsid w:val="00EB6F51"/>
    <w:rsid w:val="00EB75F9"/>
    <w:rsid w:val="00EC07FD"/>
    <w:rsid w:val="00EC1100"/>
    <w:rsid w:val="00EC11C0"/>
    <w:rsid w:val="00EC1308"/>
    <w:rsid w:val="00EC1970"/>
    <w:rsid w:val="00EC4837"/>
    <w:rsid w:val="00EC71B1"/>
    <w:rsid w:val="00EC7AE1"/>
    <w:rsid w:val="00ED0281"/>
    <w:rsid w:val="00ED07B9"/>
    <w:rsid w:val="00ED0F50"/>
    <w:rsid w:val="00ED1B28"/>
    <w:rsid w:val="00ED1CC5"/>
    <w:rsid w:val="00ED1E92"/>
    <w:rsid w:val="00ED2446"/>
    <w:rsid w:val="00ED3ADD"/>
    <w:rsid w:val="00ED3B3C"/>
    <w:rsid w:val="00ED490A"/>
    <w:rsid w:val="00ED490B"/>
    <w:rsid w:val="00ED4B57"/>
    <w:rsid w:val="00ED601A"/>
    <w:rsid w:val="00ED63A6"/>
    <w:rsid w:val="00ED6418"/>
    <w:rsid w:val="00ED65B2"/>
    <w:rsid w:val="00ED7102"/>
    <w:rsid w:val="00ED774B"/>
    <w:rsid w:val="00EE0013"/>
    <w:rsid w:val="00EE04E2"/>
    <w:rsid w:val="00EE0E8F"/>
    <w:rsid w:val="00EE1CA6"/>
    <w:rsid w:val="00EE1DD2"/>
    <w:rsid w:val="00EE256C"/>
    <w:rsid w:val="00EE2ABD"/>
    <w:rsid w:val="00EE37E8"/>
    <w:rsid w:val="00EE4C4B"/>
    <w:rsid w:val="00EE5026"/>
    <w:rsid w:val="00EE5027"/>
    <w:rsid w:val="00EE51EF"/>
    <w:rsid w:val="00EE5579"/>
    <w:rsid w:val="00EE57EB"/>
    <w:rsid w:val="00EE58E0"/>
    <w:rsid w:val="00EE6AEF"/>
    <w:rsid w:val="00EE6EA1"/>
    <w:rsid w:val="00EE7A78"/>
    <w:rsid w:val="00EE7D67"/>
    <w:rsid w:val="00EF00CC"/>
    <w:rsid w:val="00EF049B"/>
    <w:rsid w:val="00EF0AD5"/>
    <w:rsid w:val="00EF1079"/>
    <w:rsid w:val="00EF1120"/>
    <w:rsid w:val="00EF1686"/>
    <w:rsid w:val="00EF1E1F"/>
    <w:rsid w:val="00EF243A"/>
    <w:rsid w:val="00EF25E9"/>
    <w:rsid w:val="00EF262A"/>
    <w:rsid w:val="00EF2AC0"/>
    <w:rsid w:val="00EF3DFB"/>
    <w:rsid w:val="00EF41A3"/>
    <w:rsid w:val="00EF4993"/>
    <w:rsid w:val="00EF4CF3"/>
    <w:rsid w:val="00EF5557"/>
    <w:rsid w:val="00EF57AD"/>
    <w:rsid w:val="00EF5A07"/>
    <w:rsid w:val="00EF5EEF"/>
    <w:rsid w:val="00EF5F41"/>
    <w:rsid w:val="00EF66ED"/>
    <w:rsid w:val="00EF683B"/>
    <w:rsid w:val="00EF6D53"/>
    <w:rsid w:val="00F00193"/>
    <w:rsid w:val="00F015F1"/>
    <w:rsid w:val="00F018BF"/>
    <w:rsid w:val="00F01BB7"/>
    <w:rsid w:val="00F01DD4"/>
    <w:rsid w:val="00F0296A"/>
    <w:rsid w:val="00F02ACE"/>
    <w:rsid w:val="00F02BDA"/>
    <w:rsid w:val="00F03BF5"/>
    <w:rsid w:val="00F04424"/>
    <w:rsid w:val="00F047F6"/>
    <w:rsid w:val="00F04F73"/>
    <w:rsid w:val="00F0511E"/>
    <w:rsid w:val="00F0558D"/>
    <w:rsid w:val="00F063E0"/>
    <w:rsid w:val="00F064DF"/>
    <w:rsid w:val="00F06995"/>
    <w:rsid w:val="00F06DDA"/>
    <w:rsid w:val="00F07128"/>
    <w:rsid w:val="00F07ABA"/>
    <w:rsid w:val="00F103D2"/>
    <w:rsid w:val="00F10AE1"/>
    <w:rsid w:val="00F112CB"/>
    <w:rsid w:val="00F115FD"/>
    <w:rsid w:val="00F1296C"/>
    <w:rsid w:val="00F12B7C"/>
    <w:rsid w:val="00F12C9D"/>
    <w:rsid w:val="00F12CA8"/>
    <w:rsid w:val="00F13405"/>
    <w:rsid w:val="00F13BBD"/>
    <w:rsid w:val="00F14F59"/>
    <w:rsid w:val="00F1511D"/>
    <w:rsid w:val="00F15203"/>
    <w:rsid w:val="00F152C1"/>
    <w:rsid w:val="00F165D0"/>
    <w:rsid w:val="00F16E29"/>
    <w:rsid w:val="00F171E4"/>
    <w:rsid w:val="00F17F73"/>
    <w:rsid w:val="00F20ECD"/>
    <w:rsid w:val="00F21433"/>
    <w:rsid w:val="00F217F1"/>
    <w:rsid w:val="00F21B0B"/>
    <w:rsid w:val="00F22A9B"/>
    <w:rsid w:val="00F22B6C"/>
    <w:rsid w:val="00F24A64"/>
    <w:rsid w:val="00F257CB"/>
    <w:rsid w:val="00F258EC"/>
    <w:rsid w:val="00F26814"/>
    <w:rsid w:val="00F26938"/>
    <w:rsid w:val="00F27442"/>
    <w:rsid w:val="00F279F8"/>
    <w:rsid w:val="00F27A1F"/>
    <w:rsid w:val="00F27FAB"/>
    <w:rsid w:val="00F30988"/>
    <w:rsid w:val="00F30BB3"/>
    <w:rsid w:val="00F30CB3"/>
    <w:rsid w:val="00F331A5"/>
    <w:rsid w:val="00F334F9"/>
    <w:rsid w:val="00F33846"/>
    <w:rsid w:val="00F3494D"/>
    <w:rsid w:val="00F3531B"/>
    <w:rsid w:val="00F360D6"/>
    <w:rsid w:val="00F373EE"/>
    <w:rsid w:val="00F37D73"/>
    <w:rsid w:val="00F40085"/>
    <w:rsid w:val="00F40EFA"/>
    <w:rsid w:val="00F41851"/>
    <w:rsid w:val="00F41D9D"/>
    <w:rsid w:val="00F43C31"/>
    <w:rsid w:val="00F43DF4"/>
    <w:rsid w:val="00F43E23"/>
    <w:rsid w:val="00F44ACE"/>
    <w:rsid w:val="00F45C6A"/>
    <w:rsid w:val="00F45CF3"/>
    <w:rsid w:val="00F4631B"/>
    <w:rsid w:val="00F46407"/>
    <w:rsid w:val="00F46717"/>
    <w:rsid w:val="00F46C6D"/>
    <w:rsid w:val="00F476E2"/>
    <w:rsid w:val="00F47C09"/>
    <w:rsid w:val="00F500DA"/>
    <w:rsid w:val="00F502DD"/>
    <w:rsid w:val="00F50820"/>
    <w:rsid w:val="00F5158A"/>
    <w:rsid w:val="00F520A3"/>
    <w:rsid w:val="00F52F0D"/>
    <w:rsid w:val="00F53BA0"/>
    <w:rsid w:val="00F56CEE"/>
    <w:rsid w:val="00F56E1D"/>
    <w:rsid w:val="00F571CC"/>
    <w:rsid w:val="00F6019B"/>
    <w:rsid w:val="00F606A6"/>
    <w:rsid w:val="00F607F9"/>
    <w:rsid w:val="00F61250"/>
    <w:rsid w:val="00F61835"/>
    <w:rsid w:val="00F6188D"/>
    <w:rsid w:val="00F61C4D"/>
    <w:rsid w:val="00F61EF2"/>
    <w:rsid w:val="00F6252F"/>
    <w:rsid w:val="00F62824"/>
    <w:rsid w:val="00F62C50"/>
    <w:rsid w:val="00F63534"/>
    <w:rsid w:val="00F6391F"/>
    <w:rsid w:val="00F6409A"/>
    <w:rsid w:val="00F65DA7"/>
    <w:rsid w:val="00F66A47"/>
    <w:rsid w:val="00F671C1"/>
    <w:rsid w:val="00F675B3"/>
    <w:rsid w:val="00F67A98"/>
    <w:rsid w:val="00F67CCC"/>
    <w:rsid w:val="00F70725"/>
    <w:rsid w:val="00F71792"/>
    <w:rsid w:val="00F71B51"/>
    <w:rsid w:val="00F74B73"/>
    <w:rsid w:val="00F750C7"/>
    <w:rsid w:val="00F7587C"/>
    <w:rsid w:val="00F75B98"/>
    <w:rsid w:val="00F769E2"/>
    <w:rsid w:val="00F77C45"/>
    <w:rsid w:val="00F81A6D"/>
    <w:rsid w:val="00F81B83"/>
    <w:rsid w:val="00F81D92"/>
    <w:rsid w:val="00F81EA4"/>
    <w:rsid w:val="00F82596"/>
    <w:rsid w:val="00F83828"/>
    <w:rsid w:val="00F84396"/>
    <w:rsid w:val="00F85D4E"/>
    <w:rsid w:val="00F85DA5"/>
    <w:rsid w:val="00F85F72"/>
    <w:rsid w:val="00F8633D"/>
    <w:rsid w:val="00F8659C"/>
    <w:rsid w:val="00F86AA2"/>
    <w:rsid w:val="00F86DC3"/>
    <w:rsid w:val="00F86F23"/>
    <w:rsid w:val="00F87650"/>
    <w:rsid w:val="00F87E63"/>
    <w:rsid w:val="00F87FF8"/>
    <w:rsid w:val="00F903C1"/>
    <w:rsid w:val="00F904E3"/>
    <w:rsid w:val="00F909C7"/>
    <w:rsid w:val="00F91330"/>
    <w:rsid w:val="00F929BD"/>
    <w:rsid w:val="00F92CC6"/>
    <w:rsid w:val="00F93178"/>
    <w:rsid w:val="00F93D1F"/>
    <w:rsid w:val="00F93E3F"/>
    <w:rsid w:val="00F93ED9"/>
    <w:rsid w:val="00F93F2E"/>
    <w:rsid w:val="00F9500C"/>
    <w:rsid w:val="00F953A7"/>
    <w:rsid w:val="00F95ADA"/>
    <w:rsid w:val="00F95D81"/>
    <w:rsid w:val="00F9624E"/>
    <w:rsid w:val="00F96877"/>
    <w:rsid w:val="00F973CC"/>
    <w:rsid w:val="00FA1C58"/>
    <w:rsid w:val="00FA1DF8"/>
    <w:rsid w:val="00FA4344"/>
    <w:rsid w:val="00FA44A1"/>
    <w:rsid w:val="00FA46CA"/>
    <w:rsid w:val="00FA4E1A"/>
    <w:rsid w:val="00FA5364"/>
    <w:rsid w:val="00FA5DA0"/>
    <w:rsid w:val="00FA5E37"/>
    <w:rsid w:val="00FA6FFB"/>
    <w:rsid w:val="00FA70CE"/>
    <w:rsid w:val="00FA7803"/>
    <w:rsid w:val="00FA7C4C"/>
    <w:rsid w:val="00FB06AB"/>
    <w:rsid w:val="00FB11AC"/>
    <w:rsid w:val="00FB15E5"/>
    <w:rsid w:val="00FB1999"/>
    <w:rsid w:val="00FB1D9E"/>
    <w:rsid w:val="00FB26CE"/>
    <w:rsid w:val="00FB303E"/>
    <w:rsid w:val="00FB31A8"/>
    <w:rsid w:val="00FB39D0"/>
    <w:rsid w:val="00FB505C"/>
    <w:rsid w:val="00FB5FD1"/>
    <w:rsid w:val="00FB7742"/>
    <w:rsid w:val="00FC04F3"/>
    <w:rsid w:val="00FC1025"/>
    <w:rsid w:val="00FC2744"/>
    <w:rsid w:val="00FC27ED"/>
    <w:rsid w:val="00FC2B4E"/>
    <w:rsid w:val="00FC2F05"/>
    <w:rsid w:val="00FC329F"/>
    <w:rsid w:val="00FC4605"/>
    <w:rsid w:val="00FC5ADC"/>
    <w:rsid w:val="00FC67D3"/>
    <w:rsid w:val="00FC72A3"/>
    <w:rsid w:val="00FC740D"/>
    <w:rsid w:val="00FC74F5"/>
    <w:rsid w:val="00FC7786"/>
    <w:rsid w:val="00FC7B03"/>
    <w:rsid w:val="00FD0215"/>
    <w:rsid w:val="00FD0260"/>
    <w:rsid w:val="00FD08A4"/>
    <w:rsid w:val="00FD0A30"/>
    <w:rsid w:val="00FD1638"/>
    <w:rsid w:val="00FD25A8"/>
    <w:rsid w:val="00FD3B3C"/>
    <w:rsid w:val="00FD3E9B"/>
    <w:rsid w:val="00FD42AB"/>
    <w:rsid w:val="00FD458F"/>
    <w:rsid w:val="00FD4C9F"/>
    <w:rsid w:val="00FD5C03"/>
    <w:rsid w:val="00FD646A"/>
    <w:rsid w:val="00FD6E82"/>
    <w:rsid w:val="00FD7272"/>
    <w:rsid w:val="00FD7734"/>
    <w:rsid w:val="00FE0314"/>
    <w:rsid w:val="00FE08C0"/>
    <w:rsid w:val="00FE0A37"/>
    <w:rsid w:val="00FE151D"/>
    <w:rsid w:val="00FE17C5"/>
    <w:rsid w:val="00FE1A11"/>
    <w:rsid w:val="00FE256C"/>
    <w:rsid w:val="00FE3863"/>
    <w:rsid w:val="00FE3ECF"/>
    <w:rsid w:val="00FE4498"/>
    <w:rsid w:val="00FE4EF9"/>
    <w:rsid w:val="00FE54A6"/>
    <w:rsid w:val="00FE5CFC"/>
    <w:rsid w:val="00FE5E54"/>
    <w:rsid w:val="00FE5EAB"/>
    <w:rsid w:val="00FE6C0E"/>
    <w:rsid w:val="00FE765A"/>
    <w:rsid w:val="00FE78EB"/>
    <w:rsid w:val="00FF18BE"/>
    <w:rsid w:val="00FF2380"/>
    <w:rsid w:val="00FF51EF"/>
    <w:rsid w:val="00FF60C9"/>
    <w:rsid w:val="00FF67FC"/>
    <w:rsid w:val="00FF709D"/>
    <w:rsid w:val="00FF72FE"/>
    <w:rsid w:val="00FF7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B7D6F"/>
  <w15:chartTrackingRefBased/>
  <w15:docId w15:val="{B601BF48-BB70-4A46-8D4D-BFCFBD613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D05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05FE"/>
    <w:rPr>
      <w:sz w:val="20"/>
      <w:szCs w:val="20"/>
    </w:rPr>
  </w:style>
  <w:style w:type="character" w:styleId="FootnoteReference">
    <w:name w:val="footnote reference"/>
    <w:basedOn w:val="DefaultParagraphFont"/>
    <w:uiPriority w:val="99"/>
    <w:semiHidden/>
    <w:unhideWhenUsed/>
    <w:rsid w:val="008D05FE"/>
    <w:rPr>
      <w:vertAlign w:val="superscript"/>
    </w:rPr>
  </w:style>
  <w:style w:type="paragraph" w:styleId="EndnoteText">
    <w:name w:val="endnote text"/>
    <w:basedOn w:val="Normal"/>
    <w:link w:val="EndnoteTextChar"/>
    <w:uiPriority w:val="99"/>
    <w:semiHidden/>
    <w:unhideWhenUsed/>
    <w:rsid w:val="004D15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1536"/>
    <w:rPr>
      <w:sz w:val="20"/>
      <w:szCs w:val="20"/>
    </w:rPr>
  </w:style>
  <w:style w:type="character" w:styleId="EndnoteReference">
    <w:name w:val="endnote reference"/>
    <w:basedOn w:val="DefaultParagraphFont"/>
    <w:uiPriority w:val="99"/>
    <w:semiHidden/>
    <w:unhideWhenUsed/>
    <w:rsid w:val="004D1536"/>
    <w:rPr>
      <w:vertAlign w:val="superscript"/>
    </w:rPr>
  </w:style>
  <w:style w:type="character" w:styleId="Hyperlink">
    <w:name w:val="Hyperlink"/>
    <w:basedOn w:val="DefaultParagraphFont"/>
    <w:uiPriority w:val="99"/>
    <w:unhideWhenUsed/>
    <w:rsid w:val="004D1536"/>
    <w:rPr>
      <w:color w:val="0563C1" w:themeColor="hyperlink"/>
      <w:u w:val="single"/>
    </w:rPr>
  </w:style>
  <w:style w:type="character" w:styleId="CommentReference">
    <w:name w:val="annotation reference"/>
    <w:basedOn w:val="DefaultParagraphFont"/>
    <w:uiPriority w:val="99"/>
    <w:semiHidden/>
    <w:unhideWhenUsed/>
    <w:rsid w:val="00A57B58"/>
    <w:rPr>
      <w:sz w:val="16"/>
      <w:szCs w:val="16"/>
    </w:rPr>
  </w:style>
  <w:style w:type="paragraph" w:styleId="CommentText">
    <w:name w:val="annotation text"/>
    <w:basedOn w:val="Normal"/>
    <w:link w:val="CommentTextChar"/>
    <w:uiPriority w:val="99"/>
    <w:unhideWhenUsed/>
    <w:rsid w:val="00A57B58"/>
    <w:pPr>
      <w:spacing w:line="240" w:lineRule="auto"/>
    </w:pPr>
    <w:rPr>
      <w:sz w:val="20"/>
      <w:szCs w:val="20"/>
    </w:rPr>
  </w:style>
  <w:style w:type="character" w:customStyle="1" w:styleId="CommentTextChar">
    <w:name w:val="Comment Text Char"/>
    <w:basedOn w:val="DefaultParagraphFont"/>
    <w:link w:val="CommentText"/>
    <w:uiPriority w:val="99"/>
    <w:rsid w:val="00A57B58"/>
    <w:rPr>
      <w:sz w:val="20"/>
      <w:szCs w:val="20"/>
    </w:rPr>
  </w:style>
  <w:style w:type="paragraph" w:styleId="CommentSubject">
    <w:name w:val="annotation subject"/>
    <w:basedOn w:val="CommentText"/>
    <w:next w:val="CommentText"/>
    <w:link w:val="CommentSubjectChar"/>
    <w:uiPriority w:val="99"/>
    <w:semiHidden/>
    <w:unhideWhenUsed/>
    <w:rsid w:val="00A57B58"/>
    <w:rPr>
      <w:b/>
      <w:bCs/>
    </w:rPr>
  </w:style>
  <w:style w:type="character" w:customStyle="1" w:styleId="CommentSubjectChar">
    <w:name w:val="Comment Subject Char"/>
    <w:basedOn w:val="CommentTextChar"/>
    <w:link w:val="CommentSubject"/>
    <w:uiPriority w:val="99"/>
    <w:semiHidden/>
    <w:rsid w:val="00A57B58"/>
    <w:rPr>
      <w:b/>
      <w:bCs/>
      <w:sz w:val="20"/>
      <w:szCs w:val="20"/>
    </w:rPr>
  </w:style>
  <w:style w:type="paragraph" w:styleId="BalloonText">
    <w:name w:val="Balloon Text"/>
    <w:basedOn w:val="Normal"/>
    <w:link w:val="BalloonTextChar"/>
    <w:uiPriority w:val="99"/>
    <w:semiHidden/>
    <w:unhideWhenUsed/>
    <w:rsid w:val="00A57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B58"/>
    <w:rPr>
      <w:rFonts w:ascii="Segoe UI" w:hAnsi="Segoe UI" w:cs="Segoe UI"/>
      <w:sz w:val="18"/>
      <w:szCs w:val="18"/>
    </w:rPr>
  </w:style>
  <w:style w:type="paragraph" w:styleId="Header">
    <w:name w:val="header"/>
    <w:basedOn w:val="Normal"/>
    <w:link w:val="HeaderChar"/>
    <w:uiPriority w:val="99"/>
    <w:unhideWhenUsed/>
    <w:rsid w:val="00EF11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120"/>
  </w:style>
  <w:style w:type="paragraph" w:styleId="Footer">
    <w:name w:val="footer"/>
    <w:basedOn w:val="Normal"/>
    <w:link w:val="FooterChar"/>
    <w:uiPriority w:val="99"/>
    <w:unhideWhenUsed/>
    <w:rsid w:val="00EF11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120"/>
  </w:style>
  <w:style w:type="paragraph" w:styleId="ListParagraph">
    <w:name w:val="List Paragraph"/>
    <w:basedOn w:val="Normal"/>
    <w:uiPriority w:val="34"/>
    <w:qFormat/>
    <w:rsid w:val="00CF5235"/>
    <w:pPr>
      <w:ind w:left="720"/>
      <w:contextualSpacing/>
    </w:pPr>
  </w:style>
  <w:style w:type="paragraph" w:styleId="Revision">
    <w:name w:val="Revision"/>
    <w:hidden/>
    <w:uiPriority w:val="99"/>
    <w:semiHidden/>
    <w:rsid w:val="005F1A29"/>
    <w:pPr>
      <w:spacing w:after="0" w:line="240" w:lineRule="auto"/>
    </w:pPr>
  </w:style>
  <w:style w:type="character" w:customStyle="1" w:styleId="UnresolvedMention1">
    <w:name w:val="Unresolved Mention1"/>
    <w:basedOn w:val="DefaultParagraphFont"/>
    <w:uiPriority w:val="99"/>
    <w:semiHidden/>
    <w:unhideWhenUsed/>
    <w:rsid w:val="003B44AA"/>
    <w:rPr>
      <w:color w:val="605E5C"/>
      <w:shd w:val="clear" w:color="auto" w:fill="E1DFDD"/>
    </w:rPr>
  </w:style>
  <w:style w:type="character" w:styleId="FollowedHyperlink">
    <w:name w:val="FollowedHyperlink"/>
    <w:basedOn w:val="DefaultParagraphFont"/>
    <w:uiPriority w:val="99"/>
    <w:semiHidden/>
    <w:unhideWhenUsed/>
    <w:rsid w:val="00852D13"/>
    <w:rPr>
      <w:color w:val="954F72" w:themeColor="followedHyperlink"/>
      <w:u w:val="single"/>
    </w:rPr>
  </w:style>
  <w:style w:type="character" w:styleId="PlaceholderText">
    <w:name w:val="Placeholder Text"/>
    <w:basedOn w:val="DefaultParagraphFont"/>
    <w:uiPriority w:val="99"/>
    <w:semiHidden/>
    <w:rsid w:val="00F14F59"/>
    <w:rPr>
      <w:color w:val="808080"/>
    </w:rPr>
  </w:style>
  <w:style w:type="paragraph" w:styleId="Bibliography">
    <w:name w:val="Bibliography"/>
    <w:basedOn w:val="Normal"/>
    <w:next w:val="Normal"/>
    <w:uiPriority w:val="37"/>
    <w:unhideWhenUsed/>
    <w:rsid w:val="00684E1F"/>
    <w:pPr>
      <w:spacing w:after="0" w:line="240" w:lineRule="auto"/>
      <w:ind w:left="720" w:hanging="720"/>
    </w:pPr>
  </w:style>
  <w:style w:type="table" w:styleId="TableGrid">
    <w:name w:val="Table Grid"/>
    <w:basedOn w:val="TableNormal"/>
    <w:uiPriority w:val="39"/>
    <w:rsid w:val="00B93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B3C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568041">
      <w:bodyDiv w:val="1"/>
      <w:marLeft w:val="0"/>
      <w:marRight w:val="0"/>
      <w:marTop w:val="0"/>
      <w:marBottom w:val="0"/>
      <w:divBdr>
        <w:top w:val="none" w:sz="0" w:space="0" w:color="auto"/>
        <w:left w:val="none" w:sz="0" w:space="0" w:color="auto"/>
        <w:bottom w:val="none" w:sz="0" w:space="0" w:color="auto"/>
        <w:right w:val="none" w:sz="0" w:space="0" w:color="auto"/>
      </w:divBdr>
    </w:div>
    <w:div w:id="278414972">
      <w:bodyDiv w:val="1"/>
      <w:marLeft w:val="0"/>
      <w:marRight w:val="0"/>
      <w:marTop w:val="0"/>
      <w:marBottom w:val="0"/>
      <w:divBdr>
        <w:top w:val="none" w:sz="0" w:space="0" w:color="auto"/>
        <w:left w:val="none" w:sz="0" w:space="0" w:color="auto"/>
        <w:bottom w:val="none" w:sz="0" w:space="0" w:color="auto"/>
        <w:right w:val="none" w:sz="0" w:space="0" w:color="auto"/>
      </w:divBdr>
    </w:div>
    <w:div w:id="295836175">
      <w:bodyDiv w:val="1"/>
      <w:marLeft w:val="0"/>
      <w:marRight w:val="0"/>
      <w:marTop w:val="0"/>
      <w:marBottom w:val="0"/>
      <w:divBdr>
        <w:top w:val="none" w:sz="0" w:space="0" w:color="auto"/>
        <w:left w:val="none" w:sz="0" w:space="0" w:color="auto"/>
        <w:bottom w:val="none" w:sz="0" w:space="0" w:color="auto"/>
        <w:right w:val="none" w:sz="0" w:space="0" w:color="auto"/>
      </w:divBdr>
    </w:div>
    <w:div w:id="397939408">
      <w:bodyDiv w:val="1"/>
      <w:marLeft w:val="0"/>
      <w:marRight w:val="0"/>
      <w:marTop w:val="0"/>
      <w:marBottom w:val="0"/>
      <w:divBdr>
        <w:top w:val="none" w:sz="0" w:space="0" w:color="auto"/>
        <w:left w:val="none" w:sz="0" w:space="0" w:color="auto"/>
        <w:bottom w:val="none" w:sz="0" w:space="0" w:color="auto"/>
        <w:right w:val="none" w:sz="0" w:space="0" w:color="auto"/>
      </w:divBdr>
    </w:div>
    <w:div w:id="432212946">
      <w:bodyDiv w:val="1"/>
      <w:marLeft w:val="0"/>
      <w:marRight w:val="0"/>
      <w:marTop w:val="0"/>
      <w:marBottom w:val="0"/>
      <w:divBdr>
        <w:top w:val="none" w:sz="0" w:space="0" w:color="auto"/>
        <w:left w:val="none" w:sz="0" w:space="0" w:color="auto"/>
        <w:bottom w:val="none" w:sz="0" w:space="0" w:color="auto"/>
        <w:right w:val="none" w:sz="0" w:space="0" w:color="auto"/>
      </w:divBdr>
    </w:div>
    <w:div w:id="479272253">
      <w:bodyDiv w:val="1"/>
      <w:marLeft w:val="0"/>
      <w:marRight w:val="0"/>
      <w:marTop w:val="0"/>
      <w:marBottom w:val="0"/>
      <w:divBdr>
        <w:top w:val="none" w:sz="0" w:space="0" w:color="auto"/>
        <w:left w:val="none" w:sz="0" w:space="0" w:color="auto"/>
        <w:bottom w:val="none" w:sz="0" w:space="0" w:color="auto"/>
        <w:right w:val="none" w:sz="0" w:space="0" w:color="auto"/>
      </w:divBdr>
    </w:div>
    <w:div w:id="556942272">
      <w:bodyDiv w:val="1"/>
      <w:marLeft w:val="0"/>
      <w:marRight w:val="0"/>
      <w:marTop w:val="0"/>
      <w:marBottom w:val="0"/>
      <w:divBdr>
        <w:top w:val="none" w:sz="0" w:space="0" w:color="auto"/>
        <w:left w:val="none" w:sz="0" w:space="0" w:color="auto"/>
        <w:bottom w:val="none" w:sz="0" w:space="0" w:color="auto"/>
        <w:right w:val="none" w:sz="0" w:space="0" w:color="auto"/>
      </w:divBdr>
    </w:div>
    <w:div w:id="610208716">
      <w:bodyDiv w:val="1"/>
      <w:marLeft w:val="0"/>
      <w:marRight w:val="0"/>
      <w:marTop w:val="0"/>
      <w:marBottom w:val="0"/>
      <w:divBdr>
        <w:top w:val="none" w:sz="0" w:space="0" w:color="auto"/>
        <w:left w:val="none" w:sz="0" w:space="0" w:color="auto"/>
        <w:bottom w:val="none" w:sz="0" w:space="0" w:color="auto"/>
        <w:right w:val="none" w:sz="0" w:space="0" w:color="auto"/>
      </w:divBdr>
    </w:div>
    <w:div w:id="652566553">
      <w:bodyDiv w:val="1"/>
      <w:marLeft w:val="0"/>
      <w:marRight w:val="0"/>
      <w:marTop w:val="0"/>
      <w:marBottom w:val="0"/>
      <w:divBdr>
        <w:top w:val="none" w:sz="0" w:space="0" w:color="auto"/>
        <w:left w:val="none" w:sz="0" w:space="0" w:color="auto"/>
        <w:bottom w:val="none" w:sz="0" w:space="0" w:color="auto"/>
        <w:right w:val="none" w:sz="0" w:space="0" w:color="auto"/>
      </w:divBdr>
    </w:div>
    <w:div w:id="662052914">
      <w:bodyDiv w:val="1"/>
      <w:marLeft w:val="0"/>
      <w:marRight w:val="0"/>
      <w:marTop w:val="0"/>
      <w:marBottom w:val="0"/>
      <w:divBdr>
        <w:top w:val="none" w:sz="0" w:space="0" w:color="auto"/>
        <w:left w:val="none" w:sz="0" w:space="0" w:color="auto"/>
        <w:bottom w:val="none" w:sz="0" w:space="0" w:color="auto"/>
        <w:right w:val="none" w:sz="0" w:space="0" w:color="auto"/>
      </w:divBdr>
    </w:div>
    <w:div w:id="742724491">
      <w:bodyDiv w:val="1"/>
      <w:marLeft w:val="0"/>
      <w:marRight w:val="0"/>
      <w:marTop w:val="0"/>
      <w:marBottom w:val="0"/>
      <w:divBdr>
        <w:top w:val="none" w:sz="0" w:space="0" w:color="auto"/>
        <w:left w:val="none" w:sz="0" w:space="0" w:color="auto"/>
        <w:bottom w:val="none" w:sz="0" w:space="0" w:color="auto"/>
        <w:right w:val="none" w:sz="0" w:space="0" w:color="auto"/>
      </w:divBdr>
    </w:div>
    <w:div w:id="1033578036">
      <w:bodyDiv w:val="1"/>
      <w:marLeft w:val="0"/>
      <w:marRight w:val="0"/>
      <w:marTop w:val="0"/>
      <w:marBottom w:val="0"/>
      <w:divBdr>
        <w:top w:val="none" w:sz="0" w:space="0" w:color="auto"/>
        <w:left w:val="none" w:sz="0" w:space="0" w:color="auto"/>
        <w:bottom w:val="none" w:sz="0" w:space="0" w:color="auto"/>
        <w:right w:val="none" w:sz="0" w:space="0" w:color="auto"/>
      </w:divBdr>
    </w:div>
    <w:div w:id="1070037931">
      <w:bodyDiv w:val="1"/>
      <w:marLeft w:val="0"/>
      <w:marRight w:val="0"/>
      <w:marTop w:val="0"/>
      <w:marBottom w:val="0"/>
      <w:divBdr>
        <w:top w:val="none" w:sz="0" w:space="0" w:color="auto"/>
        <w:left w:val="none" w:sz="0" w:space="0" w:color="auto"/>
        <w:bottom w:val="none" w:sz="0" w:space="0" w:color="auto"/>
        <w:right w:val="none" w:sz="0" w:space="0" w:color="auto"/>
      </w:divBdr>
    </w:div>
    <w:div w:id="1101872064">
      <w:bodyDiv w:val="1"/>
      <w:marLeft w:val="0"/>
      <w:marRight w:val="0"/>
      <w:marTop w:val="0"/>
      <w:marBottom w:val="0"/>
      <w:divBdr>
        <w:top w:val="none" w:sz="0" w:space="0" w:color="auto"/>
        <w:left w:val="none" w:sz="0" w:space="0" w:color="auto"/>
        <w:bottom w:val="none" w:sz="0" w:space="0" w:color="auto"/>
        <w:right w:val="none" w:sz="0" w:space="0" w:color="auto"/>
      </w:divBdr>
    </w:div>
    <w:div w:id="1111972353">
      <w:bodyDiv w:val="1"/>
      <w:marLeft w:val="0"/>
      <w:marRight w:val="0"/>
      <w:marTop w:val="0"/>
      <w:marBottom w:val="0"/>
      <w:divBdr>
        <w:top w:val="none" w:sz="0" w:space="0" w:color="auto"/>
        <w:left w:val="none" w:sz="0" w:space="0" w:color="auto"/>
        <w:bottom w:val="none" w:sz="0" w:space="0" w:color="auto"/>
        <w:right w:val="none" w:sz="0" w:space="0" w:color="auto"/>
      </w:divBdr>
    </w:div>
    <w:div w:id="1148547432">
      <w:bodyDiv w:val="1"/>
      <w:marLeft w:val="0"/>
      <w:marRight w:val="0"/>
      <w:marTop w:val="0"/>
      <w:marBottom w:val="0"/>
      <w:divBdr>
        <w:top w:val="none" w:sz="0" w:space="0" w:color="auto"/>
        <w:left w:val="none" w:sz="0" w:space="0" w:color="auto"/>
        <w:bottom w:val="none" w:sz="0" w:space="0" w:color="auto"/>
        <w:right w:val="none" w:sz="0" w:space="0" w:color="auto"/>
      </w:divBdr>
    </w:div>
    <w:div w:id="1150364102">
      <w:bodyDiv w:val="1"/>
      <w:marLeft w:val="0"/>
      <w:marRight w:val="0"/>
      <w:marTop w:val="0"/>
      <w:marBottom w:val="0"/>
      <w:divBdr>
        <w:top w:val="none" w:sz="0" w:space="0" w:color="auto"/>
        <w:left w:val="none" w:sz="0" w:space="0" w:color="auto"/>
        <w:bottom w:val="none" w:sz="0" w:space="0" w:color="auto"/>
        <w:right w:val="none" w:sz="0" w:space="0" w:color="auto"/>
      </w:divBdr>
    </w:div>
    <w:div w:id="1156410464">
      <w:bodyDiv w:val="1"/>
      <w:marLeft w:val="0"/>
      <w:marRight w:val="0"/>
      <w:marTop w:val="0"/>
      <w:marBottom w:val="0"/>
      <w:divBdr>
        <w:top w:val="none" w:sz="0" w:space="0" w:color="auto"/>
        <w:left w:val="none" w:sz="0" w:space="0" w:color="auto"/>
        <w:bottom w:val="none" w:sz="0" w:space="0" w:color="auto"/>
        <w:right w:val="none" w:sz="0" w:space="0" w:color="auto"/>
      </w:divBdr>
    </w:div>
    <w:div w:id="1212689232">
      <w:bodyDiv w:val="1"/>
      <w:marLeft w:val="0"/>
      <w:marRight w:val="0"/>
      <w:marTop w:val="0"/>
      <w:marBottom w:val="0"/>
      <w:divBdr>
        <w:top w:val="none" w:sz="0" w:space="0" w:color="auto"/>
        <w:left w:val="none" w:sz="0" w:space="0" w:color="auto"/>
        <w:bottom w:val="none" w:sz="0" w:space="0" w:color="auto"/>
        <w:right w:val="none" w:sz="0" w:space="0" w:color="auto"/>
      </w:divBdr>
    </w:div>
    <w:div w:id="1239360550">
      <w:bodyDiv w:val="1"/>
      <w:marLeft w:val="0"/>
      <w:marRight w:val="0"/>
      <w:marTop w:val="0"/>
      <w:marBottom w:val="0"/>
      <w:divBdr>
        <w:top w:val="none" w:sz="0" w:space="0" w:color="auto"/>
        <w:left w:val="none" w:sz="0" w:space="0" w:color="auto"/>
        <w:bottom w:val="none" w:sz="0" w:space="0" w:color="auto"/>
        <w:right w:val="none" w:sz="0" w:space="0" w:color="auto"/>
      </w:divBdr>
    </w:div>
    <w:div w:id="1264265525">
      <w:bodyDiv w:val="1"/>
      <w:marLeft w:val="0"/>
      <w:marRight w:val="0"/>
      <w:marTop w:val="0"/>
      <w:marBottom w:val="0"/>
      <w:divBdr>
        <w:top w:val="none" w:sz="0" w:space="0" w:color="auto"/>
        <w:left w:val="none" w:sz="0" w:space="0" w:color="auto"/>
        <w:bottom w:val="none" w:sz="0" w:space="0" w:color="auto"/>
        <w:right w:val="none" w:sz="0" w:space="0" w:color="auto"/>
      </w:divBdr>
    </w:div>
    <w:div w:id="1362053856">
      <w:bodyDiv w:val="1"/>
      <w:marLeft w:val="0"/>
      <w:marRight w:val="0"/>
      <w:marTop w:val="0"/>
      <w:marBottom w:val="0"/>
      <w:divBdr>
        <w:top w:val="none" w:sz="0" w:space="0" w:color="auto"/>
        <w:left w:val="none" w:sz="0" w:space="0" w:color="auto"/>
        <w:bottom w:val="none" w:sz="0" w:space="0" w:color="auto"/>
        <w:right w:val="none" w:sz="0" w:space="0" w:color="auto"/>
      </w:divBdr>
    </w:div>
    <w:div w:id="1371029859">
      <w:bodyDiv w:val="1"/>
      <w:marLeft w:val="0"/>
      <w:marRight w:val="0"/>
      <w:marTop w:val="0"/>
      <w:marBottom w:val="0"/>
      <w:divBdr>
        <w:top w:val="none" w:sz="0" w:space="0" w:color="auto"/>
        <w:left w:val="none" w:sz="0" w:space="0" w:color="auto"/>
        <w:bottom w:val="none" w:sz="0" w:space="0" w:color="auto"/>
        <w:right w:val="none" w:sz="0" w:space="0" w:color="auto"/>
      </w:divBdr>
    </w:div>
    <w:div w:id="1413889999">
      <w:bodyDiv w:val="1"/>
      <w:marLeft w:val="0"/>
      <w:marRight w:val="0"/>
      <w:marTop w:val="0"/>
      <w:marBottom w:val="0"/>
      <w:divBdr>
        <w:top w:val="none" w:sz="0" w:space="0" w:color="auto"/>
        <w:left w:val="none" w:sz="0" w:space="0" w:color="auto"/>
        <w:bottom w:val="none" w:sz="0" w:space="0" w:color="auto"/>
        <w:right w:val="none" w:sz="0" w:space="0" w:color="auto"/>
      </w:divBdr>
    </w:div>
    <w:div w:id="1523280626">
      <w:bodyDiv w:val="1"/>
      <w:marLeft w:val="0"/>
      <w:marRight w:val="0"/>
      <w:marTop w:val="0"/>
      <w:marBottom w:val="0"/>
      <w:divBdr>
        <w:top w:val="none" w:sz="0" w:space="0" w:color="auto"/>
        <w:left w:val="none" w:sz="0" w:space="0" w:color="auto"/>
        <w:bottom w:val="none" w:sz="0" w:space="0" w:color="auto"/>
        <w:right w:val="none" w:sz="0" w:space="0" w:color="auto"/>
      </w:divBdr>
    </w:div>
    <w:div w:id="1562672680">
      <w:bodyDiv w:val="1"/>
      <w:marLeft w:val="0"/>
      <w:marRight w:val="0"/>
      <w:marTop w:val="0"/>
      <w:marBottom w:val="0"/>
      <w:divBdr>
        <w:top w:val="none" w:sz="0" w:space="0" w:color="auto"/>
        <w:left w:val="none" w:sz="0" w:space="0" w:color="auto"/>
        <w:bottom w:val="none" w:sz="0" w:space="0" w:color="auto"/>
        <w:right w:val="none" w:sz="0" w:space="0" w:color="auto"/>
      </w:divBdr>
    </w:div>
    <w:div w:id="1609000539">
      <w:bodyDiv w:val="1"/>
      <w:marLeft w:val="0"/>
      <w:marRight w:val="0"/>
      <w:marTop w:val="0"/>
      <w:marBottom w:val="0"/>
      <w:divBdr>
        <w:top w:val="none" w:sz="0" w:space="0" w:color="auto"/>
        <w:left w:val="none" w:sz="0" w:space="0" w:color="auto"/>
        <w:bottom w:val="none" w:sz="0" w:space="0" w:color="auto"/>
        <w:right w:val="none" w:sz="0" w:space="0" w:color="auto"/>
      </w:divBdr>
    </w:div>
    <w:div w:id="1656176981">
      <w:bodyDiv w:val="1"/>
      <w:marLeft w:val="0"/>
      <w:marRight w:val="0"/>
      <w:marTop w:val="0"/>
      <w:marBottom w:val="0"/>
      <w:divBdr>
        <w:top w:val="none" w:sz="0" w:space="0" w:color="auto"/>
        <w:left w:val="none" w:sz="0" w:space="0" w:color="auto"/>
        <w:bottom w:val="none" w:sz="0" w:space="0" w:color="auto"/>
        <w:right w:val="none" w:sz="0" w:space="0" w:color="auto"/>
      </w:divBdr>
    </w:div>
    <w:div w:id="1722243338">
      <w:bodyDiv w:val="1"/>
      <w:marLeft w:val="0"/>
      <w:marRight w:val="0"/>
      <w:marTop w:val="0"/>
      <w:marBottom w:val="0"/>
      <w:divBdr>
        <w:top w:val="none" w:sz="0" w:space="0" w:color="auto"/>
        <w:left w:val="none" w:sz="0" w:space="0" w:color="auto"/>
        <w:bottom w:val="none" w:sz="0" w:space="0" w:color="auto"/>
        <w:right w:val="none" w:sz="0" w:space="0" w:color="auto"/>
      </w:divBdr>
    </w:div>
    <w:div w:id="1808620249">
      <w:bodyDiv w:val="1"/>
      <w:marLeft w:val="0"/>
      <w:marRight w:val="0"/>
      <w:marTop w:val="0"/>
      <w:marBottom w:val="0"/>
      <w:divBdr>
        <w:top w:val="none" w:sz="0" w:space="0" w:color="auto"/>
        <w:left w:val="none" w:sz="0" w:space="0" w:color="auto"/>
        <w:bottom w:val="none" w:sz="0" w:space="0" w:color="auto"/>
        <w:right w:val="none" w:sz="0" w:space="0" w:color="auto"/>
      </w:divBdr>
    </w:div>
    <w:div w:id="1846508221">
      <w:bodyDiv w:val="1"/>
      <w:marLeft w:val="0"/>
      <w:marRight w:val="0"/>
      <w:marTop w:val="0"/>
      <w:marBottom w:val="0"/>
      <w:divBdr>
        <w:top w:val="none" w:sz="0" w:space="0" w:color="auto"/>
        <w:left w:val="none" w:sz="0" w:space="0" w:color="auto"/>
        <w:bottom w:val="none" w:sz="0" w:space="0" w:color="auto"/>
        <w:right w:val="none" w:sz="0" w:space="0" w:color="auto"/>
      </w:divBdr>
    </w:div>
    <w:div w:id="1920364394">
      <w:bodyDiv w:val="1"/>
      <w:marLeft w:val="0"/>
      <w:marRight w:val="0"/>
      <w:marTop w:val="0"/>
      <w:marBottom w:val="0"/>
      <w:divBdr>
        <w:top w:val="none" w:sz="0" w:space="0" w:color="auto"/>
        <w:left w:val="none" w:sz="0" w:space="0" w:color="auto"/>
        <w:bottom w:val="none" w:sz="0" w:space="0" w:color="auto"/>
        <w:right w:val="none" w:sz="0" w:space="0" w:color="auto"/>
      </w:divBdr>
    </w:div>
    <w:div w:id="1923299268">
      <w:bodyDiv w:val="1"/>
      <w:marLeft w:val="0"/>
      <w:marRight w:val="0"/>
      <w:marTop w:val="0"/>
      <w:marBottom w:val="0"/>
      <w:divBdr>
        <w:top w:val="none" w:sz="0" w:space="0" w:color="auto"/>
        <w:left w:val="none" w:sz="0" w:space="0" w:color="auto"/>
        <w:bottom w:val="none" w:sz="0" w:space="0" w:color="auto"/>
        <w:right w:val="none" w:sz="0" w:space="0" w:color="auto"/>
      </w:divBdr>
    </w:div>
    <w:div w:id="1996059788">
      <w:bodyDiv w:val="1"/>
      <w:marLeft w:val="0"/>
      <w:marRight w:val="0"/>
      <w:marTop w:val="0"/>
      <w:marBottom w:val="0"/>
      <w:divBdr>
        <w:top w:val="none" w:sz="0" w:space="0" w:color="auto"/>
        <w:left w:val="none" w:sz="0" w:space="0" w:color="auto"/>
        <w:bottom w:val="none" w:sz="0" w:space="0" w:color="auto"/>
        <w:right w:val="none" w:sz="0" w:space="0" w:color="auto"/>
      </w:divBdr>
    </w:div>
    <w:div w:id="2020305199">
      <w:bodyDiv w:val="1"/>
      <w:marLeft w:val="0"/>
      <w:marRight w:val="0"/>
      <w:marTop w:val="0"/>
      <w:marBottom w:val="0"/>
      <w:divBdr>
        <w:top w:val="none" w:sz="0" w:space="0" w:color="auto"/>
        <w:left w:val="none" w:sz="0" w:space="0" w:color="auto"/>
        <w:bottom w:val="none" w:sz="0" w:space="0" w:color="auto"/>
        <w:right w:val="none" w:sz="0" w:space="0" w:color="auto"/>
      </w:divBdr>
    </w:div>
    <w:div w:id="2030794985">
      <w:bodyDiv w:val="1"/>
      <w:marLeft w:val="0"/>
      <w:marRight w:val="0"/>
      <w:marTop w:val="0"/>
      <w:marBottom w:val="0"/>
      <w:divBdr>
        <w:top w:val="none" w:sz="0" w:space="0" w:color="auto"/>
        <w:left w:val="none" w:sz="0" w:space="0" w:color="auto"/>
        <w:bottom w:val="none" w:sz="0" w:space="0" w:color="auto"/>
        <w:right w:val="none" w:sz="0" w:space="0" w:color="auto"/>
      </w:divBdr>
    </w:div>
    <w:div w:id="2062483617">
      <w:bodyDiv w:val="1"/>
      <w:marLeft w:val="0"/>
      <w:marRight w:val="0"/>
      <w:marTop w:val="0"/>
      <w:marBottom w:val="0"/>
      <w:divBdr>
        <w:top w:val="none" w:sz="0" w:space="0" w:color="auto"/>
        <w:left w:val="none" w:sz="0" w:space="0" w:color="auto"/>
        <w:bottom w:val="none" w:sz="0" w:space="0" w:color="auto"/>
        <w:right w:val="none" w:sz="0" w:space="0" w:color="auto"/>
      </w:divBdr>
    </w:div>
    <w:div w:id="212180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footer" Target="footer1.xml"/><Relationship Id="rId21" Type="http://schemas.openxmlformats.org/officeDocument/2006/relationships/diagramColors" Target="diagrams/colors1.xml"/><Relationship Id="rId34"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diagramColors" Target="diagrams/colors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QuickStyle" Target="diagrams/quickStyle2.xml"/><Relationship Id="rId33" Type="http://schemas.openxmlformats.org/officeDocument/2006/relationships/image" Target="media/image8.png"/><Relationship Id="rId38"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A84DE-F2B0-4420-9AED-568577270EE6}"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B49F3512-2C26-41BF-9174-98442C6750B9}">
      <dgm:prSet phldrT="[Text]"/>
      <dgm:spPr/>
      <dgm:t>
        <a:bodyPr/>
        <a:lstStyle/>
        <a:p>
          <a:r>
            <a:rPr lang="en-US"/>
            <a:t>1</a:t>
          </a:r>
        </a:p>
      </dgm:t>
    </dgm:pt>
    <dgm:pt modelId="{8C52A8AA-465E-4996-A178-2A0E782C83D0}" type="parTrans" cxnId="{E942B831-6926-4F2F-A134-FF46D18B11D3}">
      <dgm:prSet/>
      <dgm:spPr/>
      <dgm:t>
        <a:bodyPr/>
        <a:lstStyle/>
        <a:p>
          <a:endParaRPr lang="en-US"/>
        </a:p>
      </dgm:t>
    </dgm:pt>
    <dgm:pt modelId="{F56169F0-807E-49B1-8771-4D8354430BA9}" type="sibTrans" cxnId="{E942B831-6926-4F2F-A134-FF46D18B11D3}">
      <dgm:prSet/>
      <dgm:spPr>
        <a:solidFill>
          <a:schemeClr val="bg1"/>
        </a:solidFill>
      </dgm:spPr>
      <dgm:t>
        <a:bodyPr/>
        <a:lstStyle/>
        <a:p>
          <a:endParaRPr lang="en-US"/>
        </a:p>
      </dgm:t>
    </dgm:pt>
    <dgm:pt modelId="{31220C65-D020-48F1-BB0A-310F6F30007C}">
      <dgm:prSet phldrT="[Text]" custT="1"/>
      <dgm:spPr/>
      <dgm:t>
        <a:bodyPr/>
        <a:lstStyle/>
        <a:p>
          <a:r>
            <a:rPr lang="en-US" sz="1400"/>
            <a:t>2</a:t>
          </a:r>
        </a:p>
      </dgm:t>
    </dgm:pt>
    <dgm:pt modelId="{47A2227F-2AE2-456B-B9E3-5A3481BF8575}" type="parTrans" cxnId="{8E9CBFE0-40F2-48D6-9376-BF80C0826061}">
      <dgm:prSet/>
      <dgm:spPr/>
      <dgm:t>
        <a:bodyPr/>
        <a:lstStyle/>
        <a:p>
          <a:endParaRPr lang="en-US"/>
        </a:p>
      </dgm:t>
    </dgm:pt>
    <dgm:pt modelId="{0E60051D-7448-46D4-AA40-221049CF1963}" type="sibTrans" cxnId="{8E9CBFE0-40F2-48D6-9376-BF80C0826061}">
      <dgm:prSet custT="1"/>
      <dgm:spPr/>
      <dgm:t>
        <a:bodyPr/>
        <a:lstStyle/>
        <a:p>
          <a:r>
            <a:rPr lang="en-US" sz="1400"/>
            <a:t>3</a:t>
          </a:r>
        </a:p>
      </dgm:t>
    </dgm:pt>
    <dgm:pt modelId="{476C3F5B-CA22-4105-8734-7BE15EDF5F9B}">
      <dgm:prSet phldrT="[Text]"/>
      <dgm:spPr/>
      <dgm:t>
        <a:bodyPr/>
        <a:lstStyle/>
        <a:p>
          <a:r>
            <a:rPr lang="en-US"/>
            <a:t>4</a:t>
          </a:r>
        </a:p>
      </dgm:t>
    </dgm:pt>
    <dgm:pt modelId="{8FF50735-F428-4447-8A5E-CC427644F446}" type="parTrans" cxnId="{69152253-C26F-4195-8F4A-114991D17D1C}">
      <dgm:prSet/>
      <dgm:spPr/>
      <dgm:t>
        <a:bodyPr/>
        <a:lstStyle/>
        <a:p>
          <a:endParaRPr lang="en-US"/>
        </a:p>
      </dgm:t>
    </dgm:pt>
    <dgm:pt modelId="{DFBDD1B5-8C71-4EB6-8EBB-9D19DE19BAA7}" type="sibTrans" cxnId="{69152253-C26F-4195-8F4A-114991D17D1C}">
      <dgm:prSet custT="1"/>
      <dgm:spPr/>
      <dgm:t>
        <a:bodyPr/>
        <a:lstStyle/>
        <a:p>
          <a:r>
            <a:rPr lang="en-US" sz="1400"/>
            <a:t>5</a:t>
          </a:r>
        </a:p>
      </dgm:t>
    </dgm:pt>
    <dgm:pt modelId="{E483F0C9-6523-43F4-999C-051A00FFC805}" type="pres">
      <dgm:prSet presAssocID="{086A84DE-F2B0-4420-9AED-568577270EE6}" presName="Name0" presStyleCnt="0">
        <dgm:presLayoutVars>
          <dgm:chMax/>
          <dgm:chPref/>
          <dgm:dir/>
          <dgm:animLvl val="lvl"/>
        </dgm:presLayoutVars>
      </dgm:prSet>
      <dgm:spPr/>
    </dgm:pt>
    <dgm:pt modelId="{1BCF47E6-C6E5-463A-8DFB-931F110B893B}" type="pres">
      <dgm:prSet presAssocID="{B49F3512-2C26-41BF-9174-98442C6750B9}" presName="composite" presStyleCnt="0"/>
      <dgm:spPr/>
    </dgm:pt>
    <dgm:pt modelId="{DAFDAE27-688B-4350-B11B-0FFF517C0CE8}" type="pres">
      <dgm:prSet presAssocID="{B49F3512-2C26-41BF-9174-98442C6750B9}" presName="Parent1" presStyleLbl="node1" presStyleIdx="0" presStyleCnt="6">
        <dgm:presLayoutVars>
          <dgm:chMax val="1"/>
          <dgm:chPref val="1"/>
          <dgm:bulletEnabled val="1"/>
        </dgm:presLayoutVars>
      </dgm:prSet>
      <dgm:spPr/>
    </dgm:pt>
    <dgm:pt modelId="{4001BD51-E9ED-4F91-9E34-5F79F618B704}" type="pres">
      <dgm:prSet presAssocID="{B49F3512-2C26-41BF-9174-98442C6750B9}" presName="Childtext1" presStyleLbl="revTx" presStyleIdx="0" presStyleCnt="3">
        <dgm:presLayoutVars>
          <dgm:chMax val="0"/>
          <dgm:chPref val="0"/>
          <dgm:bulletEnabled val="1"/>
        </dgm:presLayoutVars>
      </dgm:prSet>
      <dgm:spPr/>
    </dgm:pt>
    <dgm:pt modelId="{168BC9B2-3864-4D0E-907F-5F4884C805EF}" type="pres">
      <dgm:prSet presAssocID="{B49F3512-2C26-41BF-9174-98442C6750B9}" presName="BalanceSpacing" presStyleCnt="0"/>
      <dgm:spPr/>
    </dgm:pt>
    <dgm:pt modelId="{A5A269BD-67C7-412E-9E99-0951A476A2BF}" type="pres">
      <dgm:prSet presAssocID="{B49F3512-2C26-41BF-9174-98442C6750B9}" presName="BalanceSpacing1" presStyleCnt="0"/>
      <dgm:spPr/>
    </dgm:pt>
    <dgm:pt modelId="{EC68C3BC-F600-448D-83C8-284B0D763158}" type="pres">
      <dgm:prSet presAssocID="{F56169F0-807E-49B1-8771-4D8354430BA9}" presName="Accent1Text" presStyleLbl="node1" presStyleIdx="1" presStyleCnt="6" custFlipHor="1" custScaleX="27374" custScaleY="53426" custLinFactX="185815" custLinFactY="100000" custLinFactNeighborX="200000" custLinFactNeighborY="110389"/>
      <dgm:spPr/>
    </dgm:pt>
    <dgm:pt modelId="{5F627EAA-B985-4FAA-A43F-8C1041252E48}" type="pres">
      <dgm:prSet presAssocID="{F56169F0-807E-49B1-8771-4D8354430BA9}" presName="spaceBetweenRectangles" presStyleCnt="0"/>
      <dgm:spPr/>
    </dgm:pt>
    <dgm:pt modelId="{A9808614-037C-4555-A939-1A2E9049CC8A}" type="pres">
      <dgm:prSet presAssocID="{31220C65-D020-48F1-BB0A-310F6F30007C}" presName="composite" presStyleCnt="0"/>
      <dgm:spPr/>
    </dgm:pt>
    <dgm:pt modelId="{C8FEDA45-35F7-4649-8C29-5FE4C9B05EB3}" type="pres">
      <dgm:prSet presAssocID="{31220C65-D020-48F1-BB0A-310F6F30007C}" presName="Parent1" presStyleLbl="node1" presStyleIdx="2" presStyleCnt="6">
        <dgm:presLayoutVars>
          <dgm:chMax val="1"/>
          <dgm:chPref val="1"/>
          <dgm:bulletEnabled val="1"/>
        </dgm:presLayoutVars>
      </dgm:prSet>
      <dgm:spPr/>
    </dgm:pt>
    <dgm:pt modelId="{6F027805-2A9E-4260-864B-C059B53047E9}" type="pres">
      <dgm:prSet presAssocID="{31220C65-D020-48F1-BB0A-310F6F30007C}" presName="Childtext1" presStyleLbl="revTx" presStyleIdx="1" presStyleCnt="3">
        <dgm:presLayoutVars>
          <dgm:chMax val="0"/>
          <dgm:chPref val="0"/>
          <dgm:bulletEnabled val="1"/>
        </dgm:presLayoutVars>
      </dgm:prSet>
      <dgm:spPr/>
    </dgm:pt>
    <dgm:pt modelId="{B251A252-0E10-40A1-975B-948ECCDC1E26}" type="pres">
      <dgm:prSet presAssocID="{31220C65-D020-48F1-BB0A-310F6F30007C}" presName="BalanceSpacing" presStyleCnt="0"/>
      <dgm:spPr/>
    </dgm:pt>
    <dgm:pt modelId="{D9BDA7CA-FEB1-475C-94A7-F3C31D9CB10B}" type="pres">
      <dgm:prSet presAssocID="{31220C65-D020-48F1-BB0A-310F6F30007C}" presName="BalanceSpacing1" presStyleCnt="0"/>
      <dgm:spPr/>
    </dgm:pt>
    <dgm:pt modelId="{A85001CC-183C-457B-9BAA-DB64ACB67C4F}" type="pres">
      <dgm:prSet presAssocID="{0E60051D-7448-46D4-AA40-221049CF1963}" presName="Accent1Text" presStyleLbl="node1" presStyleIdx="3" presStyleCnt="6"/>
      <dgm:spPr/>
    </dgm:pt>
    <dgm:pt modelId="{D4854AAC-9628-450B-A3EC-CB6D5282AF79}" type="pres">
      <dgm:prSet presAssocID="{0E60051D-7448-46D4-AA40-221049CF1963}" presName="spaceBetweenRectangles" presStyleCnt="0"/>
      <dgm:spPr/>
    </dgm:pt>
    <dgm:pt modelId="{5CA397D1-79CA-48EC-A332-BDFF2E221926}" type="pres">
      <dgm:prSet presAssocID="{476C3F5B-CA22-4105-8734-7BE15EDF5F9B}" presName="composite" presStyleCnt="0"/>
      <dgm:spPr/>
    </dgm:pt>
    <dgm:pt modelId="{30FED8C0-EA93-4FDB-B043-95D01222C91D}" type="pres">
      <dgm:prSet presAssocID="{476C3F5B-CA22-4105-8734-7BE15EDF5F9B}" presName="Parent1" presStyleLbl="node1" presStyleIdx="4" presStyleCnt="6">
        <dgm:presLayoutVars>
          <dgm:chMax val="1"/>
          <dgm:chPref val="1"/>
          <dgm:bulletEnabled val="1"/>
        </dgm:presLayoutVars>
      </dgm:prSet>
      <dgm:spPr/>
    </dgm:pt>
    <dgm:pt modelId="{3D5D1BC0-A474-4A10-B31C-72E5F44FB78C}" type="pres">
      <dgm:prSet presAssocID="{476C3F5B-CA22-4105-8734-7BE15EDF5F9B}" presName="Childtext1" presStyleLbl="revTx" presStyleIdx="2" presStyleCnt="3">
        <dgm:presLayoutVars>
          <dgm:chMax val="0"/>
          <dgm:chPref val="0"/>
          <dgm:bulletEnabled val="1"/>
        </dgm:presLayoutVars>
      </dgm:prSet>
      <dgm:spPr/>
    </dgm:pt>
    <dgm:pt modelId="{7D29CCFD-48E6-421C-9285-49E134970C16}" type="pres">
      <dgm:prSet presAssocID="{476C3F5B-CA22-4105-8734-7BE15EDF5F9B}" presName="BalanceSpacing" presStyleCnt="0"/>
      <dgm:spPr/>
    </dgm:pt>
    <dgm:pt modelId="{57AD1380-A723-4EBB-8D1B-1DBD9B81BDD1}" type="pres">
      <dgm:prSet presAssocID="{476C3F5B-CA22-4105-8734-7BE15EDF5F9B}" presName="BalanceSpacing1" presStyleCnt="0"/>
      <dgm:spPr/>
    </dgm:pt>
    <dgm:pt modelId="{63BC2041-2214-47A6-8B90-8ED2D0D767E6}" type="pres">
      <dgm:prSet presAssocID="{DFBDD1B5-8C71-4EB6-8EBB-9D19DE19BAA7}" presName="Accent1Text" presStyleLbl="node1" presStyleIdx="5" presStyleCnt="6"/>
      <dgm:spPr/>
    </dgm:pt>
  </dgm:ptLst>
  <dgm:cxnLst>
    <dgm:cxn modelId="{40275906-46BE-428B-A83D-8915D1DB4058}" type="presOf" srcId="{086A84DE-F2B0-4420-9AED-568577270EE6}" destId="{E483F0C9-6523-43F4-999C-051A00FFC805}" srcOrd="0" destOrd="0" presId="urn:microsoft.com/office/officeart/2008/layout/AlternatingHexagons"/>
    <dgm:cxn modelId="{2925302F-306A-4631-AED1-78E6925D6700}" type="presOf" srcId="{31220C65-D020-48F1-BB0A-310F6F30007C}" destId="{C8FEDA45-35F7-4649-8C29-5FE4C9B05EB3}" srcOrd="0" destOrd="0" presId="urn:microsoft.com/office/officeart/2008/layout/AlternatingHexagons"/>
    <dgm:cxn modelId="{E942B831-6926-4F2F-A134-FF46D18B11D3}" srcId="{086A84DE-F2B0-4420-9AED-568577270EE6}" destId="{B49F3512-2C26-41BF-9174-98442C6750B9}" srcOrd="0" destOrd="0" parTransId="{8C52A8AA-465E-4996-A178-2A0E782C83D0}" sibTransId="{F56169F0-807E-49B1-8771-4D8354430BA9}"/>
    <dgm:cxn modelId="{F3A7A143-F7C7-41AE-9812-19EC298CAF8B}" type="presOf" srcId="{DFBDD1B5-8C71-4EB6-8EBB-9D19DE19BAA7}" destId="{63BC2041-2214-47A6-8B90-8ED2D0D767E6}" srcOrd="0" destOrd="0" presId="urn:microsoft.com/office/officeart/2008/layout/AlternatingHexagons"/>
    <dgm:cxn modelId="{B0FF1368-1814-4721-8F74-C5D6AE3E8E1A}" type="presOf" srcId="{476C3F5B-CA22-4105-8734-7BE15EDF5F9B}" destId="{30FED8C0-EA93-4FDB-B043-95D01222C91D}" srcOrd="0" destOrd="0" presId="urn:microsoft.com/office/officeart/2008/layout/AlternatingHexagons"/>
    <dgm:cxn modelId="{68DBFE70-D603-43B2-8866-4BD77A6A446A}" type="presOf" srcId="{B49F3512-2C26-41BF-9174-98442C6750B9}" destId="{DAFDAE27-688B-4350-B11B-0FFF517C0CE8}" srcOrd="0" destOrd="0" presId="urn:microsoft.com/office/officeart/2008/layout/AlternatingHexagons"/>
    <dgm:cxn modelId="{69152253-C26F-4195-8F4A-114991D17D1C}" srcId="{086A84DE-F2B0-4420-9AED-568577270EE6}" destId="{476C3F5B-CA22-4105-8734-7BE15EDF5F9B}" srcOrd="2" destOrd="0" parTransId="{8FF50735-F428-4447-8A5E-CC427644F446}" sibTransId="{DFBDD1B5-8C71-4EB6-8EBB-9D19DE19BAA7}"/>
    <dgm:cxn modelId="{91FB5294-91B5-4F9F-AB0B-1121ABE1788B}" type="presOf" srcId="{F56169F0-807E-49B1-8771-4D8354430BA9}" destId="{EC68C3BC-F600-448D-83C8-284B0D763158}" srcOrd="0" destOrd="0" presId="urn:microsoft.com/office/officeart/2008/layout/AlternatingHexagons"/>
    <dgm:cxn modelId="{8E9CBFE0-40F2-48D6-9376-BF80C0826061}" srcId="{086A84DE-F2B0-4420-9AED-568577270EE6}" destId="{31220C65-D020-48F1-BB0A-310F6F30007C}" srcOrd="1" destOrd="0" parTransId="{47A2227F-2AE2-456B-B9E3-5A3481BF8575}" sibTransId="{0E60051D-7448-46D4-AA40-221049CF1963}"/>
    <dgm:cxn modelId="{CC79E9FE-20CA-47C1-9D26-5BAD28B5561B}" type="presOf" srcId="{0E60051D-7448-46D4-AA40-221049CF1963}" destId="{A85001CC-183C-457B-9BAA-DB64ACB67C4F}" srcOrd="0" destOrd="0" presId="urn:microsoft.com/office/officeart/2008/layout/AlternatingHexagons"/>
    <dgm:cxn modelId="{040B05C2-71D0-4351-91F0-E469D542FA65}" type="presParOf" srcId="{E483F0C9-6523-43F4-999C-051A00FFC805}" destId="{1BCF47E6-C6E5-463A-8DFB-931F110B893B}" srcOrd="0" destOrd="0" presId="urn:microsoft.com/office/officeart/2008/layout/AlternatingHexagons"/>
    <dgm:cxn modelId="{452B52E7-B337-4759-BD26-AB6B141DCCA3}" type="presParOf" srcId="{1BCF47E6-C6E5-463A-8DFB-931F110B893B}" destId="{DAFDAE27-688B-4350-B11B-0FFF517C0CE8}" srcOrd="0" destOrd="0" presId="urn:microsoft.com/office/officeart/2008/layout/AlternatingHexagons"/>
    <dgm:cxn modelId="{1D62C9C7-F2C2-4F9D-AC70-55A29A17211E}" type="presParOf" srcId="{1BCF47E6-C6E5-463A-8DFB-931F110B893B}" destId="{4001BD51-E9ED-4F91-9E34-5F79F618B704}" srcOrd="1" destOrd="0" presId="urn:microsoft.com/office/officeart/2008/layout/AlternatingHexagons"/>
    <dgm:cxn modelId="{68898177-CD8F-4845-8727-E4844F416182}" type="presParOf" srcId="{1BCF47E6-C6E5-463A-8DFB-931F110B893B}" destId="{168BC9B2-3864-4D0E-907F-5F4884C805EF}" srcOrd="2" destOrd="0" presId="urn:microsoft.com/office/officeart/2008/layout/AlternatingHexagons"/>
    <dgm:cxn modelId="{358619BC-2ACD-4C2D-987F-74738C3080F9}" type="presParOf" srcId="{1BCF47E6-C6E5-463A-8DFB-931F110B893B}" destId="{A5A269BD-67C7-412E-9E99-0951A476A2BF}" srcOrd="3" destOrd="0" presId="urn:microsoft.com/office/officeart/2008/layout/AlternatingHexagons"/>
    <dgm:cxn modelId="{A707066E-560E-47B2-A0C0-5E965D7D15A3}" type="presParOf" srcId="{1BCF47E6-C6E5-463A-8DFB-931F110B893B}" destId="{EC68C3BC-F600-448D-83C8-284B0D763158}" srcOrd="4" destOrd="0" presId="urn:microsoft.com/office/officeart/2008/layout/AlternatingHexagons"/>
    <dgm:cxn modelId="{F6119155-221B-48BB-A8E0-CF3765A837C3}" type="presParOf" srcId="{E483F0C9-6523-43F4-999C-051A00FFC805}" destId="{5F627EAA-B985-4FAA-A43F-8C1041252E48}" srcOrd="1" destOrd="0" presId="urn:microsoft.com/office/officeart/2008/layout/AlternatingHexagons"/>
    <dgm:cxn modelId="{6BD3AC9E-3116-4E63-8324-67D312A288F9}" type="presParOf" srcId="{E483F0C9-6523-43F4-999C-051A00FFC805}" destId="{A9808614-037C-4555-A939-1A2E9049CC8A}" srcOrd="2" destOrd="0" presId="urn:microsoft.com/office/officeart/2008/layout/AlternatingHexagons"/>
    <dgm:cxn modelId="{5DDA48C4-C7D2-4614-AB52-72F8782ACE2A}" type="presParOf" srcId="{A9808614-037C-4555-A939-1A2E9049CC8A}" destId="{C8FEDA45-35F7-4649-8C29-5FE4C9B05EB3}" srcOrd="0" destOrd="0" presId="urn:microsoft.com/office/officeart/2008/layout/AlternatingHexagons"/>
    <dgm:cxn modelId="{5A3A3107-893F-4540-AEF0-789055B7BA6C}" type="presParOf" srcId="{A9808614-037C-4555-A939-1A2E9049CC8A}" destId="{6F027805-2A9E-4260-864B-C059B53047E9}" srcOrd="1" destOrd="0" presId="urn:microsoft.com/office/officeart/2008/layout/AlternatingHexagons"/>
    <dgm:cxn modelId="{7292AEA3-5E5D-4CF6-B548-4E9AA52568EA}" type="presParOf" srcId="{A9808614-037C-4555-A939-1A2E9049CC8A}" destId="{B251A252-0E10-40A1-975B-948ECCDC1E26}" srcOrd="2" destOrd="0" presId="urn:microsoft.com/office/officeart/2008/layout/AlternatingHexagons"/>
    <dgm:cxn modelId="{BBA7684C-9AD5-4711-9D80-F0E2B0EDF666}" type="presParOf" srcId="{A9808614-037C-4555-A939-1A2E9049CC8A}" destId="{D9BDA7CA-FEB1-475C-94A7-F3C31D9CB10B}" srcOrd="3" destOrd="0" presId="urn:microsoft.com/office/officeart/2008/layout/AlternatingHexagons"/>
    <dgm:cxn modelId="{5F499B63-9CDC-48E6-ACF1-A38AC0F4D7E8}" type="presParOf" srcId="{A9808614-037C-4555-A939-1A2E9049CC8A}" destId="{A85001CC-183C-457B-9BAA-DB64ACB67C4F}" srcOrd="4" destOrd="0" presId="urn:microsoft.com/office/officeart/2008/layout/AlternatingHexagons"/>
    <dgm:cxn modelId="{690DE197-8461-4DC2-B7ED-538C2C7E5561}" type="presParOf" srcId="{E483F0C9-6523-43F4-999C-051A00FFC805}" destId="{D4854AAC-9628-450B-A3EC-CB6D5282AF79}" srcOrd="3" destOrd="0" presId="urn:microsoft.com/office/officeart/2008/layout/AlternatingHexagons"/>
    <dgm:cxn modelId="{E218972A-03F6-48B6-96E6-22A137EE8BAD}" type="presParOf" srcId="{E483F0C9-6523-43F4-999C-051A00FFC805}" destId="{5CA397D1-79CA-48EC-A332-BDFF2E221926}" srcOrd="4" destOrd="0" presId="urn:microsoft.com/office/officeart/2008/layout/AlternatingHexagons"/>
    <dgm:cxn modelId="{A4457C54-25E2-4B4C-AD68-4D9134281880}" type="presParOf" srcId="{5CA397D1-79CA-48EC-A332-BDFF2E221926}" destId="{30FED8C0-EA93-4FDB-B043-95D01222C91D}" srcOrd="0" destOrd="0" presId="urn:microsoft.com/office/officeart/2008/layout/AlternatingHexagons"/>
    <dgm:cxn modelId="{3FA9A95D-C275-4EA9-A8A3-394FB0F24778}" type="presParOf" srcId="{5CA397D1-79CA-48EC-A332-BDFF2E221926}" destId="{3D5D1BC0-A474-4A10-B31C-72E5F44FB78C}" srcOrd="1" destOrd="0" presId="urn:microsoft.com/office/officeart/2008/layout/AlternatingHexagons"/>
    <dgm:cxn modelId="{45CF6B89-AFF5-429E-BE78-F8818EE05BF0}" type="presParOf" srcId="{5CA397D1-79CA-48EC-A332-BDFF2E221926}" destId="{7D29CCFD-48E6-421C-9285-49E134970C16}" srcOrd="2" destOrd="0" presId="urn:microsoft.com/office/officeart/2008/layout/AlternatingHexagons"/>
    <dgm:cxn modelId="{D137A133-E744-4F51-A0CB-011982F6037A}" type="presParOf" srcId="{5CA397D1-79CA-48EC-A332-BDFF2E221926}" destId="{57AD1380-A723-4EBB-8D1B-1DBD9B81BDD1}" srcOrd="3" destOrd="0" presId="urn:microsoft.com/office/officeart/2008/layout/AlternatingHexagons"/>
    <dgm:cxn modelId="{9BB0D672-0F56-4D30-8909-B7878F197D6A}" type="presParOf" srcId="{5CA397D1-79CA-48EC-A332-BDFF2E221926}" destId="{63BC2041-2214-47A6-8B90-8ED2D0D767E6}" srcOrd="4" destOrd="0" presId="urn:microsoft.com/office/officeart/2008/layout/AlternatingHexagon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6A84DE-F2B0-4420-9AED-568577270EE6}"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B49F3512-2C26-41BF-9174-98442C6750B9}">
      <dgm:prSet phldrT="[Text]" custT="1"/>
      <dgm:spPr/>
      <dgm:t>
        <a:bodyPr/>
        <a:lstStyle/>
        <a:p>
          <a:r>
            <a:rPr lang="en-US" sz="1400"/>
            <a:t>4</a:t>
          </a:r>
        </a:p>
      </dgm:t>
    </dgm:pt>
    <dgm:pt modelId="{8C52A8AA-465E-4996-A178-2A0E782C83D0}" type="parTrans" cxnId="{E942B831-6926-4F2F-A134-FF46D18B11D3}">
      <dgm:prSet/>
      <dgm:spPr/>
      <dgm:t>
        <a:bodyPr/>
        <a:lstStyle/>
        <a:p>
          <a:endParaRPr lang="en-US"/>
        </a:p>
      </dgm:t>
    </dgm:pt>
    <dgm:pt modelId="{F56169F0-807E-49B1-8771-4D8354430BA9}" type="sibTrans" cxnId="{E942B831-6926-4F2F-A134-FF46D18B11D3}">
      <dgm:prSet/>
      <dgm:spPr>
        <a:solidFill>
          <a:schemeClr val="bg1"/>
        </a:solidFill>
      </dgm:spPr>
      <dgm:t>
        <a:bodyPr/>
        <a:lstStyle/>
        <a:p>
          <a:endParaRPr lang="en-US"/>
        </a:p>
      </dgm:t>
    </dgm:pt>
    <dgm:pt modelId="{31220C65-D020-48F1-BB0A-310F6F30007C}">
      <dgm:prSet phldrT="[Text]" custT="1"/>
      <dgm:spPr/>
      <dgm:t>
        <a:bodyPr/>
        <a:lstStyle/>
        <a:p>
          <a:r>
            <a:rPr lang="en-US" sz="1400"/>
            <a:t>1</a:t>
          </a:r>
        </a:p>
      </dgm:t>
    </dgm:pt>
    <dgm:pt modelId="{47A2227F-2AE2-456B-B9E3-5A3481BF8575}" type="parTrans" cxnId="{8E9CBFE0-40F2-48D6-9376-BF80C0826061}">
      <dgm:prSet/>
      <dgm:spPr/>
      <dgm:t>
        <a:bodyPr/>
        <a:lstStyle/>
        <a:p>
          <a:endParaRPr lang="en-US"/>
        </a:p>
      </dgm:t>
    </dgm:pt>
    <dgm:pt modelId="{0E60051D-7448-46D4-AA40-221049CF1963}" type="sibTrans" cxnId="{8E9CBFE0-40F2-48D6-9376-BF80C0826061}">
      <dgm:prSet custT="1"/>
      <dgm:spPr/>
      <dgm:t>
        <a:bodyPr/>
        <a:lstStyle/>
        <a:p>
          <a:r>
            <a:rPr lang="en-US" sz="1400"/>
            <a:t>2</a:t>
          </a:r>
        </a:p>
      </dgm:t>
    </dgm:pt>
    <dgm:pt modelId="{476C3F5B-CA22-4105-8734-7BE15EDF5F9B}">
      <dgm:prSet phldrT="[Text]" custT="1"/>
      <dgm:spPr/>
      <dgm:t>
        <a:bodyPr/>
        <a:lstStyle/>
        <a:p>
          <a:r>
            <a:rPr lang="en-US" sz="1400"/>
            <a:t>5</a:t>
          </a:r>
        </a:p>
      </dgm:t>
    </dgm:pt>
    <dgm:pt modelId="{8FF50735-F428-4447-8A5E-CC427644F446}" type="parTrans" cxnId="{69152253-C26F-4195-8F4A-114991D17D1C}">
      <dgm:prSet/>
      <dgm:spPr/>
      <dgm:t>
        <a:bodyPr/>
        <a:lstStyle/>
        <a:p>
          <a:endParaRPr lang="en-US"/>
        </a:p>
      </dgm:t>
    </dgm:pt>
    <dgm:pt modelId="{DFBDD1B5-8C71-4EB6-8EBB-9D19DE19BAA7}" type="sibTrans" cxnId="{69152253-C26F-4195-8F4A-114991D17D1C}">
      <dgm:prSet custT="1"/>
      <dgm:spPr/>
      <dgm:t>
        <a:bodyPr/>
        <a:lstStyle/>
        <a:p>
          <a:r>
            <a:rPr lang="en-US" sz="1400"/>
            <a:t>3</a:t>
          </a:r>
        </a:p>
      </dgm:t>
    </dgm:pt>
    <dgm:pt modelId="{E483F0C9-6523-43F4-999C-051A00FFC805}" type="pres">
      <dgm:prSet presAssocID="{086A84DE-F2B0-4420-9AED-568577270EE6}" presName="Name0" presStyleCnt="0">
        <dgm:presLayoutVars>
          <dgm:chMax/>
          <dgm:chPref/>
          <dgm:dir/>
          <dgm:animLvl val="lvl"/>
        </dgm:presLayoutVars>
      </dgm:prSet>
      <dgm:spPr/>
    </dgm:pt>
    <dgm:pt modelId="{1BCF47E6-C6E5-463A-8DFB-931F110B893B}" type="pres">
      <dgm:prSet presAssocID="{B49F3512-2C26-41BF-9174-98442C6750B9}" presName="composite" presStyleCnt="0"/>
      <dgm:spPr/>
    </dgm:pt>
    <dgm:pt modelId="{DAFDAE27-688B-4350-B11B-0FFF517C0CE8}" type="pres">
      <dgm:prSet presAssocID="{B49F3512-2C26-41BF-9174-98442C6750B9}" presName="Parent1" presStyleLbl="node1" presStyleIdx="0" presStyleCnt="6" custLinFactX="-100000" custLinFactNeighborX="-158442" custLinFactNeighborY="83448">
        <dgm:presLayoutVars>
          <dgm:chMax val="1"/>
          <dgm:chPref val="1"/>
          <dgm:bulletEnabled val="1"/>
        </dgm:presLayoutVars>
      </dgm:prSet>
      <dgm:spPr/>
    </dgm:pt>
    <dgm:pt modelId="{4001BD51-E9ED-4F91-9E34-5F79F618B704}" type="pres">
      <dgm:prSet presAssocID="{B49F3512-2C26-41BF-9174-98442C6750B9}" presName="Childtext1" presStyleLbl="revTx" presStyleIdx="0" presStyleCnt="3">
        <dgm:presLayoutVars>
          <dgm:chMax val="0"/>
          <dgm:chPref val="0"/>
          <dgm:bulletEnabled val="1"/>
        </dgm:presLayoutVars>
      </dgm:prSet>
      <dgm:spPr/>
    </dgm:pt>
    <dgm:pt modelId="{168BC9B2-3864-4D0E-907F-5F4884C805EF}" type="pres">
      <dgm:prSet presAssocID="{B49F3512-2C26-41BF-9174-98442C6750B9}" presName="BalanceSpacing" presStyleCnt="0"/>
      <dgm:spPr/>
    </dgm:pt>
    <dgm:pt modelId="{A5A269BD-67C7-412E-9E99-0951A476A2BF}" type="pres">
      <dgm:prSet presAssocID="{B49F3512-2C26-41BF-9174-98442C6750B9}" presName="BalanceSpacing1" presStyleCnt="0"/>
      <dgm:spPr/>
    </dgm:pt>
    <dgm:pt modelId="{EC68C3BC-F600-448D-83C8-284B0D763158}" type="pres">
      <dgm:prSet presAssocID="{F56169F0-807E-49B1-8771-4D8354430BA9}" presName="Accent1Text" presStyleLbl="node1" presStyleIdx="1" presStyleCnt="6" custFlipHor="1" custScaleX="27374" custScaleY="53426" custLinFactX="185815" custLinFactY="100000" custLinFactNeighborX="200000" custLinFactNeighborY="110389"/>
      <dgm:spPr/>
    </dgm:pt>
    <dgm:pt modelId="{5F627EAA-B985-4FAA-A43F-8C1041252E48}" type="pres">
      <dgm:prSet presAssocID="{F56169F0-807E-49B1-8771-4D8354430BA9}" presName="spaceBetweenRectangles" presStyleCnt="0"/>
      <dgm:spPr/>
    </dgm:pt>
    <dgm:pt modelId="{A9808614-037C-4555-A939-1A2E9049CC8A}" type="pres">
      <dgm:prSet presAssocID="{31220C65-D020-48F1-BB0A-310F6F30007C}" presName="composite" presStyleCnt="0"/>
      <dgm:spPr/>
    </dgm:pt>
    <dgm:pt modelId="{C8FEDA45-35F7-4649-8C29-5FE4C9B05EB3}" type="pres">
      <dgm:prSet presAssocID="{31220C65-D020-48F1-BB0A-310F6F30007C}" presName="Parent1" presStyleLbl="node1" presStyleIdx="2" presStyleCnt="6">
        <dgm:presLayoutVars>
          <dgm:chMax val="1"/>
          <dgm:chPref val="1"/>
          <dgm:bulletEnabled val="1"/>
        </dgm:presLayoutVars>
      </dgm:prSet>
      <dgm:spPr/>
    </dgm:pt>
    <dgm:pt modelId="{6F027805-2A9E-4260-864B-C059B53047E9}" type="pres">
      <dgm:prSet presAssocID="{31220C65-D020-48F1-BB0A-310F6F30007C}" presName="Childtext1" presStyleLbl="revTx" presStyleIdx="1" presStyleCnt="3">
        <dgm:presLayoutVars>
          <dgm:chMax val="0"/>
          <dgm:chPref val="0"/>
          <dgm:bulletEnabled val="1"/>
        </dgm:presLayoutVars>
      </dgm:prSet>
      <dgm:spPr/>
    </dgm:pt>
    <dgm:pt modelId="{B251A252-0E10-40A1-975B-948ECCDC1E26}" type="pres">
      <dgm:prSet presAssocID="{31220C65-D020-48F1-BB0A-310F6F30007C}" presName="BalanceSpacing" presStyleCnt="0"/>
      <dgm:spPr/>
    </dgm:pt>
    <dgm:pt modelId="{D9BDA7CA-FEB1-475C-94A7-F3C31D9CB10B}" type="pres">
      <dgm:prSet presAssocID="{31220C65-D020-48F1-BB0A-310F6F30007C}" presName="BalanceSpacing1" presStyleCnt="0"/>
      <dgm:spPr/>
    </dgm:pt>
    <dgm:pt modelId="{A85001CC-183C-457B-9BAA-DB64ACB67C4F}" type="pres">
      <dgm:prSet presAssocID="{0E60051D-7448-46D4-AA40-221049CF1963}" presName="Accent1Text" presStyleLbl="node1" presStyleIdx="3" presStyleCnt="6" custLinFactNeighborX="-3999" custLinFactNeighborY="0"/>
      <dgm:spPr/>
    </dgm:pt>
    <dgm:pt modelId="{D4854AAC-9628-450B-A3EC-CB6D5282AF79}" type="pres">
      <dgm:prSet presAssocID="{0E60051D-7448-46D4-AA40-221049CF1963}" presName="spaceBetweenRectangles" presStyleCnt="0"/>
      <dgm:spPr/>
    </dgm:pt>
    <dgm:pt modelId="{5CA397D1-79CA-48EC-A332-BDFF2E221926}" type="pres">
      <dgm:prSet presAssocID="{476C3F5B-CA22-4105-8734-7BE15EDF5F9B}" presName="composite" presStyleCnt="0"/>
      <dgm:spPr/>
    </dgm:pt>
    <dgm:pt modelId="{30FED8C0-EA93-4FDB-B043-95D01222C91D}" type="pres">
      <dgm:prSet presAssocID="{476C3F5B-CA22-4105-8734-7BE15EDF5F9B}" presName="Parent1" presStyleLbl="node1" presStyleIdx="4" presStyleCnt="6" custLinFactX="55865" custLinFactNeighborX="100000" custLinFactNeighborY="-85766">
        <dgm:presLayoutVars>
          <dgm:chMax val="1"/>
          <dgm:chPref val="1"/>
          <dgm:bulletEnabled val="1"/>
        </dgm:presLayoutVars>
      </dgm:prSet>
      <dgm:spPr/>
    </dgm:pt>
    <dgm:pt modelId="{3D5D1BC0-A474-4A10-B31C-72E5F44FB78C}" type="pres">
      <dgm:prSet presAssocID="{476C3F5B-CA22-4105-8734-7BE15EDF5F9B}" presName="Childtext1" presStyleLbl="revTx" presStyleIdx="2" presStyleCnt="3">
        <dgm:presLayoutVars>
          <dgm:chMax val="0"/>
          <dgm:chPref val="0"/>
          <dgm:bulletEnabled val="1"/>
        </dgm:presLayoutVars>
      </dgm:prSet>
      <dgm:spPr/>
    </dgm:pt>
    <dgm:pt modelId="{7D29CCFD-48E6-421C-9285-49E134970C16}" type="pres">
      <dgm:prSet presAssocID="{476C3F5B-CA22-4105-8734-7BE15EDF5F9B}" presName="BalanceSpacing" presStyleCnt="0"/>
      <dgm:spPr/>
    </dgm:pt>
    <dgm:pt modelId="{57AD1380-A723-4EBB-8D1B-1DBD9B81BDD1}" type="pres">
      <dgm:prSet presAssocID="{476C3F5B-CA22-4105-8734-7BE15EDF5F9B}" presName="BalanceSpacing1" presStyleCnt="0"/>
      <dgm:spPr/>
    </dgm:pt>
    <dgm:pt modelId="{63BC2041-2214-47A6-8B90-8ED2D0D767E6}" type="pres">
      <dgm:prSet presAssocID="{DFBDD1B5-8C71-4EB6-8EBB-9D19DE19BAA7}" presName="Accent1Text" presStyleLbl="node1" presStyleIdx="5" presStyleCnt="6" custLinFactNeighborX="-49291" custLinFactNeighborY="-85765"/>
      <dgm:spPr/>
    </dgm:pt>
  </dgm:ptLst>
  <dgm:cxnLst>
    <dgm:cxn modelId="{40275906-46BE-428B-A83D-8915D1DB4058}" type="presOf" srcId="{086A84DE-F2B0-4420-9AED-568577270EE6}" destId="{E483F0C9-6523-43F4-999C-051A00FFC805}" srcOrd="0" destOrd="0" presId="urn:microsoft.com/office/officeart/2008/layout/AlternatingHexagons"/>
    <dgm:cxn modelId="{2925302F-306A-4631-AED1-78E6925D6700}" type="presOf" srcId="{31220C65-D020-48F1-BB0A-310F6F30007C}" destId="{C8FEDA45-35F7-4649-8C29-5FE4C9B05EB3}" srcOrd="0" destOrd="0" presId="urn:microsoft.com/office/officeart/2008/layout/AlternatingHexagons"/>
    <dgm:cxn modelId="{E942B831-6926-4F2F-A134-FF46D18B11D3}" srcId="{086A84DE-F2B0-4420-9AED-568577270EE6}" destId="{B49F3512-2C26-41BF-9174-98442C6750B9}" srcOrd="0" destOrd="0" parTransId="{8C52A8AA-465E-4996-A178-2A0E782C83D0}" sibTransId="{F56169F0-807E-49B1-8771-4D8354430BA9}"/>
    <dgm:cxn modelId="{F3A7A143-F7C7-41AE-9812-19EC298CAF8B}" type="presOf" srcId="{DFBDD1B5-8C71-4EB6-8EBB-9D19DE19BAA7}" destId="{63BC2041-2214-47A6-8B90-8ED2D0D767E6}" srcOrd="0" destOrd="0" presId="urn:microsoft.com/office/officeart/2008/layout/AlternatingHexagons"/>
    <dgm:cxn modelId="{B0FF1368-1814-4721-8F74-C5D6AE3E8E1A}" type="presOf" srcId="{476C3F5B-CA22-4105-8734-7BE15EDF5F9B}" destId="{30FED8C0-EA93-4FDB-B043-95D01222C91D}" srcOrd="0" destOrd="0" presId="urn:microsoft.com/office/officeart/2008/layout/AlternatingHexagons"/>
    <dgm:cxn modelId="{68DBFE70-D603-43B2-8866-4BD77A6A446A}" type="presOf" srcId="{B49F3512-2C26-41BF-9174-98442C6750B9}" destId="{DAFDAE27-688B-4350-B11B-0FFF517C0CE8}" srcOrd="0" destOrd="0" presId="urn:microsoft.com/office/officeart/2008/layout/AlternatingHexagons"/>
    <dgm:cxn modelId="{69152253-C26F-4195-8F4A-114991D17D1C}" srcId="{086A84DE-F2B0-4420-9AED-568577270EE6}" destId="{476C3F5B-CA22-4105-8734-7BE15EDF5F9B}" srcOrd="2" destOrd="0" parTransId="{8FF50735-F428-4447-8A5E-CC427644F446}" sibTransId="{DFBDD1B5-8C71-4EB6-8EBB-9D19DE19BAA7}"/>
    <dgm:cxn modelId="{91FB5294-91B5-4F9F-AB0B-1121ABE1788B}" type="presOf" srcId="{F56169F0-807E-49B1-8771-4D8354430BA9}" destId="{EC68C3BC-F600-448D-83C8-284B0D763158}" srcOrd="0" destOrd="0" presId="urn:microsoft.com/office/officeart/2008/layout/AlternatingHexagons"/>
    <dgm:cxn modelId="{8E9CBFE0-40F2-48D6-9376-BF80C0826061}" srcId="{086A84DE-F2B0-4420-9AED-568577270EE6}" destId="{31220C65-D020-48F1-BB0A-310F6F30007C}" srcOrd="1" destOrd="0" parTransId="{47A2227F-2AE2-456B-B9E3-5A3481BF8575}" sibTransId="{0E60051D-7448-46D4-AA40-221049CF1963}"/>
    <dgm:cxn modelId="{CC79E9FE-20CA-47C1-9D26-5BAD28B5561B}" type="presOf" srcId="{0E60051D-7448-46D4-AA40-221049CF1963}" destId="{A85001CC-183C-457B-9BAA-DB64ACB67C4F}" srcOrd="0" destOrd="0" presId="urn:microsoft.com/office/officeart/2008/layout/AlternatingHexagons"/>
    <dgm:cxn modelId="{040B05C2-71D0-4351-91F0-E469D542FA65}" type="presParOf" srcId="{E483F0C9-6523-43F4-999C-051A00FFC805}" destId="{1BCF47E6-C6E5-463A-8DFB-931F110B893B}" srcOrd="0" destOrd="0" presId="urn:microsoft.com/office/officeart/2008/layout/AlternatingHexagons"/>
    <dgm:cxn modelId="{452B52E7-B337-4759-BD26-AB6B141DCCA3}" type="presParOf" srcId="{1BCF47E6-C6E5-463A-8DFB-931F110B893B}" destId="{DAFDAE27-688B-4350-B11B-0FFF517C0CE8}" srcOrd="0" destOrd="0" presId="urn:microsoft.com/office/officeart/2008/layout/AlternatingHexagons"/>
    <dgm:cxn modelId="{1D62C9C7-F2C2-4F9D-AC70-55A29A17211E}" type="presParOf" srcId="{1BCF47E6-C6E5-463A-8DFB-931F110B893B}" destId="{4001BD51-E9ED-4F91-9E34-5F79F618B704}" srcOrd="1" destOrd="0" presId="urn:microsoft.com/office/officeart/2008/layout/AlternatingHexagons"/>
    <dgm:cxn modelId="{68898177-CD8F-4845-8727-E4844F416182}" type="presParOf" srcId="{1BCF47E6-C6E5-463A-8DFB-931F110B893B}" destId="{168BC9B2-3864-4D0E-907F-5F4884C805EF}" srcOrd="2" destOrd="0" presId="urn:microsoft.com/office/officeart/2008/layout/AlternatingHexagons"/>
    <dgm:cxn modelId="{358619BC-2ACD-4C2D-987F-74738C3080F9}" type="presParOf" srcId="{1BCF47E6-C6E5-463A-8DFB-931F110B893B}" destId="{A5A269BD-67C7-412E-9E99-0951A476A2BF}" srcOrd="3" destOrd="0" presId="urn:microsoft.com/office/officeart/2008/layout/AlternatingHexagons"/>
    <dgm:cxn modelId="{A707066E-560E-47B2-A0C0-5E965D7D15A3}" type="presParOf" srcId="{1BCF47E6-C6E5-463A-8DFB-931F110B893B}" destId="{EC68C3BC-F600-448D-83C8-284B0D763158}" srcOrd="4" destOrd="0" presId="urn:microsoft.com/office/officeart/2008/layout/AlternatingHexagons"/>
    <dgm:cxn modelId="{F6119155-221B-48BB-A8E0-CF3765A837C3}" type="presParOf" srcId="{E483F0C9-6523-43F4-999C-051A00FFC805}" destId="{5F627EAA-B985-4FAA-A43F-8C1041252E48}" srcOrd="1" destOrd="0" presId="urn:microsoft.com/office/officeart/2008/layout/AlternatingHexagons"/>
    <dgm:cxn modelId="{6BD3AC9E-3116-4E63-8324-67D312A288F9}" type="presParOf" srcId="{E483F0C9-6523-43F4-999C-051A00FFC805}" destId="{A9808614-037C-4555-A939-1A2E9049CC8A}" srcOrd="2" destOrd="0" presId="urn:microsoft.com/office/officeart/2008/layout/AlternatingHexagons"/>
    <dgm:cxn modelId="{5DDA48C4-C7D2-4614-AB52-72F8782ACE2A}" type="presParOf" srcId="{A9808614-037C-4555-A939-1A2E9049CC8A}" destId="{C8FEDA45-35F7-4649-8C29-5FE4C9B05EB3}" srcOrd="0" destOrd="0" presId="urn:microsoft.com/office/officeart/2008/layout/AlternatingHexagons"/>
    <dgm:cxn modelId="{5A3A3107-893F-4540-AEF0-789055B7BA6C}" type="presParOf" srcId="{A9808614-037C-4555-A939-1A2E9049CC8A}" destId="{6F027805-2A9E-4260-864B-C059B53047E9}" srcOrd="1" destOrd="0" presId="urn:microsoft.com/office/officeart/2008/layout/AlternatingHexagons"/>
    <dgm:cxn modelId="{7292AEA3-5E5D-4CF6-B548-4E9AA52568EA}" type="presParOf" srcId="{A9808614-037C-4555-A939-1A2E9049CC8A}" destId="{B251A252-0E10-40A1-975B-948ECCDC1E26}" srcOrd="2" destOrd="0" presId="urn:microsoft.com/office/officeart/2008/layout/AlternatingHexagons"/>
    <dgm:cxn modelId="{BBA7684C-9AD5-4711-9D80-F0E2B0EDF666}" type="presParOf" srcId="{A9808614-037C-4555-A939-1A2E9049CC8A}" destId="{D9BDA7CA-FEB1-475C-94A7-F3C31D9CB10B}" srcOrd="3" destOrd="0" presId="urn:microsoft.com/office/officeart/2008/layout/AlternatingHexagons"/>
    <dgm:cxn modelId="{5F499B63-9CDC-48E6-ACF1-A38AC0F4D7E8}" type="presParOf" srcId="{A9808614-037C-4555-A939-1A2E9049CC8A}" destId="{A85001CC-183C-457B-9BAA-DB64ACB67C4F}" srcOrd="4" destOrd="0" presId="urn:microsoft.com/office/officeart/2008/layout/AlternatingHexagons"/>
    <dgm:cxn modelId="{690DE197-8461-4DC2-B7ED-538C2C7E5561}" type="presParOf" srcId="{E483F0C9-6523-43F4-999C-051A00FFC805}" destId="{D4854AAC-9628-450B-A3EC-CB6D5282AF79}" srcOrd="3" destOrd="0" presId="urn:microsoft.com/office/officeart/2008/layout/AlternatingHexagons"/>
    <dgm:cxn modelId="{E218972A-03F6-48B6-96E6-22A137EE8BAD}" type="presParOf" srcId="{E483F0C9-6523-43F4-999C-051A00FFC805}" destId="{5CA397D1-79CA-48EC-A332-BDFF2E221926}" srcOrd="4" destOrd="0" presId="urn:microsoft.com/office/officeart/2008/layout/AlternatingHexagons"/>
    <dgm:cxn modelId="{A4457C54-25E2-4B4C-AD68-4D9134281880}" type="presParOf" srcId="{5CA397D1-79CA-48EC-A332-BDFF2E221926}" destId="{30FED8C0-EA93-4FDB-B043-95D01222C91D}" srcOrd="0" destOrd="0" presId="urn:microsoft.com/office/officeart/2008/layout/AlternatingHexagons"/>
    <dgm:cxn modelId="{3FA9A95D-C275-4EA9-A8A3-394FB0F24778}" type="presParOf" srcId="{5CA397D1-79CA-48EC-A332-BDFF2E221926}" destId="{3D5D1BC0-A474-4A10-B31C-72E5F44FB78C}" srcOrd="1" destOrd="0" presId="urn:microsoft.com/office/officeart/2008/layout/AlternatingHexagons"/>
    <dgm:cxn modelId="{45CF6B89-AFF5-429E-BE78-F8818EE05BF0}" type="presParOf" srcId="{5CA397D1-79CA-48EC-A332-BDFF2E221926}" destId="{7D29CCFD-48E6-421C-9285-49E134970C16}" srcOrd="2" destOrd="0" presId="urn:microsoft.com/office/officeart/2008/layout/AlternatingHexagons"/>
    <dgm:cxn modelId="{D137A133-E744-4F51-A0CB-011982F6037A}" type="presParOf" srcId="{5CA397D1-79CA-48EC-A332-BDFF2E221926}" destId="{57AD1380-A723-4EBB-8D1B-1DBD9B81BDD1}" srcOrd="3" destOrd="0" presId="urn:microsoft.com/office/officeart/2008/layout/AlternatingHexagons"/>
    <dgm:cxn modelId="{9BB0D672-0F56-4D30-8909-B7878F197D6A}" type="presParOf" srcId="{5CA397D1-79CA-48EC-A332-BDFF2E221926}" destId="{63BC2041-2214-47A6-8B90-8ED2D0D767E6}" srcOrd="4" destOrd="0" presId="urn:microsoft.com/office/officeart/2008/layout/AlternatingHexagon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6A84DE-F2B0-4420-9AED-568577270EE6}"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B49F3512-2C26-41BF-9174-98442C6750B9}">
      <dgm:prSet phldrT="[Text]" custT="1"/>
      <dgm:spPr/>
      <dgm:t>
        <a:bodyPr/>
        <a:lstStyle/>
        <a:p>
          <a:r>
            <a:rPr lang="en-US" sz="1400"/>
            <a:t>4</a:t>
          </a:r>
        </a:p>
      </dgm:t>
    </dgm:pt>
    <dgm:pt modelId="{8C52A8AA-465E-4996-A178-2A0E782C83D0}" type="parTrans" cxnId="{E942B831-6926-4F2F-A134-FF46D18B11D3}">
      <dgm:prSet/>
      <dgm:spPr/>
      <dgm:t>
        <a:bodyPr/>
        <a:lstStyle/>
        <a:p>
          <a:endParaRPr lang="en-US"/>
        </a:p>
      </dgm:t>
    </dgm:pt>
    <dgm:pt modelId="{F56169F0-807E-49B1-8771-4D8354430BA9}" type="sibTrans" cxnId="{E942B831-6926-4F2F-A134-FF46D18B11D3}">
      <dgm:prSet/>
      <dgm:spPr>
        <a:solidFill>
          <a:schemeClr val="bg1"/>
        </a:solidFill>
      </dgm:spPr>
      <dgm:t>
        <a:bodyPr/>
        <a:lstStyle/>
        <a:p>
          <a:endParaRPr lang="en-US"/>
        </a:p>
      </dgm:t>
    </dgm:pt>
    <dgm:pt modelId="{31220C65-D020-48F1-BB0A-310F6F30007C}">
      <dgm:prSet phldrT="[Text]" custT="1"/>
      <dgm:spPr/>
      <dgm:t>
        <a:bodyPr/>
        <a:lstStyle/>
        <a:p>
          <a:r>
            <a:rPr lang="en-US" sz="1400"/>
            <a:t>2</a:t>
          </a:r>
        </a:p>
      </dgm:t>
    </dgm:pt>
    <dgm:pt modelId="{47A2227F-2AE2-456B-B9E3-5A3481BF8575}" type="parTrans" cxnId="{8E9CBFE0-40F2-48D6-9376-BF80C0826061}">
      <dgm:prSet/>
      <dgm:spPr/>
      <dgm:t>
        <a:bodyPr/>
        <a:lstStyle/>
        <a:p>
          <a:endParaRPr lang="en-US"/>
        </a:p>
      </dgm:t>
    </dgm:pt>
    <dgm:pt modelId="{0E60051D-7448-46D4-AA40-221049CF1963}" type="sibTrans" cxnId="{8E9CBFE0-40F2-48D6-9376-BF80C0826061}">
      <dgm:prSet custT="1"/>
      <dgm:spPr/>
      <dgm:t>
        <a:bodyPr/>
        <a:lstStyle/>
        <a:p>
          <a:r>
            <a:rPr lang="en-US" sz="1400"/>
            <a:t>3</a:t>
          </a:r>
        </a:p>
      </dgm:t>
    </dgm:pt>
    <dgm:pt modelId="{476C3F5B-CA22-4105-8734-7BE15EDF5F9B}">
      <dgm:prSet phldrT="[Text]" custT="1"/>
      <dgm:spPr/>
      <dgm:t>
        <a:bodyPr/>
        <a:lstStyle/>
        <a:p>
          <a:r>
            <a:rPr lang="en-US" sz="1400"/>
            <a:t>1</a:t>
          </a:r>
        </a:p>
      </dgm:t>
    </dgm:pt>
    <dgm:pt modelId="{8FF50735-F428-4447-8A5E-CC427644F446}" type="parTrans" cxnId="{69152253-C26F-4195-8F4A-114991D17D1C}">
      <dgm:prSet/>
      <dgm:spPr/>
      <dgm:t>
        <a:bodyPr/>
        <a:lstStyle/>
        <a:p>
          <a:endParaRPr lang="en-US"/>
        </a:p>
      </dgm:t>
    </dgm:pt>
    <dgm:pt modelId="{DFBDD1B5-8C71-4EB6-8EBB-9D19DE19BAA7}" type="sibTrans" cxnId="{69152253-C26F-4195-8F4A-114991D17D1C}">
      <dgm:prSet custT="1"/>
      <dgm:spPr/>
      <dgm:t>
        <a:bodyPr/>
        <a:lstStyle/>
        <a:p>
          <a:r>
            <a:rPr lang="en-US" sz="1400"/>
            <a:t>5</a:t>
          </a:r>
        </a:p>
      </dgm:t>
    </dgm:pt>
    <dgm:pt modelId="{E483F0C9-6523-43F4-999C-051A00FFC805}" type="pres">
      <dgm:prSet presAssocID="{086A84DE-F2B0-4420-9AED-568577270EE6}" presName="Name0" presStyleCnt="0">
        <dgm:presLayoutVars>
          <dgm:chMax/>
          <dgm:chPref/>
          <dgm:dir/>
          <dgm:animLvl val="lvl"/>
        </dgm:presLayoutVars>
      </dgm:prSet>
      <dgm:spPr/>
    </dgm:pt>
    <dgm:pt modelId="{A9808614-037C-4555-A939-1A2E9049CC8A}" type="pres">
      <dgm:prSet presAssocID="{31220C65-D020-48F1-BB0A-310F6F30007C}" presName="composite" presStyleCnt="0"/>
      <dgm:spPr/>
    </dgm:pt>
    <dgm:pt modelId="{C8FEDA45-35F7-4649-8C29-5FE4C9B05EB3}" type="pres">
      <dgm:prSet presAssocID="{31220C65-D020-48F1-BB0A-310F6F30007C}" presName="Parent1" presStyleLbl="node1" presStyleIdx="0" presStyleCnt="6" custLinFactNeighborY="9462">
        <dgm:presLayoutVars>
          <dgm:chMax val="1"/>
          <dgm:chPref val="1"/>
          <dgm:bulletEnabled val="1"/>
        </dgm:presLayoutVars>
      </dgm:prSet>
      <dgm:spPr/>
    </dgm:pt>
    <dgm:pt modelId="{6F027805-2A9E-4260-864B-C059B53047E9}" type="pres">
      <dgm:prSet presAssocID="{31220C65-D020-48F1-BB0A-310F6F30007C}" presName="Childtext1" presStyleLbl="revTx" presStyleIdx="0" presStyleCnt="3">
        <dgm:presLayoutVars>
          <dgm:chMax val="0"/>
          <dgm:chPref val="0"/>
          <dgm:bulletEnabled val="1"/>
        </dgm:presLayoutVars>
      </dgm:prSet>
      <dgm:spPr/>
    </dgm:pt>
    <dgm:pt modelId="{B251A252-0E10-40A1-975B-948ECCDC1E26}" type="pres">
      <dgm:prSet presAssocID="{31220C65-D020-48F1-BB0A-310F6F30007C}" presName="BalanceSpacing" presStyleCnt="0"/>
      <dgm:spPr/>
    </dgm:pt>
    <dgm:pt modelId="{D9BDA7CA-FEB1-475C-94A7-F3C31D9CB10B}" type="pres">
      <dgm:prSet presAssocID="{31220C65-D020-48F1-BB0A-310F6F30007C}" presName="BalanceSpacing1" presStyleCnt="0"/>
      <dgm:spPr/>
    </dgm:pt>
    <dgm:pt modelId="{A85001CC-183C-457B-9BAA-DB64ACB67C4F}" type="pres">
      <dgm:prSet presAssocID="{0E60051D-7448-46D4-AA40-221049CF1963}" presName="Accent1Text" presStyleLbl="node1" presStyleIdx="1" presStyleCnt="6" custLinFactX="-20731" custLinFactY="47139" custLinFactNeighborX="-100000" custLinFactNeighborY="100000"/>
      <dgm:spPr/>
    </dgm:pt>
    <dgm:pt modelId="{D4854AAC-9628-450B-A3EC-CB6D5282AF79}" type="pres">
      <dgm:prSet presAssocID="{0E60051D-7448-46D4-AA40-221049CF1963}" presName="spaceBetweenRectangles" presStyleCnt="0"/>
      <dgm:spPr/>
    </dgm:pt>
    <dgm:pt modelId="{5CA397D1-79CA-48EC-A332-BDFF2E221926}" type="pres">
      <dgm:prSet presAssocID="{476C3F5B-CA22-4105-8734-7BE15EDF5F9B}" presName="composite" presStyleCnt="0"/>
      <dgm:spPr/>
    </dgm:pt>
    <dgm:pt modelId="{30FED8C0-EA93-4FDB-B043-95D01222C91D}" type="pres">
      <dgm:prSet presAssocID="{476C3F5B-CA22-4105-8734-7BE15EDF5F9B}" presName="Parent1" presStyleLbl="node1" presStyleIdx="2" presStyleCnt="6" custScaleX="252101" custScaleY="246000">
        <dgm:presLayoutVars>
          <dgm:chMax val="1"/>
          <dgm:chPref val="1"/>
          <dgm:bulletEnabled val="1"/>
        </dgm:presLayoutVars>
      </dgm:prSet>
      <dgm:spPr/>
    </dgm:pt>
    <dgm:pt modelId="{3D5D1BC0-A474-4A10-B31C-72E5F44FB78C}" type="pres">
      <dgm:prSet presAssocID="{476C3F5B-CA22-4105-8734-7BE15EDF5F9B}" presName="Childtext1" presStyleLbl="revTx" presStyleIdx="1" presStyleCnt="3">
        <dgm:presLayoutVars>
          <dgm:chMax val="0"/>
          <dgm:chPref val="0"/>
          <dgm:bulletEnabled val="1"/>
        </dgm:presLayoutVars>
      </dgm:prSet>
      <dgm:spPr/>
    </dgm:pt>
    <dgm:pt modelId="{7D29CCFD-48E6-421C-9285-49E134970C16}" type="pres">
      <dgm:prSet presAssocID="{476C3F5B-CA22-4105-8734-7BE15EDF5F9B}" presName="BalanceSpacing" presStyleCnt="0"/>
      <dgm:spPr/>
    </dgm:pt>
    <dgm:pt modelId="{57AD1380-A723-4EBB-8D1B-1DBD9B81BDD1}" type="pres">
      <dgm:prSet presAssocID="{476C3F5B-CA22-4105-8734-7BE15EDF5F9B}" presName="BalanceSpacing1" presStyleCnt="0"/>
      <dgm:spPr/>
    </dgm:pt>
    <dgm:pt modelId="{63BC2041-2214-47A6-8B90-8ED2D0D767E6}" type="pres">
      <dgm:prSet presAssocID="{DFBDD1B5-8C71-4EB6-8EBB-9D19DE19BAA7}" presName="Accent1Text" presStyleLbl="node1" presStyleIdx="3" presStyleCnt="6" custLinFactNeighborX="69532" custLinFactNeighborY="-2714"/>
      <dgm:spPr/>
    </dgm:pt>
    <dgm:pt modelId="{2CF7F7F1-0DC9-4B96-980D-63EF27900C62}" type="pres">
      <dgm:prSet presAssocID="{DFBDD1B5-8C71-4EB6-8EBB-9D19DE19BAA7}" presName="spaceBetweenRectangles" presStyleCnt="0"/>
      <dgm:spPr/>
    </dgm:pt>
    <dgm:pt modelId="{1BCF47E6-C6E5-463A-8DFB-931F110B893B}" type="pres">
      <dgm:prSet presAssocID="{B49F3512-2C26-41BF-9174-98442C6750B9}" presName="composite" presStyleCnt="0"/>
      <dgm:spPr/>
    </dgm:pt>
    <dgm:pt modelId="{DAFDAE27-688B-4350-B11B-0FFF517C0CE8}" type="pres">
      <dgm:prSet presAssocID="{B49F3512-2C26-41BF-9174-98442C6750B9}" presName="Parent1" presStyleLbl="node1" presStyleIdx="4" presStyleCnt="6" custLinFactY="-104021" custLinFactNeighborX="97877" custLinFactNeighborY="-200000">
        <dgm:presLayoutVars>
          <dgm:chMax val="1"/>
          <dgm:chPref val="1"/>
          <dgm:bulletEnabled val="1"/>
        </dgm:presLayoutVars>
      </dgm:prSet>
      <dgm:spPr/>
    </dgm:pt>
    <dgm:pt modelId="{4001BD51-E9ED-4F91-9E34-5F79F618B704}" type="pres">
      <dgm:prSet presAssocID="{B49F3512-2C26-41BF-9174-98442C6750B9}" presName="Childtext1" presStyleLbl="revTx" presStyleIdx="2" presStyleCnt="3">
        <dgm:presLayoutVars>
          <dgm:chMax val="0"/>
          <dgm:chPref val="0"/>
          <dgm:bulletEnabled val="1"/>
        </dgm:presLayoutVars>
      </dgm:prSet>
      <dgm:spPr/>
    </dgm:pt>
    <dgm:pt modelId="{168BC9B2-3864-4D0E-907F-5F4884C805EF}" type="pres">
      <dgm:prSet presAssocID="{B49F3512-2C26-41BF-9174-98442C6750B9}" presName="BalanceSpacing" presStyleCnt="0"/>
      <dgm:spPr/>
    </dgm:pt>
    <dgm:pt modelId="{A5A269BD-67C7-412E-9E99-0951A476A2BF}" type="pres">
      <dgm:prSet presAssocID="{B49F3512-2C26-41BF-9174-98442C6750B9}" presName="BalanceSpacing1" presStyleCnt="0"/>
      <dgm:spPr/>
    </dgm:pt>
    <dgm:pt modelId="{EC68C3BC-F600-448D-83C8-284B0D763158}" type="pres">
      <dgm:prSet presAssocID="{F56169F0-807E-49B1-8771-4D8354430BA9}" presName="Accent1Text" presStyleLbl="node1" presStyleIdx="5" presStyleCnt="6" custFlipHor="1" custScaleX="27374" custScaleY="53426" custLinFactX="185815" custLinFactY="100000" custLinFactNeighborX="200000" custLinFactNeighborY="110389"/>
      <dgm:spPr/>
    </dgm:pt>
  </dgm:ptLst>
  <dgm:cxnLst>
    <dgm:cxn modelId="{40275906-46BE-428B-A83D-8915D1DB4058}" type="presOf" srcId="{086A84DE-F2B0-4420-9AED-568577270EE6}" destId="{E483F0C9-6523-43F4-999C-051A00FFC805}" srcOrd="0" destOrd="0" presId="urn:microsoft.com/office/officeart/2008/layout/AlternatingHexagons"/>
    <dgm:cxn modelId="{1BF18809-A24D-4D72-8AFD-B00C91167D61}" type="presOf" srcId="{F56169F0-807E-49B1-8771-4D8354430BA9}" destId="{EC68C3BC-F600-448D-83C8-284B0D763158}" srcOrd="0" destOrd="0" presId="urn:microsoft.com/office/officeart/2008/layout/AlternatingHexagons"/>
    <dgm:cxn modelId="{E942B831-6926-4F2F-A134-FF46D18B11D3}" srcId="{086A84DE-F2B0-4420-9AED-568577270EE6}" destId="{B49F3512-2C26-41BF-9174-98442C6750B9}" srcOrd="2" destOrd="0" parTransId="{8C52A8AA-465E-4996-A178-2A0E782C83D0}" sibTransId="{F56169F0-807E-49B1-8771-4D8354430BA9}"/>
    <dgm:cxn modelId="{69152253-C26F-4195-8F4A-114991D17D1C}" srcId="{086A84DE-F2B0-4420-9AED-568577270EE6}" destId="{476C3F5B-CA22-4105-8734-7BE15EDF5F9B}" srcOrd="1" destOrd="0" parTransId="{8FF50735-F428-4447-8A5E-CC427644F446}" sibTransId="{DFBDD1B5-8C71-4EB6-8EBB-9D19DE19BAA7}"/>
    <dgm:cxn modelId="{73508C9F-0C56-400A-81AF-926AB1E12E78}" type="presOf" srcId="{DFBDD1B5-8C71-4EB6-8EBB-9D19DE19BAA7}" destId="{63BC2041-2214-47A6-8B90-8ED2D0D767E6}" srcOrd="0" destOrd="0" presId="urn:microsoft.com/office/officeart/2008/layout/AlternatingHexagons"/>
    <dgm:cxn modelId="{EEE111B0-8201-4C86-A965-34A5790A9A0B}" type="presOf" srcId="{B49F3512-2C26-41BF-9174-98442C6750B9}" destId="{DAFDAE27-688B-4350-B11B-0FFF517C0CE8}" srcOrd="0" destOrd="0" presId="urn:microsoft.com/office/officeart/2008/layout/AlternatingHexagons"/>
    <dgm:cxn modelId="{A8D91DCE-67A2-49BA-A9F3-41CEA2630B8E}" type="presOf" srcId="{31220C65-D020-48F1-BB0A-310F6F30007C}" destId="{C8FEDA45-35F7-4649-8C29-5FE4C9B05EB3}" srcOrd="0" destOrd="0" presId="urn:microsoft.com/office/officeart/2008/layout/AlternatingHexagons"/>
    <dgm:cxn modelId="{D613B0D0-7827-4EC5-82C2-38AB3D8BEBE4}" type="presOf" srcId="{0E60051D-7448-46D4-AA40-221049CF1963}" destId="{A85001CC-183C-457B-9BAA-DB64ACB67C4F}" srcOrd="0" destOrd="0" presId="urn:microsoft.com/office/officeart/2008/layout/AlternatingHexagons"/>
    <dgm:cxn modelId="{8E9CBFE0-40F2-48D6-9376-BF80C0826061}" srcId="{086A84DE-F2B0-4420-9AED-568577270EE6}" destId="{31220C65-D020-48F1-BB0A-310F6F30007C}" srcOrd="0" destOrd="0" parTransId="{47A2227F-2AE2-456B-B9E3-5A3481BF8575}" sibTransId="{0E60051D-7448-46D4-AA40-221049CF1963}"/>
    <dgm:cxn modelId="{E89B15F2-0971-43D8-977B-7DC33C2DCD38}" type="presOf" srcId="{476C3F5B-CA22-4105-8734-7BE15EDF5F9B}" destId="{30FED8C0-EA93-4FDB-B043-95D01222C91D}" srcOrd="0" destOrd="0" presId="urn:microsoft.com/office/officeart/2008/layout/AlternatingHexagons"/>
    <dgm:cxn modelId="{522ED413-6FDA-4E2A-8E78-2704985F1226}" type="presParOf" srcId="{E483F0C9-6523-43F4-999C-051A00FFC805}" destId="{A9808614-037C-4555-A939-1A2E9049CC8A}" srcOrd="0" destOrd="0" presId="urn:microsoft.com/office/officeart/2008/layout/AlternatingHexagons"/>
    <dgm:cxn modelId="{7357CFBF-D3C8-43A1-AD0B-0EB19D083A64}" type="presParOf" srcId="{A9808614-037C-4555-A939-1A2E9049CC8A}" destId="{C8FEDA45-35F7-4649-8C29-5FE4C9B05EB3}" srcOrd="0" destOrd="0" presId="urn:microsoft.com/office/officeart/2008/layout/AlternatingHexagons"/>
    <dgm:cxn modelId="{55E6A07E-0C08-4EA1-A8E8-71D48E6755CE}" type="presParOf" srcId="{A9808614-037C-4555-A939-1A2E9049CC8A}" destId="{6F027805-2A9E-4260-864B-C059B53047E9}" srcOrd="1" destOrd="0" presId="urn:microsoft.com/office/officeart/2008/layout/AlternatingHexagons"/>
    <dgm:cxn modelId="{87075B59-BF3D-42E4-B9A8-462317F52D59}" type="presParOf" srcId="{A9808614-037C-4555-A939-1A2E9049CC8A}" destId="{B251A252-0E10-40A1-975B-948ECCDC1E26}" srcOrd="2" destOrd="0" presId="urn:microsoft.com/office/officeart/2008/layout/AlternatingHexagons"/>
    <dgm:cxn modelId="{2E608549-8F4A-40B3-AEFB-E1E1E46BB928}" type="presParOf" srcId="{A9808614-037C-4555-A939-1A2E9049CC8A}" destId="{D9BDA7CA-FEB1-475C-94A7-F3C31D9CB10B}" srcOrd="3" destOrd="0" presId="urn:microsoft.com/office/officeart/2008/layout/AlternatingHexagons"/>
    <dgm:cxn modelId="{5F46D6F6-97E0-4DDB-8C68-BB007C888288}" type="presParOf" srcId="{A9808614-037C-4555-A939-1A2E9049CC8A}" destId="{A85001CC-183C-457B-9BAA-DB64ACB67C4F}" srcOrd="4" destOrd="0" presId="urn:microsoft.com/office/officeart/2008/layout/AlternatingHexagons"/>
    <dgm:cxn modelId="{2AD66FF2-A091-4213-AB9F-AE81FAE7EACD}" type="presParOf" srcId="{E483F0C9-6523-43F4-999C-051A00FFC805}" destId="{D4854AAC-9628-450B-A3EC-CB6D5282AF79}" srcOrd="1" destOrd="0" presId="urn:microsoft.com/office/officeart/2008/layout/AlternatingHexagons"/>
    <dgm:cxn modelId="{6BD1D3E8-BCE4-4EB9-A905-AFC1D59FEE5E}" type="presParOf" srcId="{E483F0C9-6523-43F4-999C-051A00FFC805}" destId="{5CA397D1-79CA-48EC-A332-BDFF2E221926}" srcOrd="2" destOrd="0" presId="urn:microsoft.com/office/officeart/2008/layout/AlternatingHexagons"/>
    <dgm:cxn modelId="{F7BC7AB4-B1B8-417B-9816-2947C5A4B520}" type="presParOf" srcId="{5CA397D1-79CA-48EC-A332-BDFF2E221926}" destId="{30FED8C0-EA93-4FDB-B043-95D01222C91D}" srcOrd="0" destOrd="0" presId="urn:microsoft.com/office/officeart/2008/layout/AlternatingHexagons"/>
    <dgm:cxn modelId="{797F22CC-CB72-4AEB-9890-CEBFC4167E96}" type="presParOf" srcId="{5CA397D1-79CA-48EC-A332-BDFF2E221926}" destId="{3D5D1BC0-A474-4A10-B31C-72E5F44FB78C}" srcOrd="1" destOrd="0" presId="urn:microsoft.com/office/officeart/2008/layout/AlternatingHexagons"/>
    <dgm:cxn modelId="{6D88EA00-9668-4A9F-AD02-C3F54BDEE4A5}" type="presParOf" srcId="{5CA397D1-79CA-48EC-A332-BDFF2E221926}" destId="{7D29CCFD-48E6-421C-9285-49E134970C16}" srcOrd="2" destOrd="0" presId="urn:microsoft.com/office/officeart/2008/layout/AlternatingHexagons"/>
    <dgm:cxn modelId="{3138A82E-9476-4470-978E-ABA5D53A0C2A}" type="presParOf" srcId="{5CA397D1-79CA-48EC-A332-BDFF2E221926}" destId="{57AD1380-A723-4EBB-8D1B-1DBD9B81BDD1}" srcOrd="3" destOrd="0" presId="urn:microsoft.com/office/officeart/2008/layout/AlternatingHexagons"/>
    <dgm:cxn modelId="{3AEB78EA-2CC1-4552-BCEF-186EACE26420}" type="presParOf" srcId="{5CA397D1-79CA-48EC-A332-BDFF2E221926}" destId="{63BC2041-2214-47A6-8B90-8ED2D0D767E6}" srcOrd="4" destOrd="0" presId="urn:microsoft.com/office/officeart/2008/layout/AlternatingHexagons"/>
    <dgm:cxn modelId="{7E4151D5-2502-4D51-ADBA-BC007F6EB65D}" type="presParOf" srcId="{E483F0C9-6523-43F4-999C-051A00FFC805}" destId="{2CF7F7F1-0DC9-4B96-980D-63EF27900C62}" srcOrd="3" destOrd="0" presId="urn:microsoft.com/office/officeart/2008/layout/AlternatingHexagons"/>
    <dgm:cxn modelId="{E4EB6781-95E3-49E6-824D-A8E4BDBA281A}" type="presParOf" srcId="{E483F0C9-6523-43F4-999C-051A00FFC805}" destId="{1BCF47E6-C6E5-463A-8DFB-931F110B893B}" srcOrd="4" destOrd="0" presId="urn:microsoft.com/office/officeart/2008/layout/AlternatingHexagons"/>
    <dgm:cxn modelId="{82AD15E9-DEFA-4FEA-AB31-6DFE4733B3B6}" type="presParOf" srcId="{1BCF47E6-C6E5-463A-8DFB-931F110B893B}" destId="{DAFDAE27-688B-4350-B11B-0FFF517C0CE8}" srcOrd="0" destOrd="0" presId="urn:microsoft.com/office/officeart/2008/layout/AlternatingHexagons"/>
    <dgm:cxn modelId="{969B20B9-A4E7-4159-A25A-323F62F05672}" type="presParOf" srcId="{1BCF47E6-C6E5-463A-8DFB-931F110B893B}" destId="{4001BD51-E9ED-4F91-9E34-5F79F618B704}" srcOrd="1" destOrd="0" presId="urn:microsoft.com/office/officeart/2008/layout/AlternatingHexagons"/>
    <dgm:cxn modelId="{84CE7185-9664-4414-A15C-D23740CC6D23}" type="presParOf" srcId="{1BCF47E6-C6E5-463A-8DFB-931F110B893B}" destId="{168BC9B2-3864-4D0E-907F-5F4884C805EF}" srcOrd="2" destOrd="0" presId="urn:microsoft.com/office/officeart/2008/layout/AlternatingHexagons"/>
    <dgm:cxn modelId="{80B5B87F-B98F-4E2F-9ECF-D4A0F5132180}" type="presParOf" srcId="{1BCF47E6-C6E5-463A-8DFB-931F110B893B}" destId="{A5A269BD-67C7-412E-9E99-0951A476A2BF}" srcOrd="3" destOrd="0" presId="urn:microsoft.com/office/officeart/2008/layout/AlternatingHexagons"/>
    <dgm:cxn modelId="{B0AE6BA6-4537-4033-A202-B473715D1215}" type="presParOf" srcId="{1BCF47E6-C6E5-463A-8DFB-931F110B893B}" destId="{EC68C3BC-F600-448D-83C8-284B0D763158}" srcOrd="4" destOrd="0" presId="urn:microsoft.com/office/officeart/2008/layout/AlternatingHexagon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DAE27-688B-4350-B11B-0FFF517C0CE8}">
      <dsp:nvSpPr>
        <dsp:cNvPr id="0" name=""/>
        <dsp:cNvSpPr/>
      </dsp:nvSpPr>
      <dsp:spPr>
        <a:xfrm rot="5400000">
          <a:off x="727976" y="30376"/>
          <a:ext cx="466018" cy="40543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1</a:t>
          </a:r>
        </a:p>
      </dsp:txBody>
      <dsp:txXfrm rot="-5400000">
        <a:off x="821447" y="72706"/>
        <a:ext cx="279075" cy="320776"/>
      </dsp:txXfrm>
    </dsp:sp>
    <dsp:sp modelId="{4001BD51-E9ED-4F91-9E34-5F79F618B704}">
      <dsp:nvSpPr>
        <dsp:cNvPr id="0" name=""/>
        <dsp:cNvSpPr/>
      </dsp:nvSpPr>
      <dsp:spPr>
        <a:xfrm>
          <a:off x="1176006" y="93288"/>
          <a:ext cx="520076" cy="279610"/>
        </a:xfrm>
        <a:prstGeom prst="rect">
          <a:avLst/>
        </a:prstGeom>
        <a:noFill/>
        <a:ln>
          <a:noFill/>
        </a:ln>
        <a:effectLst/>
      </dsp:spPr>
      <dsp:style>
        <a:lnRef idx="0">
          <a:scrgbClr r="0" g="0" b="0"/>
        </a:lnRef>
        <a:fillRef idx="0">
          <a:scrgbClr r="0" g="0" b="0"/>
        </a:fillRef>
        <a:effectRef idx="0">
          <a:scrgbClr r="0" g="0" b="0"/>
        </a:effectRef>
        <a:fontRef idx="minor"/>
      </dsp:style>
    </dsp:sp>
    <dsp:sp modelId="{EC68C3BC-F600-448D-83C8-284B0D763158}">
      <dsp:nvSpPr>
        <dsp:cNvPr id="0" name=""/>
        <dsp:cNvSpPr/>
      </dsp:nvSpPr>
      <dsp:spPr>
        <a:xfrm rot="16200000" flipH="1">
          <a:off x="1534520" y="1077320"/>
          <a:ext cx="248974" cy="110983"/>
        </a:xfrm>
        <a:prstGeom prst="hexagon">
          <a:avLst>
            <a:gd name="adj" fmla="val 25000"/>
            <a:gd name="vf" fmla="val 11547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616886" y="1038321"/>
        <a:ext cx="84241" cy="188982"/>
      </dsp:txXfrm>
    </dsp:sp>
    <dsp:sp modelId="{C8FEDA45-35F7-4649-8C29-5FE4C9B05EB3}">
      <dsp:nvSpPr>
        <dsp:cNvPr id="0" name=""/>
        <dsp:cNvSpPr/>
      </dsp:nvSpPr>
      <dsp:spPr>
        <a:xfrm rot="5400000">
          <a:off x="508202" y="425932"/>
          <a:ext cx="466018" cy="40543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2</a:t>
          </a:r>
        </a:p>
      </dsp:txBody>
      <dsp:txXfrm rot="-5400000">
        <a:off x="601673" y="468262"/>
        <a:ext cx="279075" cy="320776"/>
      </dsp:txXfrm>
    </dsp:sp>
    <dsp:sp modelId="{6F027805-2A9E-4260-864B-C059B53047E9}">
      <dsp:nvSpPr>
        <dsp:cNvPr id="0" name=""/>
        <dsp:cNvSpPr/>
      </dsp:nvSpPr>
      <dsp:spPr>
        <a:xfrm>
          <a:off x="18417" y="488844"/>
          <a:ext cx="503299" cy="279610"/>
        </a:xfrm>
        <a:prstGeom prst="rect">
          <a:avLst/>
        </a:prstGeom>
        <a:noFill/>
        <a:ln>
          <a:noFill/>
        </a:ln>
        <a:effectLst/>
      </dsp:spPr>
      <dsp:style>
        <a:lnRef idx="0">
          <a:scrgbClr r="0" g="0" b="0"/>
        </a:lnRef>
        <a:fillRef idx="0">
          <a:scrgbClr r="0" g="0" b="0"/>
        </a:fillRef>
        <a:effectRef idx="0">
          <a:scrgbClr r="0" g="0" b="0"/>
        </a:effectRef>
        <a:fontRef idx="minor"/>
      </dsp:style>
    </dsp:sp>
    <dsp:sp modelId="{A85001CC-183C-457B-9BAA-DB64ACB67C4F}">
      <dsp:nvSpPr>
        <dsp:cNvPr id="0" name=""/>
        <dsp:cNvSpPr/>
      </dsp:nvSpPr>
      <dsp:spPr>
        <a:xfrm rot="5400000">
          <a:off x="946073" y="425932"/>
          <a:ext cx="466018" cy="40543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3</a:t>
          </a:r>
        </a:p>
      </dsp:txBody>
      <dsp:txXfrm rot="-5400000">
        <a:off x="1039544" y="468262"/>
        <a:ext cx="279075" cy="320776"/>
      </dsp:txXfrm>
    </dsp:sp>
    <dsp:sp modelId="{30FED8C0-EA93-4FDB-B043-95D01222C91D}">
      <dsp:nvSpPr>
        <dsp:cNvPr id="0" name=""/>
        <dsp:cNvSpPr/>
      </dsp:nvSpPr>
      <dsp:spPr>
        <a:xfrm rot="5400000">
          <a:off x="727976" y="821488"/>
          <a:ext cx="466018" cy="40543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4</a:t>
          </a:r>
        </a:p>
      </dsp:txBody>
      <dsp:txXfrm rot="-5400000">
        <a:off x="821447" y="863818"/>
        <a:ext cx="279075" cy="320776"/>
      </dsp:txXfrm>
    </dsp:sp>
    <dsp:sp modelId="{3D5D1BC0-A474-4A10-B31C-72E5F44FB78C}">
      <dsp:nvSpPr>
        <dsp:cNvPr id="0" name=""/>
        <dsp:cNvSpPr/>
      </dsp:nvSpPr>
      <dsp:spPr>
        <a:xfrm>
          <a:off x="1176006" y="884400"/>
          <a:ext cx="520076" cy="279610"/>
        </a:xfrm>
        <a:prstGeom prst="rect">
          <a:avLst/>
        </a:prstGeom>
        <a:noFill/>
        <a:ln>
          <a:noFill/>
        </a:ln>
        <a:effectLst/>
      </dsp:spPr>
      <dsp:style>
        <a:lnRef idx="0">
          <a:scrgbClr r="0" g="0" b="0"/>
        </a:lnRef>
        <a:fillRef idx="0">
          <a:scrgbClr r="0" g="0" b="0"/>
        </a:fillRef>
        <a:effectRef idx="0">
          <a:scrgbClr r="0" g="0" b="0"/>
        </a:effectRef>
        <a:fontRef idx="minor"/>
      </dsp:style>
    </dsp:sp>
    <dsp:sp modelId="{63BC2041-2214-47A6-8B90-8ED2D0D767E6}">
      <dsp:nvSpPr>
        <dsp:cNvPr id="0" name=""/>
        <dsp:cNvSpPr/>
      </dsp:nvSpPr>
      <dsp:spPr>
        <a:xfrm rot="5400000">
          <a:off x="290106" y="821488"/>
          <a:ext cx="466018" cy="405435"/>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5</a:t>
          </a:r>
        </a:p>
      </dsp:txBody>
      <dsp:txXfrm rot="-5400000">
        <a:off x="383577" y="863818"/>
        <a:ext cx="279075" cy="3207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DAE27-688B-4350-B11B-0FFF517C0CE8}">
      <dsp:nvSpPr>
        <dsp:cNvPr id="0" name=""/>
        <dsp:cNvSpPr/>
      </dsp:nvSpPr>
      <dsp:spPr>
        <a:xfrm rot="5400000">
          <a:off x="-23886" y="368595"/>
          <a:ext cx="409184" cy="35599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4</a:t>
          </a:r>
        </a:p>
      </dsp:txBody>
      <dsp:txXfrm rot="-5400000">
        <a:off x="58186" y="405764"/>
        <a:ext cx="245040" cy="281655"/>
      </dsp:txXfrm>
    </dsp:sp>
    <dsp:sp modelId="{4001BD51-E9ED-4F91-9E34-5F79F618B704}">
      <dsp:nvSpPr>
        <dsp:cNvPr id="0" name=""/>
        <dsp:cNvSpPr/>
      </dsp:nvSpPr>
      <dsp:spPr>
        <a:xfrm>
          <a:off x="1289532" y="82379"/>
          <a:ext cx="456649" cy="245510"/>
        </a:xfrm>
        <a:prstGeom prst="rect">
          <a:avLst/>
        </a:prstGeom>
        <a:noFill/>
        <a:ln>
          <a:noFill/>
        </a:ln>
        <a:effectLst/>
      </dsp:spPr>
      <dsp:style>
        <a:lnRef idx="0">
          <a:scrgbClr r="0" g="0" b="0"/>
        </a:lnRef>
        <a:fillRef idx="0">
          <a:scrgbClr r="0" g="0" b="0"/>
        </a:fillRef>
        <a:effectRef idx="0">
          <a:scrgbClr r="0" g="0" b="0"/>
        </a:effectRef>
        <a:fontRef idx="minor"/>
      </dsp:style>
    </dsp:sp>
    <dsp:sp modelId="{EC68C3BC-F600-448D-83C8-284B0D763158}">
      <dsp:nvSpPr>
        <dsp:cNvPr id="0" name=""/>
        <dsp:cNvSpPr/>
      </dsp:nvSpPr>
      <dsp:spPr>
        <a:xfrm rot="16200000" flipH="1">
          <a:off x="1861270" y="946870"/>
          <a:ext cx="218610" cy="97448"/>
        </a:xfrm>
        <a:prstGeom prst="hexagon">
          <a:avLst>
            <a:gd name="adj" fmla="val 25000"/>
            <a:gd name="vf" fmla="val 11547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rot="-5400000">
        <a:off x="1933592" y="912627"/>
        <a:ext cx="73966" cy="165934"/>
      </dsp:txXfrm>
    </dsp:sp>
    <dsp:sp modelId="{C8FEDA45-35F7-4649-8C29-5FE4C9B05EB3}">
      <dsp:nvSpPr>
        <dsp:cNvPr id="0" name=""/>
        <dsp:cNvSpPr/>
      </dsp:nvSpPr>
      <dsp:spPr>
        <a:xfrm rot="5400000">
          <a:off x="703170" y="374454"/>
          <a:ext cx="409184" cy="35599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1</a:t>
          </a:r>
        </a:p>
      </dsp:txBody>
      <dsp:txXfrm rot="-5400000">
        <a:off x="785242" y="411623"/>
        <a:ext cx="245040" cy="281655"/>
      </dsp:txXfrm>
    </dsp:sp>
    <dsp:sp modelId="{6F027805-2A9E-4260-864B-C059B53047E9}">
      <dsp:nvSpPr>
        <dsp:cNvPr id="0" name=""/>
        <dsp:cNvSpPr/>
      </dsp:nvSpPr>
      <dsp:spPr>
        <a:xfrm>
          <a:off x="273118" y="429694"/>
          <a:ext cx="441919" cy="245510"/>
        </a:xfrm>
        <a:prstGeom prst="rect">
          <a:avLst/>
        </a:prstGeom>
        <a:noFill/>
        <a:ln>
          <a:noFill/>
        </a:ln>
        <a:effectLst/>
      </dsp:spPr>
      <dsp:style>
        <a:lnRef idx="0">
          <a:scrgbClr r="0" g="0" b="0"/>
        </a:lnRef>
        <a:fillRef idx="0">
          <a:scrgbClr r="0" g="0" b="0"/>
        </a:fillRef>
        <a:effectRef idx="0">
          <a:scrgbClr r="0" g="0" b="0"/>
        </a:effectRef>
        <a:fontRef idx="minor"/>
      </dsp:style>
    </dsp:sp>
    <dsp:sp modelId="{A85001CC-183C-457B-9BAA-DB64ACB67C4F}">
      <dsp:nvSpPr>
        <dsp:cNvPr id="0" name=""/>
        <dsp:cNvSpPr/>
      </dsp:nvSpPr>
      <dsp:spPr>
        <a:xfrm rot="5400000">
          <a:off x="1073404" y="374454"/>
          <a:ext cx="409184" cy="35599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2</a:t>
          </a:r>
        </a:p>
      </dsp:txBody>
      <dsp:txXfrm rot="-5400000">
        <a:off x="1155476" y="411623"/>
        <a:ext cx="245040" cy="281655"/>
      </dsp:txXfrm>
    </dsp:sp>
    <dsp:sp modelId="{30FED8C0-EA93-4FDB-B043-95D01222C91D}">
      <dsp:nvSpPr>
        <dsp:cNvPr id="0" name=""/>
        <dsp:cNvSpPr/>
      </dsp:nvSpPr>
      <dsp:spPr>
        <a:xfrm rot="5400000">
          <a:off x="1451006" y="370829"/>
          <a:ext cx="409184" cy="35599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5</a:t>
          </a:r>
        </a:p>
      </dsp:txBody>
      <dsp:txXfrm rot="-5400000">
        <a:off x="1533078" y="407998"/>
        <a:ext cx="245040" cy="281655"/>
      </dsp:txXfrm>
    </dsp:sp>
    <dsp:sp modelId="{3D5D1BC0-A474-4A10-B31C-72E5F44FB78C}">
      <dsp:nvSpPr>
        <dsp:cNvPr id="0" name=""/>
        <dsp:cNvSpPr/>
      </dsp:nvSpPr>
      <dsp:spPr>
        <a:xfrm>
          <a:off x="1289532" y="777010"/>
          <a:ext cx="456649" cy="245510"/>
        </a:xfrm>
        <a:prstGeom prst="rect">
          <a:avLst/>
        </a:prstGeom>
        <a:noFill/>
        <a:ln>
          <a:noFill/>
        </a:ln>
        <a:effectLst/>
      </dsp:spPr>
      <dsp:style>
        <a:lnRef idx="0">
          <a:scrgbClr r="0" g="0" b="0"/>
        </a:lnRef>
        <a:fillRef idx="0">
          <a:scrgbClr r="0" g="0" b="0"/>
        </a:fillRef>
        <a:effectRef idx="0">
          <a:scrgbClr r="0" g="0" b="0"/>
        </a:effectRef>
        <a:fontRef idx="minor"/>
      </dsp:style>
    </dsp:sp>
    <dsp:sp modelId="{63BC2041-2214-47A6-8B90-8ED2D0D767E6}">
      <dsp:nvSpPr>
        <dsp:cNvPr id="0" name=""/>
        <dsp:cNvSpPr/>
      </dsp:nvSpPr>
      <dsp:spPr>
        <a:xfrm rot="5400000">
          <a:off x="336201" y="370833"/>
          <a:ext cx="409184" cy="355990"/>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3</a:t>
          </a:r>
        </a:p>
      </dsp:txBody>
      <dsp:txXfrm rot="-5400000">
        <a:off x="418273" y="408002"/>
        <a:ext cx="245040" cy="2816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EDA45-35F7-4649-8C29-5FE4C9B05EB3}">
      <dsp:nvSpPr>
        <dsp:cNvPr id="0" name=""/>
        <dsp:cNvSpPr/>
      </dsp:nvSpPr>
      <dsp:spPr>
        <a:xfrm rot="5400000">
          <a:off x="822974" y="58817"/>
          <a:ext cx="363915" cy="31660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2</a:t>
          </a:r>
        </a:p>
      </dsp:txBody>
      <dsp:txXfrm rot="-5400000">
        <a:off x="895966" y="91873"/>
        <a:ext cx="217930" cy="250495"/>
      </dsp:txXfrm>
    </dsp:sp>
    <dsp:sp modelId="{6F027805-2A9E-4260-864B-C059B53047E9}">
      <dsp:nvSpPr>
        <dsp:cNvPr id="0" name=""/>
        <dsp:cNvSpPr/>
      </dsp:nvSpPr>
      <dsp:spPr>
        <a:xfrm>
          <a:off x="1172843" y="73512"/>
          <a:ext cx="406130" cy="218349"/>
        </a:xfrm>
        <a:prstGeom prst="rect">
          <a:avLst/>
        </a:prstGeom>
        <a:noFill/>
        <a:ln>
          <a:noFill/>
        </a:ln>
        <a:effectLst/>
      </dsp:spPr>
      <dsp:style>
        <a:lnRef idx="0">
          <a:scrgbClr r="0" g="0" b="0"/>
        </a:lnRef>
        <a:fillRef idx="0">
          <a:scrgbClr r="0" g="0" b="0"/>
        </a:fillRef>
        <a:effectRef idx="0">
          <a:scrgbClr r="0" g="0" b="0"/>
        </a:effectRef>
        <a:fontRef idx="minor"/>
      </dsp:style>
    </dsp:sp>
    <dsp:sp modelId="{A85001CC-183C-457B-9BAA-DB64ACB67C4F}">
      <dsp:nvSpPr>
        <dsp:cNvPr id="0" name=""/>
        <dsp:cNvSpPr/>
      </dsp:nvSpPr>
      <dsp:spPr>
        <a:xfrm rot="5400000">
          <a:off x="98797" y="559845"/>
          <a:ext cx="363915" cy="31660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3</a:t>
          </a:r>
        </a:p>
      </dsp:txBody>
      <dsp:txXfrm rot="-5400000">
        <a:off x="171789" y="592901"/>
        <a:ext cx="217930" cy="250495"/>
      </dsp:txXfrm>
    </dsp:sp>
    <dsp:sp modelId="{30FED8C0-EA93-4FDB-B043-95D01222C91D}">
      <dsp:nvSpPr>
        <dsp:cNvPr id="0" name=""/>
        <dsp:cNvSpPr/>
      </dsp:nvSpPr>
      <dsp:spPr>
        <a:xfrm rot="5400000">
          <a:off x="385693" y="358153"/>
          <a:ext cx="895232" cy="798168"/>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1</a:t>
          </a:r>
        </a:p>
      </dsp:txBody>
      <dsp:txXfrm rot="-5400000">
        <a:off x="560041" y="450738"/>
        <a:ext cx="546536" cy="612998"/>
      </dsp:txXfrm>
    </dsp:sp>
    <dsp:sp modelId="{3D5D1BC0-A474-4A10-B31C-72E5F44FB78C}">
      <dsp:nvSpPr>
        <dsp:cNvPr id="0" name=""/>
        <dsp:cNvSpPr/>
      </dsp:nvSpPr>
      <dsp:spPr>
        <a:xfrm>
          <a:off x="268876" y="648062"/>
          <a:ext cx="393029" cy="218349"/>
        </a:xfrm>
        <a:prstGeom prst="rect">
          <a:avLst/>
        </a:prstGeom>
        <a:noFill/>
        <a:ln>
          <a:noFill/>
        </a:ln>
        <a:effectLst/>
      </dsp:spPr>
      <dsp:style>
        <a:lnRef idx="0">
          <a:scrgbClr r="0" g="0" b="0"/>
        </a:lnRef>
        <a:fillRef idx="0">
          <a:scrgbClr r="0" g="0" b="0"/>
        </a:fillRef>
        <a:effectRef idx="0">
          <a:scrgbClr r="0" g="0" b="0"/>
        </a:effectRef>
        <a:fontRef idx="minor"/>
      </dsp:style>
    </dsp:sp>
    <dsp:sp modelId="{63BC2041-2214-47A6-8B90-8ED2D0D767E6}">
      <dsp:nvSpPr>
        <dsp:cNvPr id="0" name=""/>
        <dsp:cNvSpPr/>
      </dsp:nvSpPr>
      <dsp:spPr>
        <a:xfrm rot="5400000">
          <a:off x="1213430" y="589057"/>
          <a:ext cx="363915" cy="31660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US" sz="1400" kern="1200"/>
            <a:t>5</a:t>
          </a:r>
        </a:p>
      </dsp:txBody>
      <dsp:txXfrm rot="-5400000">
        <a:off x="1286422" y="622113"/>
        <a:ext cx="217930" cy="250495"/>
      </dsp:txXfrm>
    </dsp:sp>
    <dsp:sp modelId="{DAFDAE27-688B-4350-B11B-0FFF517C0CE8}">
      <dsp:nvSpPr>
        <dsp:cNvPr id="0" name=""/>
        <dsp:cNvSpPr/>
      </dsp:nvSpPr>
      <dsp:spPr>
        <a:xfrm rot="5400000">
          <a:off x="1132859" y="67103"/>
          <a:ext cx="363915" cy="31660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4</a:t>
          </a:r>
        </a:p>
      </dsp:txBody>
      <dsp:txXfrm rot="-5400000">
        <a:off x="1205851" y="100159"/>
        <a:ext cx="217930" cy="250495"/>
      </dsp:txXfrm>
    </dsp:sp>
    <dsp:sp modelId="{4001BD51-E9ED-4F91-9E34-5F79F618B704}">
      <dsp:nvSpPr>
        <dsp:cNvPr id="0" name=""/>
        <dsp:cNvSpPr/>
      </dsp:nvSpPr>
      <dsp:spPr>
        <a:xfrm>
          <a:off x="1172843" y="1222612"/>
          <a:ext cx="406130" cy="218349"/>
        </a:xfrm>
        <a:prstGeom prst="rect">
          <a:avLst/>
        </a:prstGeom>
        <a:noFill/>
        <a:ln>
          <a:noFill/>
        </a:ln>
        <a:effectLst/>
      </dsp:spPr>
      <dsp:style>
        <a:lnRef idx="0">
          <a:scrgbClr r="0" g="0" b="0"/>
        </a:lnRef>
        <a:fillRef idx="0">
          <a:scrgbClr r="0" g="0" b="0"/>
        </a:fillRef>
        <a:effectRef idx="0">
          <a:scrgbClr r="0" g="0" b="0"/>
        </a:effectRef>
        <a:fontRef idx="minor"/>
      </dsp:style>
    </dsp:sp>
    <dsp:sp modelId="{EC68C3BC-F600-448D-83C8-284B0D763158}">
      <dsp:nvSpPr>
        <dsp:cNvPr id="0" name=""/>
        <dsp:cNvSpPr/>
      </dsp:nvSpPr>
      <dsp:spPr>
        <a:xfrm rot="16200000" flipH="1">
          <a:off x="1707303" y="1373928"/>
          <a:ext cx="194425" cy="86667"/>
        </a:xfrm>
        <a:prstGeom prst="hexagon">
          <a:avLst>
            <a:gd name="adj" fmla="val 25000"/>
            <a:gd name="vf" fmla="val 11547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771624" y="1343473"/>
        <a:ext cx="65783" cy="147577"/>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F028A8192CD4D802FB268AECD5582" ma:contentTypeVersion="11" ma:contentTypeDescription="Create a new document." ma:contentTypeScope="" ma:versionID="c96b670428e455c318216e666723220e">
  <xsd:schema xmlns:xsd="http://www.w3.org/2001/XMLSchema" xmlns:xs="http://www.w3.org/2001/XMLSchema" xmlns:p="http://schemas.microsoft.com/office/2006/metadata/properties" xmlns:ns3="61e73707-103e-4779-b496-141ed48068eb" targetNamespace="http://schemas.microsoft.com/office/2006/metadata/properties" ma:root="true" ma:fieldsID="e9b333cc0c282a940352476889dd88dc" ns3:_="">
    <xsd:import namespace="61e73707-103e-4779-b496-141ed48068e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73707-103e-4779-b496-141ed48068e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3DB98-AE81-4421-BD88-0E91CBA389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DC0D9F-A8A5-4AA6-AA89-2B2B10FCF6AB}">
  <ds:schemaRefs>
    <ds:schemaRef ds:uri="http://schemas.microsoft.com/sharepoint/v3/contenttype/forms"/>
  </ds:schemaRefs>
</ds:datastoreItem>
</file>

<file path=customXml/itemProps3.xml><?xml version="1.0" encoding="utf-8"?>
<ds:datastoreItem xmlns:ds="http://schemas.openxmlformats.org/officeDocument/2006/customXml" ds:itemID="{FF14E888-C98A-4C2B-BEAE-A84D9B25D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73707-103e-4779-b496-141ed4806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9F07C2-09AA-4456-A507-F90C02DA7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3495</Words>
  <Characters>19923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Rachidi</dc:creator>
  <cp:keywords/>
  <dc:description/>
  <cp:lastModifiedBy>Richard Valentine Burkhauser</cp:lastModifiedBy>
  <cp:revision>4</cp:revision>
  <cp:lastPrinted>2024-12-17T21:49:00Z</cp:lastPrinted>
  <dcterms:created xsi:type="dcterms:W3CDTF">2024-12-19T03:07:00Z</dcterms:created>
  <dcterms:modified xsi:type="dcterms:W3CDTF">2024-12-19T03:15:00Z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id="I9DWLFSP"/&gt;&lt;style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0x010100574F028A8192CD4D802FB268AECD5582</vt:lpwstr>
  </property>
</Properties>
</file>