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0685" w14:textId="48A02F4E" w:rsidR="003247FC" w:rsidRDefault="003247FC" w:rsidP="00014678">
      <w:pPr>
        <w:jc w:val="center"/>
        <w:rPr>
          <w:b/>
          <w:bCs/>
        </w:rPr>
      </w:pPr>
      <w:bookmarkStart w:id="0" w:name="_Hlk187822239"/>
      <w:r>
        <w:rPr>
          <w:b/>
          <w:bCs/>
        </w:rPr>
        <w:t>Online Appendix</w:t>
      </w:r>
    </w:p>
    <w:p w14:paraId="379FC72A" w14:textId="07A872CC" w:rsidR="007708E0" w:rsidRPr="007708E0" w:rsidRDefault="003247FC" w:rsidP="00014678">
      <w:pPr>
        <w:jc w:val="center"/>
        <w:rPr>
          <w:b/>
        </w:rPr>
      </w:pPr>
      <w:r w:rsidRPr="007708E0">
        <w:rPr>
          <w:b/>
          <w:bCs/>
        </w:rPr>
        <w:t>Prescription for Disaster</w:t>
      </w:r>
      <w:r w:rsidR="00732C59" w:rsidRPr="007708E0">
        <w:rPr>
          <w:b/>
          <w:bCs/>
        </w:rPr>
        <w:t xml:space="preserve">: </w:t>
      </w:r>
      <w:r w:rsidR="007708E0" w:rsidRPr="007708E0">
        <w:rPr>
          <w:b/>
        </w:rPr>
        <w:t>The SSDI Rate, Pain, and Prescribing Practices</w:t>
      </w:r>
    </w:p>
    <w:p w14:paraId="7B273A05" w14:textId="58B502F5" w:rsidR="003247FC" w:rsidRDefault="003247FC" w:rsidP="003247FC">
      <w:pPr>
        <w:jc w:val="center"/>
        <w:rPr>
          <w:b/>
          <w:bCs/>
        </w:rPr>
      </w:pPr>
      <w:r>
        <w:rPr>
          <w:b/>
          <w:bCs/>
        </w:rPr>
        <w:t>Evans and Lieber</w:t>
      </w:r>
    </w:p>
    <w:p w14:paraId="333F61EC" w14:textId="538A9202" w:rsidR="003247FC" w:rsidRDefault="003247FC" w:rsidP="00EC6F34">
      <w:pPr>
        <w:rPr>
          <w:b/>
          <w:bCs/>
        </w:rPr>
      </w:pPr>
      <w:r>
        <w:rPr>
          <w:b/>
          <w:bCs/>
        </w:rPr>
        <w:br w:type="page"/>
      </w:r>
    </w:p>
    <w:p w14:paraId="2A23AAAF" w14:textId="77777777" w:rsidR="00140DA5" w:rsidRDefault="00140DA5" w:rsidP="00140DA5">
      <w:pPr>
        <w:rPr>
          <w:b/>
          <w:bCs/>
        </w:rPr>
      </w:pPr>
      <w:r>
        <w:rPr>
          <w:b/>
          <w:bCs/>
        </w:rPr>
        <w:lastRenderedPageBreak/>
        <w:t>Appendix A: Additional Tables and Figures</w:t>
      </w:r>
    </w:p>
    <w:p w14:paraId="3557D15E" w14:textId="77777777" w:rsidR="00140DA5" w:rsidRDefault="00140DA5" w:rsidP="00140DA5">
      <w:pPr>
        <w:jc w:val="center"/>
      </w:pPr>
      <w:r>
        <w:t>Appendix Figure A1</w:t>
      </w:r>
    </w:p>
    <w:p w14:paraId="0507DC2B" w14:textId="77777777" w:rsidR="00140DA5" w:rsidRDefault="00140DA5" w:rsidP="00140DA5">
      <w:pPr>
        <w:jc w:val="center"/>
      </w:pPr>
      <w:r>
        <w:t xml:space="preserve">Drug Death Rates from Heroin/Opioids for Adults Ages 18+ by Quartile of 1990 County SSDI Rate and Event Study </w:t>
      </w:r>
      <w:proofErr w:type="gramStart"/>
      <w:r>
        <w:t>Results,  1983</w:t>
      </w:r>
      <w:proofErr w:type="gramEnd"/>
      <w:r>
        <w:t xml:space="preserve">-2015, Parameter Estimates and 95% Confidence Intervals </w:t>
      </w:r>
      <w:r w:rsidRPr="00245733">
        <w:t xml:space="preserve"> </w:t>
      </w:r>
    </w:p>
    <w:p w14:paraId="19960902" w14:textId="1907B6A0" w:rsidR="00140DA5" w:rsidRDefault="00140DA5" w:rsidP="00014678"/>
    <w:p w14:paraId="2BE44BB9" w14:textId="77777777" w:rsidR="00140DA5" w:rsidRDefault="00140DA5" w:rsidP="00140DA5">
      <w:pPr>
        <w:jc w:val="center"/>
      </w:pPr>
      <w:r w:rsidRPr="00FE70A9">
        <w:rPr>
          <w:noProof/>
        </w:rPr>
        <w:drawing>
          <wp:inline distT="0" distB="0" distL="0" distR="0" wp14:anchorId="5CDC9965" wp14:editId="022332B2">
            <wp:extent cx="4151376" cy="301752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1376" cy="3017520"/>
                    </a:xfrm>
                    <a:prstGeom prst="rect">
                      <a:avLst/>
                    </a:prstGeom>
                    <a:noFill/>
                    <a:ln>
                      <a:noFill/>
                    </a:ln>
                  </pic:spPr>
                </pic:pic>
              </a:graphicData>
            </a:graphic>
          </wp:inline>
        </w:drawing>
      </w:r>
    </w:p>
    <w:p w14:paraId="7039C24F" w14:textId="77777777" w:rsidR="00140DA5" w:rsidRDefault="00140DA5" w:rsidP="00140DA5">
      <w:pPr>
        <w:jc w:val="center"/>
      </w:pPr>
      <w:r w:rsidRPr="00FE70A9">
        <w:rPr>
          <w:noProof/>
        </w:rPr>
        <w:drawing>
          <wp:inline distT="0" distB="0" distL="0" distR="0" wp14:anchorId="0AA30BA6" wp14:editId="1B5C7636">
            <wp:extent cx="4151376" cy="301752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1376" cy="3017520"/>
                    </a:xfrm>
                    <a:prstGeom prst="rect">
                      <a:avLst/>
                    </a:prstGeom>
                    <a:noFill/>
                    <a:ln>
                      <a:noFill/>
                    </a:ln>
                  </pic:spPr>
                </pic:pic>
              </a:graphicData>
            </a:graphic>
          </wp:inline>
        </w:drawing>
      </w:r>
    </w:p>
    <w:p w14:paraId="040DFB47" w14:textId="51CA5037" w:rsidR="00AE6291" w:rsidRDefault="00140DA5" w:rsidP="00AE6291">
      <w:r w:rsidRPr="00381F87">
        <w:rPr>
          <w:sz w:val="20"/>
          <w:szCs w:val="20"/>
        </w:rPr>
        <w:t xml:space="preserve">Notes:  In graph A we aggregate deaths at the county level to counties that are in the top and bottom quartile in the 1990 SSDI rate at the county level, then divide by 100,000 in adult population for that county group.  In Graph B, we report event-study estimates from equation (1) and the 95 percent confidence intervals for the period 1983-2015 with the reference year being 1995.  The coefficients are an interaction between a year dummy variable and the SSDI rate in 1990.  </w:t>
      </w:r>
      <w:r w:rsidR="00815C8B" w:rsidRPr="00381F87">
        <w:rPr>
          <w:sz w:val="20"/>
          <w:szCs w:val="20"/>
        </w:rPr>
        <w:t>Other controls include county and year effects, the fraction of people in the county that are 25-34, 35-44, 45-54, 55-64, 65-74, 75-84, and 85 and up (with 18-24 being the reference group), the fraction black and other race (with white being the reference group</w:t>
      </w:r>
      <w:r w:rsidR="00815C8B">
        <w:rPr>
          <w:sz w:val="20"/>
          <w:szCs w:val="20"/>
        </w:rPr>
        <w:t>)</w:t>
      </w:r>
      <w:r w:rsidR="00815C8B" w:rsidRPr="00381F87">
        <w:rPr>
          <w:sz w:val="20"/>
          <w:szCs w:val="20"/>
        </w:rPr>
        <w:t xml:space="preserve">, and the fraction Hispanic.  The regressions are weighted by the adult population in the county/year and standard errors are clustered at the state level.  </w:t>
      </w:r>
      <w:r w:rsidR="00815C8B">
        <w:rPr>
          <w:sz w:val="20"/>
          <w:szCs w:val="20"/>
        </w:rPr>
        <w:t>The regressions have data for 3,106 counties over 33 years or 102,498 observations.</w:t>
      </w:r>
    </w:p>
    <w:p w14:paraId="72E04330" w14:textId="276D7470" w:rsidR="00140DA5" w:rsidRDefault="00140DA5" w:rsidP="00140DA5"/>
    <w:p w14:paraId="57A71AC8" w14:textId="77777777" w:rsidR="00815C8B" w:rsidRDefault="00815C8B" w:rsidP="00140DA5">
      <w:pPr>
        <w:jc w:val="center"/>
      </w:pPr>
    </w:p>
    <w:p w14:paraId="207E7742" w14:textId="59742472" w:rsidR="00140DA5" w:rsidRDefault="00140DA5" w:rsidP="00140DA5">
      <w:pPr>
        <w:jc w:val="center"/>
      </w:pPr>
      <w:r>
        <w:lastRenderedPageBreak/>
        <w:t>Appendix Figure A2</w:t>
      </w:r>
    </w:p>
    <w:p w14:paraId="7A9DD2DF" w14:textId="44733389" w:rsidR="00140DA5" w:rsidRDefault="00140DA5">
      <w:pPr>
        <w:jc w:val="center"/>
      </w:pPr>
      <w:r>
        <w:t xml:space="preserve">Alcohol Death Rates for Adults Ages 18+ by Quartile of 1990 County SSDI Rate and Event Study Results, 1983-2015, Parameter Estimates and 95% Confidence Intervals </w:t>
      </w:r>
      <w:r w:rsidRPr="00245733">
        <w:t xml:space="preserve"> </w:t>
      </w:r>
      <w:r>
        <w:t xml:space="preserve"> </w:t>
      </w:r>
      <w:r w:rsidRPr="000C36E8">
        <w:t xml:space="preserve"> </w:t>
      </w:r>
    </w:p>
    <w:p w14:paraId="13AFC1A8" w14:textId="77777777" w:rsidR="00140DA5" w:rsidRDefault="00140DA5" w:rsidP="00140DA5">
      <w:pPr>
        <w:jc w:val="center"/>
      </w:pPr>
      <w:r w:rsidRPr="003F1BF4">
        <w:rPr>
          <w:noProof/>
        </w:rPr>
        <w:drawing>
          <wp:inline distT="0" distB="0" distL="0" distR="0" wp14:anchorId="79DCD34A" wp14:editId="1F7F6FAA">
            <wp:extent cx="4407408" cy="3200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7408" cy="3200400"/>
                    </a:xfrm>
                    <a:prstGeom prst="rect">
                      <a:avLst/>
                    </a:prstGeom>
                    <a:noFill/>
                    <a:ln>
                      <a:noFill/>
                    </a:ln>
                  </pic:spPr>
                </pic:pic>
              </a:graphicData>
            </a:graphic>
          </wp:inline>
        </w:drawing>
      </w:r>
    </w:p>
    <w:p w14:paraId="58A4FB42" w14:textId="128CF247" w:rsidR="00140DA5" w:rsidRDefault="00B71A89" w:rsidP="00140DA5">
      <w:pPr>
        <w:jc w:val="center"/>
      </w:pPr>
      <w:r w:rsidRPr="00B71A89">
        <w:rPr>
          <w:noProof/>
        </w:rPr>
        <w:drawing>
          <wp:inline distT="0" distB="0" distL="0" distR="0" wp14:anchorId="04FEF913" wp14:editId="6140549F">
            <wp:extent cx="4416552" cy="32004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6552" cy="3200400"/>
                    </a:xfrm>
                    <a:prstGeom prst="rect">
                      <a:avLst/>
                    </a:prstGeom>
                    <a:noFill/>
                    <a:ln>
                      <a:noFill/>
                    </a:ln>
                  </pic:spPr>
                </pic:pic>
              </a:graphicData>
            </a:graphic>
          </wp:inline>
        </w:drawing>
      </w:r>
    </w:p>
    <w:p w14:paraId="452FBB27" w14:textId="76B05FFD" w:rsidR="00AE6291" w:rsidRDefault="00140DA5" w:rsidP="00AE6291">
      <w:r w:rsidRPr="00381F87">
        <w:rPr>
          <w:sz w:val="20"/>
          <w:szCs w:val="20"/>
        </w:rPr>
        <w:t xml:space="preserve">Notes:  In graph A we aggregate deaths at the county level to counties that are in the top and bottom quartile in the 1990 SSDI rate at the county level, then divide by 100,000 in adult population for that county group.  In Graph B, we report event-study estimates from equation (1) and the 95 percent confidence intervals for the period 1983-2015 with the reference year being 1995.  The coefficients are an interaction between a year dummy variable and the SSDI rate in 1990.  </w:t>
      </w:r>
      <w:r w:rsidR="00815C8B" w:rsidRPr="00381F87">
        <w:rPr>
          <w:sz w:val="20"/>
          <w:szCs w:val="20"/>
        </w:rPr>
        <w:t>Other controls include county and year effects, the fraction of people in the county that are 25-34, 35-44, 45-54, 55-64, 65-74, 75-84, and 85 and up (with 18-24 being the reference group), the fraction black and other race (with white being the reference group</w:t>
      </w:r>
      <w:r w:rsidR="00815C8B">
        <w:rPr>
          <w:sz w:val="20"/>
          <w:szCs w:val="20"/>
        </w:rPr>
        <w:t>)</w:t>
      </w:r>
      <w:r w:rsidR="00815C8B" w:rsidRPr="00381F87">
        <w:rPr>
          <w:sz w:val="20"/>
          <w:szCs w:val="20"/>
        </w:rPr>
        <w:t xml:space="preserve">, and the fraction Hispanic.  The regressions are weighted by the adult population in the county/year and standard errors are clustered at the state level.  </w:t>
      </w:r>
      <w:r w:rsidR="00815C8B">
        <w:rPr>
          <w:sz w:val="20"/>
          <w:szCs w:val="20"/>
        </w:rPr>
        <w:t>The regressions have data for 3,106 counties over 33 years or 102,498 observations.</w:t>
      </w:r>
    </w:p>
    <w:p w14:paraId="1EA8590F" w14:textId="38E325A2" w:rsidR="00140DA5" w:rsidRDefault="00140DA5" w:rsidP="00140DA5">
      <w:pPr>
        <w:jc w:val="center"/>
      </w:pPr>
      <w:r w:rsidRPr="00014678">
        <w:br w:type="page"/>
      </w:r>
      <w:r w:rsidRPr="003F1BF4">
        <w:lastRenderedPageBreak/>
        <w:t xml:space="preserve">Appendix </w:t>
      </w:r>
      <w:r>
        <w:t>Figure A3</w:t>
      </w:r>
    </w:p>
    <w:p w14:paraId="6CA6558C" w14:textId="2A00A030" w:rsidR="00140DA5" w:rsidRDefault="00140DA5">
      <w:pPr>
        <w:jc w:val="center"/>
      </w:pPr>
      <w:r>
        <w:t xml:space="preserve">Non-Drug Suicide Death Rates for Adults Ages 18+ by Quartile of 1990 County SSDI Rate and Event Study Results, 1983-2015, Parameter Estimates and 95% Confidence Intervals </w:t>
      </w:r>
      <w:r w:rsidRPr="000C36E8">
        <w:t xml:space="preserve"> </w:t>
      </w:r>
    </w:p>
    <w:p w14:paraId="442CCC7A" w14:textId="77777777" w:rsidR="00140DA5" w:rsidRDefault="00140DA5" w:rsidP="00140DA5">
      <w:pPr>
        <w:jc w:val="center"/>
      </w:pPr>
      <w:r w:rsidRPr="003F1BF4">
        <w:rPr>
          <w:noProof/>
        </w:rPr>
        <w:drawing>
          <wp:inline distT="0" distB="0" distL="0" distR="0" wp14:anchorId="3CF1394E" wp14:editId="0D302F38">
            <wp:extent cx="4407408" cy="3200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7408" cy="3200400"/>
                    </a:xfrm>
                    <a:prstGeom prst="rect">
                      <a:avLst/>
                    </a:prstGeom>
                    <a:noFill/>
                    <a:ln>
                      <a:noFill/>
                    </a:ln>
                  </pic:spPr>
                </pic:pic>
              </a:graphicData>
            </a:graphic>
          </wp:inline>
        </w:drawing>
      </w:r>
    </w:p>
    <w:p w14:paraId="05AD3E77" w14:textId="1811B742" w:rsidR="00140DA5" w:rsidRDefault="00B71A89" w:rsidP="00140DA5">
      <w:pPr>
        <w:jc w:val="center"/>
      </w:pPr>
      <w:r w:rsidRPr="00B71A89">
        <w:rPr>
          <w:noProof/>
        </w:rPr>
        <w:drawing>
          <wp:inline distT="0" distB="0" distL="0" distR="0" wp14:anchorId="15958155" wp14:editId="1FF3AC83">
            <wp:extent cx="4416552" cy="32004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6552" cy="3200400"/>
                    </a:xfrm>
                    <a:prstGeom prst="rect">
                      <a:avLst/>
                    </a:prstGeom>
                    <a:noFill/>
                    <a:ln>
                      <a:noFill/>
                    </a:ln>
                  </pic:spPr>
                </pic:pic>
              </a:graphicData>
            </a:graphic>
          </wp:inline>
        </w:drawing>
      </w:r>
    </w:p>
    <w:p w14:paraId="6A34F177" w14:textId="2EF5D595" w:rsidR="00AE6291" w:rsidRDefault="00140DA5" w:rsidP="00AE6291">
      <w:r w:rsidRPr="00381F87">
        <w:rPr>
          <w:sz w:val="20"/>
          <w:szCs w:val="20"/>
        </w:rPr>
        <w:t xml:space="preserve">Notes:  In graph A we aggregate deaths at the county level to counties that are in the top and bottom quartile in the 1990 SSDI rate at the county level, then divide by 100,000 in adult population for that county group.  In Graph B, we report event-study estimates from equation (1) and the 95 percent confidence intervals for the period 1983-2015 with the reference year being 1995.  The coefficients are an interaction between a year dummy variable and the SSDI rate in 1990. </w:t>
      </w:r>
      <w:r w:rsidR="00815C8B" w:rsidRPr="00381F87">
        <w:rPr>
          <w:sz w:val="20"/>
          <w:szCs w:val="20"/>
        </w:rPr>
        <w:t>Other controls include county and year effects, the fraction of people in the county that are 25-34, 35-44, 45-54, 55-64, 65-74, 75-84, and 85 and up (with 18-24 being the reference group), the fraction black and other race (with white being the reference group</w:t>
      </w:r>
      <w:r w:rsidR="00815C8B">
        <w:rPr>
          <w:sz w:val="20"/>
          <w:szCs w:val="20"/>
        </w:rPr>
        <w:t>)</w:t>
      </w:r>
      <w:r w:rsidR="00815C8B" w:rsidRPr="00381F87">
        <w:rPr>
          <w:sz w:val="20"/>
          <w:szCs w:val="20"/>
        </w:rPr>
        <w:t xml:space="preserve">, and the fraction Hispanic.  The regressions are weighted by the adult population in the county/year and standard errors are clustered at the state level.  </w:t>
      </w:r>
      <w:r w:rsidR="00815C8B">
        <w:rPr>
          <w:sz w:val="20"/>
          <w:szCs w:val="20"/>
        </w:rPr>
        <w:t>The regressions have data for 3,106 counties over 33 years or 102,498 observations.</w:t>
      </w:r>
    </w:p>
    <w:p w14:paraId="20FF5E2F" w14:textId="77777777" w:rsidR="00E97F82" w:rsidRDefault="00E97F82">
      <w:r>
        <w:br w:type="page"/>
      </w:r>
    </w:p>
    <w:p w14:paraId="407DDEA6" w14:textId="41F25FA8" w:rsidR="003F5E1A" w:rsidRDefault="003F5E1A" w:rsidP="00140DA5">
      <w:pPr>
        <w:jc w:val="center"/>
      </w:pPr>
      <w:r>
        <w:lastRenderedPageBreak/>
        <w:t>Appendix Figure A4</w:t>
      </w:r>
    </w:p>
    <w:p w14:paraId="3FCC95DB" w14:textId="77777777" w:rsidR="003F5E1A" w:rsidRDefault="003F5E1A" w:rsidP="003F5E1A">
      <w:pPr>
        <w:jc w:val="center"/>
      </w:pPr>
      <w:r>
        <w:t xml:space="preserve">Drug Poisoning Deaths Rates, Event Study Estimates with and without </w:t>
      </w:r>
    </w:p>
    <w:p w14:paraId="6C65967B" w14:textId="4D8D245C" w:rsidR="003F5E1A" w:rsidRDefault="003F5E1A" w:rsidP="003F5E1A">
      <w:pPr>
        <w:jc w:val="center"/>
      </w:pPr>
      <w:r>
        <w:t>the 1995 Cancer Death Rate Interacted with Year Effects</w:t>
      </w:r>
    </w:p>
    <w:p w14:paraId="37856856" w14:textId="14008289" w:rsidR="003F5E1A" w:rsidRDefault="003F5E1A" w:rsidP="00140DA5">
      <w:pPr>
        <w:jc w:val="center"/>
      </w:pPr>
    </w:p>
    <w:p w14:paraId="729C8CB2" w14:textId="7ACE7B14" w:rsidR="003F5E1A" w:rsidRDefault="003F5E1A" w:rsidP="00140DA5">
      <w:pPr>
        <w:jc w:val="center"/>
      </w:pPr>
      <w:r w:rsidRPr="00492ABA">
        <w:rPr>
          <w:noProof/>
        </w:rPr>
        <w:drawing>
          <wp:inline distT="0" distB="0" distL="0" distR="0" wp14:anchorId="5E549631" wp14:editId="7B4B9815">
            <wp:extent cx="4407408"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7408" cy="3200400"/>
                    </a:xfrm>
                    <a:prstGeom prst="rect">
                      <a:avLst/>
                    </a:prstGeom>
                    <a:noFill/>
                    <a:ln>
                      <a:noFill/>
                    </a:ln>
                  </pic:spPr>
                </pic:pic>
              </a:graphicData>
            </a:graphic>
          </wp:inline>
        </w:drawing>
      </w:r>
    </w:p>
    <w:p w14:paraId="106D6D94" w14:textId="77777777" w:rsidR="003F5E1A" w:rsidRDefault="003F5E1A" w:rsidP="00140DA5">
      <w:pPr>
        <w:jc w:val="center"/>
      </w:pPr>
    </w:p>
    <w:p w14:paraId="28F29285" w14:textId="77777777" w:rsidR="003F5E1A" w:rsidRDefault="003F5E1A" w:rsidP="00140DA5">
      <w:pPr>
        <w:jc w:val="center"/>
      </w:pPr>
    </w:p>
    <w:p w14:paraId="5E499542" w14:textId="2EA41756" w:rsidR="003F5E1A" w:rsidRDefault="003F5E1A" w:rsidP="003F5E1A">
      <w:pPr>
        <w:rPr>
          <w:b/>
          <w:bCs/>
        </w:rPr>
      </w:pPr>
      <w:r w:rsidRPr="00381F87">
        <w:rPr>
          <w:sz w:val="20"/>
          <w:szCs w:val="20"/>
        </w:rPr>
        <w:t xml:space="preserve">Notes:  </w:t>
      </w:r>
      <w:r>
        <w:rPr>
          <w:sz w:val="20"/>
          <w:szCs w:val="20"/>
        </w:rPr>
        <w:t>W</w:t>
      </w:r>
      <w:r w:rsidRPr="00381F87">
        <w:rPr>
          <w:sz w:val="20"/>
          <w:szCs w:val="20"/>
        </w:rPr>
        <w:t>e report event-study estimates from equation (1) and the 95 percent confidence intervals for the period 1983-2015 with the reference year being 1995.  The coefficients are an interaction bet</w:t>
      </w:r>
      <w:r>
        <w:rPr>
          <w:sz w:val="20"/>
          <w:szCs w:val="20"/>
        </w:rPr>
        <w:t>ween</w:t>
      </w:r>
      <w:r w:rsidRPr="00381F87">
        <w:rPr>
          <w:sz w:val="20"/>
          <w:szCs w:val="20"/>
        </w:rPr>
        <w:t xml:space="preserve"> year dummy variable</w:t>
      </w:r>
      <w:r>
        <w:rPr>
          <w:sz w:val="20"/>
          <w:szCs w:val="20"/>
        </w:rPr>
        <w:t xml:space="preserve">s and </w:t>
      </w:r>
      <w:r w:rsidRPr="00381F87">
        <w:rPr>
          <w:sz w:val="20"/>
          <w:szCs w:val="20"/>
        </w:rPr>
        <w:t>the SSDI rate in 1990</w:t>
      </w:r>
      <w:r>
        <w:rPr>
          <w:sz w:val="20"/>
          <w:szCs w:val="20"/>
        </w:rPr>
        <w:t xml:space="preserve"> with and without a set of variables (1995 cancer death rate interacted with year indicators) included in the regression</w:t>
      </w:r>
      <w:r w:rsidRPr="00381F87">
        <w:rPr>
          <w:sz w:val="20"/>
          <w:szCs w:val="20"/>
        </w:rPr>
        <w:t xml:space="preserve">.  </w:t>
      </w:r>
      <w:r w:rsidR="00815C8B" w:rsidRPr="00381F87">
        <w:rPr>
          <w:sz w:val="20"/>
          <w:szCs w:val="20"/>
        </w:rPr>
        <w:t>Other controls include county and year effects, the fraction of people in the county that are 25-34, 35-44, 45-54, 55-64, 65-74, 75-84, and 85 and up (with 18-24 being the reference group), the fraction black and other race (with white being the reference group</w:t>
      </w:r>
      <w:r w:rsidR="00815C8B">
        <w:rPr>
          <w:sz w:val="20"/>
          <w:szCs w:val="20"/>
        </w:rPr>
        <w:t>)</w:t>
      </w:r>
      <w:r w:rsidR="00815C8B" w:rsidRPr="00381F87">
        <w:rPr>
          <w:sz w:val="20"/>
          <w:szCs w:val="20"/>
        </w:rPr>
        <w:t xml:space="preserve">, and the fraction Hispanic.  The regressions are weighted by the adult population in the county/year and standard errors are clustered at the state level.  </w:t>
      </w:r>
      <w:r w:rsidR="00815C8B">
        <w:rPr>
          <w:sz w:val="20"/>
          <w:szCs w:val="20"/>
        </w:rPr>
        <w:t>The regressions have data for 3,106 counties over 33 years or 102,498 observations.</w:t>
      </w:r>
      <w:r>
        <w:rPr>
          <w:b/>
          <w:bCs/>
        </w:rPr>
        <w:t xml:space="preserve"> </w:t>
      </w:r>
    </w:p>
    <w:p w14:paraId="2611EE56" w14:textId="77777777" w:rsidR="003F5E1A" w:rsidRDefault="003F5E1A" w:rsidP="00140DA5">
      <w:pPr>
        <w:jc w:val="center"/>
      </w:pPr>
    </w:p>
    <w:p w14:paraId="7292FFBD" w14:textId="77777777" w:rsidR="003F5E1A" w:rsidRDefault="003F5E1A" w:rsidP="00140DA5">
      <w:pPr>
        <w:jc w:val="center"/>
      </w:pPr>
    </w:p>
    <w:p w14:paraId="54441C7C" w14:textId="77777777" w:rsidR="003F5E1A" w:rsidRDefault="003F5E1A" w:rsidP="00140DA5">
      <w:pPr>
        <w:jc w:val="center"/>
      </w:pPr>
    </w:p>
    <w:p w14:paraId="7797D6AD" w14:textId="77777777" w:rsidR="003F5E1A" w:rsidRDefault="003F5E1A" w:rsidP="00140DA5">
      <w:pPr>
        <w:jc w:val="center"/>
      </w:pPr>
    </w:p>
    <w:p w14:paraId="65A1E568" w14:textId="77777777" w:rsidR="003F5E1A" w:rsidRDefault="003F5E1A" w:rsidP="00140DA5">
      <w:pPr>
        <w:jc w:val="center"/>
      </w:pPr>
    </w:p>
    <w:p w14:paraId="5B825586" w14:textId="77777777" w:rsidR="003F5E1A" w:rsidRDefault="003F5E1A" w:rsidP="00140DA5">
      <w:pPr>
        <w:jc w:val="center"/>
      </w:pPr>
    </w:p>
    <w:p w14:paraId="5AF61FA5" w14:textId="77777777" w:rsidR="003F5E1A" w:rsidRDefault="003F5E1A" w:rsidP="00140DA5">
      <w:pPr>
        <w:jc w:val="center"/>
      </w:pPr>
    </w:p>
    <w:p w14:paraId="4EBB91B2" w14:textId="77777777" w:rsidR="003F5E1A" w:rsidRDefault="003F5E1A" w:rsidP="00140DA5">
      <w:pPr>
        <w:jc w:val="center"/>
      </w:pPr>
    </w:p>
    <w:p w14:paraId="51C880FD" w14:textId="77777777" w:rsidR="003F5E1A" w:rsidRDefault="003F5E1A" w:rsidP="00140DA5">
      <w:pPr>
        <w:jc w:val="center"/>
      </w:pPr>
    </w:p>
    <w:p w14:paraId="45BD68CA" w14:textId="77777777" w:rsidR="003F5E1A" w:rsidRDefault="003F5E1A" w:rsidP="00140DA5">
      <w:pPr>
        <w:jc w:val="center"/>
      </w:pPr>
    </w:p>
    <w:p w14:paraId="0E48B95C" w14:textId="77777777" w:rsidR="003F5E1A" w:rsidRDefault="003F5E1A" w:rsidP="00140DA5">
      <w:pPr>
        <w:jc w:val="center"/>
      </w:pPr>
    </w:p>
    <w:p w14:paraId="506EBB87" w14:textId="77777777" w:rsidR="003F5E1A" w:rsidRDefault="003F5E1A" w:rsidP="00140DA5">
      <w:pPr>
        <w:jc w:val="center"/>
      </w:pPr>
    </w:p>
    <w:p w14:paraId="4D6C8CC7" w14:textId="77777777" w:rsidR="003F5E1A" w:rsidRDefault="003F5E1A" w:rsidP="00140DA5">
      <w:pPr>
        <w:jc w:val="center"/>
      </w:pPr>
    </w:p>
    <w:p w14:paraId="32F7D7C5" w14:textId="77777777" w:rsidR="003F5E1A" w:rsidRDefault="003F5E1A" w:rsidP="00140DA5">
      <w:pPr>
        <w:jc w:val="center"/>
      </w:pPr>
    </w:p>
    <w:p w14:paraId="2BF90D6D" w14:textId="77777777" w:rsidR="003F5E1A" w:rsidRDefault="003F5E1A" w:rsidP="00140DA5">
      <w:pPr>
        <w:jc w:val="center"/>
      </w:pPr>
    </w:p>
    <w:p w14:paraId="61D3027D" w14:textId="77777777" w:rsidR="003F5E1A" w:rsidRDefault="003F5E1A" w:rsidP="00140DA5">
      <w:pPr>
        <w:jc w:val="center"/>
      </w:pPr>
    </w:p>
    <w:p w14:paraId="3B60F596" w14:textId="77777777" w:rsidR="003F5E1A" w:rsidRDefault="003F5E1A" w:rsidP="00140DA5">
      <w:pPr>
        <w:jc w:val="center"/>
      </w:pPr>
    </w:p>
    <w:p w14:paraId="32D601A8" w14:textId="77777777" w:rsidR="003F5E1A" w:rsidRDefault="003F5E1A" w:rsidP="00140DA5">
      <w:pPr>
        <w:jc w:val="center"/>
      </w:pPr>
    </w:p>
    <w:p w14:paraId="44CE71DF" w14:textId="77777777" w:rsidR="003F5E1A" w:rsidRDefault="003F5E1A" w:rsidP="00140DA5">
      <w:pPr>
        <w:jc w:val="center"/>
      </w:pPr>
    </w:p>
    <w:p w14:paraId="1A60C9CC" w14:textId="77777777" w:rsidR="003F5E1A" w:rsidRDefault="003F5E1A" w:rsidP="00140DA5">
      <w:pPr>
        <w:jc w:val="center"/>
      </w:pPr>
    </w:p>
    <w:p w14:paraId="097BD726" w14:textId="77777777" w:rsidR="003F5E1A" w:rsidRDefault="003F5E1A" w:rsidP="00140DA5">
      <w:pPr>
        <w:jc w:val="center"/>
      </w:pPr>
    </w:p>
    <w:p w14:paraId="73F7A49F" w14:textId="77777777" w:rsidR="003F5E1A" w:rsidRDefault="003F5E1A" w:rsidP="00140DA5">
      <w:pPr>
        <w:jc w:val="center"/>
      </w:pPr>
    </w:p>
    <w:p w14:paraId="001BBB37" w14:textId="722312B7" w:rsidR="00140DA5" w:rsidRDefault="00140DA5" w:rsidP="00140DA5">
      <w:pPr>
        <w:jc w:val="center"/>
      </w:pPr>
      <w:r>
        <w:t>Appendix Figure A</w:t>
      </w:r>
      <w:r w:rsidR="003F5E1A">
        <w:t>5</w:t>
      </w:r>
    </w:p>
    <w:p w14:paraId="22DBA897" w14:textId="1C6FA90C" w:rsidR="00140DA5" w:rsidRDefault="00140DA5" w:rsidP="00140DA5">
      <w:pPr>
        <w:jc w:val="center"/>
      </w:pPr>
      <w:bookmarkStart w:id="1" w:name="_Hlk207792555"/>
      <w:r>
        <w:t xml:space="preserve">Drug Poisoning Deaths Rates Over Time </w:t>
      </w:r>
      <w:r w:rsidR="00E97F82">
        <w:t xml:space="preserve">and Event Study Estimates </w:t>
      </w:r>
      <w:r>
        <w:t xml:space="preserve">Based on </w:t>
      </w:r>
      <w:r w:rsidR="00E97F82">
        <w:t>Levels</w:t>
      </w:r>
      <w:r>
        <w:t xml:space="preserve"> of Advertising </w:t>
      </w:r>
      <w:r w:rsidR="00E97F82">
        <w:t>Payments</w:t>
      </w:r>
      <w:r>
        <w:t>/1,000</w:t>
      </w:r>
      <w:r w:rsidR="00E97F82">
        <w:t>, i</w:t>
      </w:r>
      <w:r>
        <w:t>n the Open Payments Data Set in 2016-2019</w:t>
      </w:r>
    </w:p>
    <w:bookmarkEnd w:id="1"/>
    <w:p w14:paraId="02B4E750" w14:textId="47B5518D" w:rsidR="00D15C19" w:rsidRDefault="00D15C19" w:rsidP="00140DA5">
      <w:pPr>
        <w:jc w:val="center"/>
      </w:pPr>
      <w:r w:rsidRPr="00335C8E">
        <w:rPr>
          <w:noProof/>
        </w:rPr>
        <w:drawing>
          <wp:inline distT="0" distB="0" distL="0" distR="0" wp14:anchorId="120656C2" wp14:editId="183AFD5D">
            <wp:extent cx="416052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60520" cy="3017520"/>
                    </a:xfrm>
                    <a:prstGeom prst="rect">
                      <a:avLst/>
                    </a:prstGeom>
                    <a:noFill/>
                    <a:ln>
                      <a:noFill/>
                    </a:ln>
                  </pic:spPr>
                </pic:pic>
              </a:graphicData>
            </a:graphic>
          </wp:inline>
        </w:drawing>
      </w:r>
    </w:p>
    <w:p w14:paraId="5FDF7940" w14:textId="6CBE12EB" w:rsidR="00140DA5" w:rsidRDefault="001756C2" w:rsidP="00140DA5">
      <w:pPr>
        <w:jc w:val="center"/>
      </w:pPr>
      <w:r w:rsidRPr="001756C2">
        <w:rPr>
          <w:noProof/>
        </w:rPr>
        <w:drawing>
          <wp:inline distT="0" distB="0" distL="0" distR="0" wp14:anchorId="77980FD3" wp14:editId="7871285A">
            <wp:extent cx="4169664" cy="30175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69664" cy="3017520"/>
                    </a:xfrm>
                    <a:prstGeom prst="rect">
                      <a:avLst/>
                    </a:prstGeom>
                    <a:noFill/>
                    <a:ln>
                      <a:noFill/>
                    </a:ln>
                  </pic:spPr>
                </pic:pic>
              </a:graphicData>
            </a:graphic>
          </wp:inline>
        </w:drawing>
      </w:r>
    </w:p>
    <w:p w14:paraId="44CC5F87" w14:textId="058BCD6F" w:rsidR="00140DA5" w:rsidRDefault="00335C8E" w:rsidP="00335C8E">
      <w:pPr>
        <w:rPr>
          <w:b/>
          <w:bCs/>
        </w:rPr>
      </w:pPr>
      <w:r w:rsidRPr="00381F87">
        <w:rPr>
          <w:sz w:val="20"/>
          <w:szCs w:val="20"/>
        </w:rPr>
        <w:t xml:space="preserve">Notes:  In graph A we aggregate deaths at the county level to counties </w:t>
      </w:r>
      <w:r>
        <w:rPr>
          <w:sz w:val="20"/>
          <w:szCs w:val="20"/>
        </w:rPr>
        <w:t xml:space="preserve">based on the level of advertising in the Open Payments data set.  We consider the lowest 20, middle 60%, and the top 20% of visits/1000 people in the county.  We selected the bottom grouping as these are counties that have no advertising visits/1000. </w:t>
      </w:r>
      <w:r w:rsidRPr="00381F87">
        <w:rPr>
          <w:sz w:val="20"/>
          <w:szCs w:val="20"/>
        </w:rPr>
        <w:t>Graph B, we report event-study estimates from equation (1) and the 95 percent confidence intervals for the period 1983-2015 with the reference year being 1995.  The coefficients are an interaction beta year dummy variable</w:t>
      </w:r>
      <w:r>
        <w:rPr>
          <w:sz w:val="20"/>
          <w:szCs w:val="20"/>
        </w:rPr>
        <w:t xml:space="preserve">, </w:t>
      </w:r>
      <w:r w:rsidRPr="00381F87">
        <w:rPr>
          <w:sz w:val="20"/>
          <w:szCs w:val="20"/>
        </w:rPr>
        <w:t>the SSDI rate in 1990</w:t>
      </w:r>
      <w:r>
        <w:rPr>
          <w:sz w:val="20"/>
          <w:szCs w:val="20"/>
        </w:rPr>
        <w:t>, and a dummy for what level of advertising there is in the Open Payments data set</w:t>
      </w:r>
      <w:r w:rsidRPr="00381F87">
        <w:rPr>
          <w:sz w:val="20"/>
          <w:szCs w:val="20"/>
        </w:rPr>
        <w:t xml:space="preserve">.  Other controls include county and year effects, the fraction of people in the county that are 25-34, 35-44, 45-54, 55-64, 65-74, 75-84, and 85 and up (with 18-24 being the reference group), the </w:t>
      </w:r>
      <w:r w:rsidRPr="00381F87">
        <w:rPr>
          <w:sz w:val="20"/>
          <w:szCs w:val="20"/>
        </w:rPr>
        <w:lastRenderedPageBreak/>
        <w:t>fraction black and other race (with white being the reference group</w:t>
      </w:r>
      <w:r w:rsidR="00815C8B">
        <w:rPr>
          <w:sz w:val="20"/>
          <w:szCs w:val="20"/>
        </w:rPr>
        <w:t>)</w:t>
      </w:r>
      <w:r w:rsidRPr="00381F87">
        <w:rPr>
          <w:sz w:val="20"/>
          <w:szCs w:val="20"/>
        </w:rPr>
        <w:t xml:space="preserve">, and the fraction Hispanic.  The regressions are weighted by the adult population in the county/year and standard errors are clustered at the state level.  </w:t>
      </w:r>
      <w:r>
        <w:rPr>
          <w:sz w:val="20"/>
          <w:szCs w:val="20"/>
        </w:rPr>
        <w:t>The regressions have data for 3,106 counties over 33 years or 102,498 observations.</w:t>
      </w:r>
      <w:r>
        <w:rPr>
          <w:b/>
          <w:bCs/>
        </w:rPr>
        <w:t xml:space="preserve"> </w:t>
      </w:r>
    </w:p>
    <w:p w14:paraId="2467DA5F" w14:textId="77777777" w:rsidR="00140DA5" w:rsidRDefault="00140DA5" w:rsidP="00140DA5">
      <w:pPr>
        <w:rPr>
          <w:b/>
          <w:bCs/>
        </w:rPr>
      </w:pPr>
    </w:p>
    <w:p w14:paraId="6F799F86" w14:textId="5B3892E2" w:rsidR="00335C8E" w:rsidRDefault="00335C8E" w:rsidP="00140DA5">
      <w:pPr>
        <w:rPr>
          <w:b/>
          <w:bCs/>
        </w:rPr>
        <w:sectPr w:rsidR="00335C8E" w:rsidSect="00014678">
          <w:footerReference w:type="default" r:id="rId17"/>
          <w:type w:val="continuous"/>
          <w:pgSz w:w="12240" w:h="15840"/>
          <w:pgMar w:top="1296" w:right="1296" w:bottom="1296" w:left="1296" w:header="720" w:footer="720" w:gutter="0"/>
          <w:pgNumType w:start="1"/>
          <w:cols w:space="720"/>
          <w:docGrid w:linePitch="360"/>
        </w:sectPr>
      </w:pPr>
    </w:p>
    <w:p w14:paraId="27E9BD95" w14:textId="475995F9" w:rsidR="00140DA5" w:rsidRDefault="00140DA5" w:rsidP="00140DA5">
      <w:pPr>
        <w:tabs>
          <w:tab w:val="left" w:pos="90"/>
        </w:tabs>
        <w:jc w:val="center"/>
        <w:rPr>
          <w:bCs/>
        </w:rPr>
      </w:pPr>
      <w:r>
        <w:rPr>
          <w:bCs/>
        </w:rPr>
        <w:lastRenderedPageBreak/>
        <w:t>Appendix Figure A</w:t>
      </w:r>
      <w:r w:rsidR="003F5E1A">
        <w:rPr>
          <w:bCs/>
        </w:rPr>
        <w:t>6</w:t>
      </w:r>
    </w:p>
    <w:p w14:paraId="4D1AD82B" w14:textId="77777777" w:rsidR="00140DA5" w:rsidRDefault="00140DA5" w:rsidP="00140DA5">
      <w:pPr>
        <w:jc w:val="center"/>
      </w:pPr>
      <w:r>
        <w:t xml:space="preserve">Event Study Results, Drug Poisoning Death Rate at the County Level, 1983-2015, </w:t>
      </w:r>
    </w:p>
    <w:p w14:paraId="19E3B7B3" w14:textId="77777777" w:rsidR="00140DA5" w:rsidRDefault="00140DA5" w:rsidP="00140DA5">
      <w:pPr>
        <w:jc w:val="center"/>
      </w:pPr>
      <w:r>
        <w:t>Adding in One Additional 1990 County Characteristics Interacted with Year Effects at a Time</w:t>
      </w:r>
    </w:p>
    <w:p w14:paraId="500B0BD8" w14:textId="77777777" w:rsidR="00140DA5" w:rsidRDefault="00140DA5" w:rsidP="00140DA5">
      <w:pPr>
        <w:jc w:val="center"/>
      </w:pPr>
      <w:r>
        <w:t>Parameter Estimates and 95% Confidence Intervals</w:t>
      </w:r>
    </w:p>
    <w:p w14:paraId="64C90D12" w14:textId="27155368" w:rsidR="00140DA5" w:rsidRDefault="00140DA5" w:rsidP="00140DA5">
      <w:pPr>
        <w:jc w:val="center"/>
        <w:rPr>
          <w:b/>
          <w:bCs/>
        </w:rPr>
      </w:pPr>
    </w:p>
    <w:p w14:paraId="446F04E8" w14:textId="5D5EACB2" w:rsidR="008A2CB9" w:rsidRDefault="008A2CB9" w:rsidP="00140DA5">
      <w:pPr>
        <w:rPr>
          <w:b/>
          <w:bCs/>
        </w:rPr>
      </w:pPr>
      <w:r w:rsidRPr="008A2CB9">
        <w:rPr>
          <w:noProof/>
        </w:rPr>
        <w:drawing>
          <wp:inline distT="0" distB="0" distL="0" distR="0" wp14:anchorId="77CA288D" wp14:editId="0E5FF993">
            <wp:extent cx="3456432" cy="2514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8A2CB9">
        <w:rPr>
          <w:noProof/>
        </w:rPr>
        <w:drawing>
          <wp:inline distT="0" distB="0" distL="0" distR="0" wp14:anchorId="176EA843" wp14:editId="0B39D601">
            <wp:extent cx="3456432" cy="2514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8A2CB9">
        <w:rPr>
          <w:noProof/>
        </w:rPr>
        <w:drawing>
          <wp:inline distT="0" distB="0" distL="0" distR="0" wp14:anchorId="7BD48144" wp14:editId="44D398AA">
            <wp:extent cx="3456432" cy="2514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8A2CB9">
        <w:rPr>
          <w:noProof/>
        </w:rPr>
        <w:drawing>
          <wp:inline distT="0" distB="0" distL="0" distR="0" wp14:anchorId="14141B02" wp14:editId="625CD63E">
            <wp:extent cx="3456432" cy="2514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p>
    <w:p w14:paraId="607BAB5D" w14:textId="77777777" w:rsidR="00EC6F34" w:rsidRDefault="00EC6F34">
      <w:pPr>
        <w:rPr>
          <w:bCs/>
        </w:rPr>
      </w:pPr>
      <w:r>
        <w:rPr>
          <w:bCs/>
        </w:rPr>
        <w:br w:type="page"/>
      </w:r>
    </w:p>
    <w:p w14:paraId="023F88F1" w14:textId="44851605" w:rsidR="00140DA5" w:rsidRDefault="00140DA5" w:rsidP="00CB4941">
      <w:pPr>
        <w:jc w:val="center"/>
        <w:rPr>
          <w:bCs/>
        </w:rPr>
      </w:pPr>
      <w:r>
        <w:rPr>
          <w:bCs/>
        </w:rPr>
        <w:lastRenderedPageBreak/>
        <w:t>Appendix Figure A</w:t>
      </w:r>
      <w:r w:rsidR="003F5E1A">
        <w:rPr>
          <w:bCs/>
        </w:rPr>
        <w:t>6</w:t>
      </w:r>
      <w:r>
        <w:rPr>
          <w:bCs/>
        </w:rPr>
        <w:t xml:space="preserve"> (continued)</w:t>
      </w:r>
    </w:p>
    <w:p w14:paraId="589AE6F3" w14:textId="287E922D" w:rsidR="00140DA5" w:rsidRDefault="008A2CB9" w:rsidP="008A2CB9">
      <w:pPr>
        <w:rPr>
          <w:b/>
          <w:bCs/>
        </w:rPr>
      </w:pPr>
      <w:r w:rsidRPr="008A2CB9">
        <w:rPr>
          <w:noProof/>
        </w:rPr>
        <w:drawing>
          <wp:inline distT="0" distB="0" distL="0" distR="0" wp14:anchorId="0D3FB772" wp14:editId="606D5546">
            <wp:extent cx="3456432" cy="2514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8A2CB9">
        <w:rPr>
          <w:b/>
          <w:bCs/>
        </w:rPr>
        <w:t xml:space="preserve"> </w:t>
      </w:r>
      <w:r w:rsidRPr="008A2CB9">
        <w:rPr>
          <w:noProof/>
        </w:rPr>
        <w:drawing>
          <wp:inline distT="0" distB="0" distL="0" distR="0" wp14:anchorId="2A01F8C2" wp14:editId="4B00B79F">
            <wp:extent cx="3456432" cy="2514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p>
    <w:p w14:paraId="1A02E57E" w14:textId="01A9EA18" w:rsidR="008A2CB9" w:rsidRDefault="008A2CB9" w:rsidP="00CB4941">
      <w:pPr>
        <w:rPr>
          <w:b/>
          <w:bCs/>
        </w:rPr>
      </w:pPr>
      <w:r w:rsidRPr="008A2CB9">
        <w:rPr>
          <w:noProof/>
        </w:rPr>
        <w:drawing>
          <wp:inline distT="0" distB="0" distL="0" distR="0" wp14:anchorId="086F4183" wp14:editId="549B140E">
            <wp:extent cx="3456432" cy="2514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8A2CB9">
        <w:rPr>
          <w:b/>
          <w:bCs/>
        </w:rPr>
        <w:t xml:space="preserve"> </w:t>
      </w:r>
      <w:r w:rsidRPr="008A2CB9">
        <w:rPr>
          <w:noProof/>
        </w:rPr>
        <w:drawing>
          <wp:inline distT="0" distB="0" distL="0" distR="0" wp14:anchorId="69C7D315" wp14:editId="4FC25749">
            <wp:extent cx="3456432" cy="2514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p>
    <w:p w14:paraId="2F99FCC2" w14:textId="42EFD359" w:rsidR="00953941" w:rsidRDefault="00953941" w:rsidP="00815C8B">
      <w:pPr>
        <w:jc w:val="both"/>
        <w:rPr>
          <w:b/>
          <w:bCs/>
        </w:rPr>
      </w:pPr>
      <w:r w:rsidRPr="00381F87">
        <w:rPr>
          <w:sz w:val="20"/>
          <w:szCs w:val="20"/>
        </w:rPr>
        <w:t xml:space="preserve">In </w:t>
      </w:r>
      <w:r>
        <w:rPr>
          <w:sz w:val="20"/>
          <w:szCs w:val="20"/>
        </w:rPr>
        <w:t xml:space="preserve">each of these graphs, </w:t>
      </w:r>
      <w:r w:rsidRPr="00381F87">
        <w:rPr>
          <w:sz w:val="20"/>
          <w:szCs w:val="20"/>
        </w:rPr>
        <w:t xml:space="preserve">we report event-study estimates from equation (1) </w:t>
      </w:r>
      <w:r>
        <w:rPr>
          <w:sz w:val="20"/>
          <w:szCs w:val="20"/>
        </w:rPr>
        <w:t xml:space="preserve">for two sets of variables.  The black dots and lines represent the </w:t>
      </w:r>
      <w:r w:rsidRPr="00381F87">
        <w:rPr>
          <w:sz w:val="20"/>
          <w:szCs w:val="20"/>
        </w:rPr>
        <w:t>interaction</w:t>
      </w:r>
      <w:r>
        <w:rPr>
          <w:sz w:val="20"/>
          <w:szCs w:val="20"/>
        </w:rPr>
        <w:t>s</w:t>
      </w:r>
      <w:r w:rsidRPr="00381F87">
        <w:rPr>
          <w:sz w:val="20"/>
          <w:szCs w:val="20"/>
        </w:rPr>
        <w:t xml:space="preserve"> between a year dummy variable and the SSDI rate in 1990</w:t>
      </w:r>
      <w:r>
        <w:rPr>
          <w:sz w:val="20"/>
          <w:szCs w:val="20"/>
        </w:rPr>
        <w:t xml:space="preserve"> while the results in grey are the year interactions with the other 1990 county characteristics (</w:t>
      </w:r>
      <w:proofErr w:type="spellStart"/>
      <w:r>
        <w:rPr>
          <w:sz w:val="20"/>
          <w:szCs w:val="20"/>
        </w:rPr>
        <w:t>e.g</w:t>
      </w:r>
      <w:proofErr w:type="spellEnd"/>
      <w:r>
        <w:rPr>
          <w:sz w:val="20"/>
          <w:szCs w:val="20"/>
        </w:rPr>
        <w:t xml:space="preserve">, infant mortality in Panel A, etc.). In both sets of variables, 1995 is set as the reference year. </w:t>
      </w:r>
      <w:r w:rsidRPr="00381F87">
        <w:rPr>
          <w:sz w:val="20"/>
          <w:szCs w:val="20"/>
        </w:rPr>
        <w:t>Other controls include county and year effects, the fraction of people in the county that are 25-34, 35-44, 45-54, 55-64, 65-74, 75-84, and 85 and up (with 18-24 being the reference group), the fraction black and other race (with white being the reference group</w:t>
      </w:r>
      <w:r w:rsidR="00815C8B">
        <w:rPr>
          <w:sz w:val="20"/>
          <w:szCs w:val="20"/>
        </w:rPr>
        <w:t>)</w:t>
      </w:r>
      <w:r w:rsidRPr="00381F87">
        <w:rPr>
          <w:sz w:val="20"/>
          <w:szCs w:val="20"/>
        </w:rPr>
        <w:t xml:space="preserve">, and the fraction Hispanic.  The regressions are weighted by the adult population in the county/year and standard errors are clustered at the state level.  </w:t>
      </w:r>
    </w:p>
    <w:p w14:paraId="261B2A10" w14:textId="77777777" w:rsidR="00140DA5" w:rsidRDefault="00140DA5" w:rsidP="00140DA5">
      <w:pPr>
        <w:jc w:val="center"/>
        <w:sectPr w:rsidR="00140DA5" w:rsidSect="009F4365">
          <w:pgSz w:w="15840" w:h="12240" w:orient="landscape"/>
          <w:pgMar w:top="1296" w:right="1296" w:bottom="1296" w:left="1296" w:header="720" w:footer="720" w:gutter="0"/>
          <w:cols w:space="720"/>
          <w:docGrid w:linePitch="360"/>
        </w:sectPr>
      </w:pPr>
    </w:p>
    <w:p w14:paraId="7B29683F" w14:textId="6AAE6388" w:rsidR="00140DA5" w:rsidRDefault="00140DA5" w:rsidP="00140DA5">
      <w:pPr>
        <w:jc w:val="center"/>
      </w:pPr>
      <w:r>
        <w:lastRenderedPageBreak/>
        <w:t>Appendix Figure A</w:t>
      </w:r>
      <w:r w:rsidR="003F5E1A">
        <w:t>7</w:t>
      </w:r>
    </w:p>
    <w:p w14:paraId="7E91412E" w14:textId="77777777" w:rsidR="00140DA5" w:rsidRDefault="00140DA5" w:rsidP="00140DA5">
      <w:pPr>
        <w:jc w:val="center"/>
      </w:pPr>
      <w:r>
        <w:t>Fraction of Patients Presenting with a Chronic or Acute Pain Condition Receiving an</w:t>
      </w:r>
    </w:p>
    <w:p w14:paraId="257E6B23" w14:textId="293A56E9" w:rsidR="00140DA5" w:rsidRDefault="00140DA5" w:rsidP="00140DA5">
      <w:pPr>
        <w:jc w:val="center"/>
      </w:pPr>
      <w:r>
        <w:t xml:space="preserve">Opioid Prescription Using Different Number of Prescriptions, Adults 18-64, </w:t>
      </w:r>
      <w:r w:rsidR="00B30081">
        <w:t xml:space="preserve">1980-2015 </w:t>
      </w:r>
      <w:r>
        <w:t>NAMCS Data</w:t>
      </w:r>
    </w:p>
    <w:p w14:paraId="7DE0E711" w14:textId="77777777" w:rsidR="00140DA5" w:rsidRDefault="00140DA5" w:rsidP="00140DA5">
      <w:pPr>
        <w:jc w:val="center"/>
      </w:pPr>
      <w:r w:rsidRPr="00E81C7A">
        <w:rPr>
          <w:noProof/>
        </w:rPr>
        <w:drawing>
          <wp:inline distT="0" distB="0" distL="0" distR="0" wp14:anchorId="67911206" wp14:editId="436D6E6F">
            <wp:extent cx="4718304" cy="34290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8304" cy="3429000"/>
                    </a:xfrm>
                    <a:prstGeom prst="rect">
                      <a:avLst/>
                    </a:prstGeom>
                    <a:noFill/>
                    <a:ln>
                      <a:noFill/>
                    </a:ln>
                  </pic:spPr>
                </pic:pic>
              </a:graphicData>
            </a:graphic>
          </wp:inline>
        </w:drawing>
      </w:r>
    </w:p>
    <w:p w14:paraId="380D70B6" w14:textId="77777777" w:rsidR="00140DA5" w:rsidRDefault="00140DA5" w:rsidP="00140DA5">
      <w:pPr>
        <w:jc w:val="center"/>
      </w:pPr>
      <w:r w:rsidRPr="00E81C7A">
        <w:rPr>
          <w:noProof/>
        </w:rPr>
        <w:drawing>
          <wp:inline distT="0" distB="0" distL="0" distR="0" wp14:anchorId="583274A2" wp14:editId="22B162AA">
            <wp:extent cx="4718304" cy="34290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8304" cy="3429000"/>
                    </a:xfrm>
                    <a:prstGeom prst="rect">
                      <a:avLst/>
                    </a:prstGeom>
                    <a:noFill/>
                    <a:ln>
                      <a:noFill/>
                    </a:ln>
                  </pic:spPr>
                </pic:pic>
              </a:graphicData>
            </a:graphic>
          </wp:inline>
        </w:drawing>
      </w:r>
    </w:p>
    <w:p w14:paraId="1BAC4A62" w14:textId="11AC8BAF" w:rsidR="00140DA5" w:rsidRPr="00815C8B" w:rsidRDefault="009976AC" w:rsidP="00815C8B">
      <w:pPr>
        <w:rPr>
          <w:sz w:val="20"/>
          <w:szCs w:val="20"/>
        </w:rPr>
        <w:sectPr w:rsidR="00140DA5" w:rsidRPr="00815C8B" w:rsidSect="008C1344">
          <w:pgSz w:w="12240" w:h="15840"/>
          <w:pgMar w:top="1296" w:right="1296" w:bottom="1296" w:left="1296" w:header="720" w:footer="720" w:gutter="0"/>
          <w:cols w:space="720"/>
          <w:docGrid w:linePitch="360"/>
        </w:sectPr>
      </w:pPr>
      <w:r w:rsidRPr="00F929C7">
        <w:rPr>
          <w:sz w:val="20"/>
          <w:szCs w:val="20"/>
        </w:rPr>
        <w:t>Notes:  These graphs use data from the 1979-2015 NAMCS.  The lines represent the fraction of the patients that received a prescription for an opioid at that visit</w:t>
      </w:r>
      <w:r w:rsidR="00815C8B">
        <w:rPr>
          <w:sz w:val="20"/>
          <w:szCs w:val="20"/>
        </w:rPr>
        <w:t xml:space="preserve"> where we use either the first five prescriptions listed, the </w:t>
      </w:r>
      <w:proofErr w:type="gramStart"/>
      <w:r w:rsidR="00815C8B">
        <w:rPr>
          <w:sz w:val="20"/>
          <w:szCs w:val="20"/>
        </w:rPr>
        <w:t>first  five</w:t>
      </w:r>
      <w:proofErr w:type="gramEnd"/>
      <w:r w:rsidR="00815C8B">
        <w:rPr>
          <w:sz w:val="20"/>
          <w:szCs w:val="20"/>
        </w:rPr>
        <w:t xml:space="preserve"> prescriptions in years with only five available lines for prescriptions or the first six in years where there are six available lines, or using all listed prescriptions with no adjustments for different potential numbers of prescriptions in different years due to survey design.</w:t>
      </w:r>
    </w:p>
    <w:p w14:paraId="3BAE4C32" w14:textId="44CDA279" w:rsidR="00140DA5" w:rsidRDefault="00140DA5" w:rsidP="00140DA5">
      <w:pPr>
        <w:jc w:val="center"/>
      </w:pPr>
      <w:r>
        <w:lastRenderedPageBreak/>
        <w:t>Appendix Figure A</w:t>
      </w:r>
      <w:r w:rsidR="003F5E1A">
        <w:t>8</w:t>
      </w:r>
    </w:p>
    <w:p w14:paraId="28ADF5A7" w14:textId="77777777" w:rsidR="00140DA5" w:rsidRDefault="00140DA5" w:rsidP="00140DA5">
      <w:pPr>
        <w:jc w:val="center"/>
        <w:rPr>
          <w:b/>
          <w:bCs/>
        </w:rPr>
      </w:pPr>
      <w:r>
        <w:t>Raw Difference in Outcomes from NAMCS Data using 1980 as The Base Year, and Regression-Adjusted Differences Controlling for Age</w:t>
      </w:r>
    </w:p>
    <w:p w14:paraId="407BD667" w14:textId="77777777" w:rsidR="00140DA5" w:rsidRDefault="00140DA5" w:rsidP="00140DA5">
      <w:pPr>
        <w:jc w:val="center"/>
        <w:rPr>
          <w:b/>
          <w:bCs/>
        </w:rPr>
      </w:pPr>
      <w:r>
        <w:rPr>
          <w:b/>
          <w:bCs/>
        </w:rPr>
        <w:t xml:space="preserve">  </w:t>
      </w:r>
      <w:r w:rsidRPr="000B75D6">
        <w:rPr>
          <w:noProof/>
        </w:rPr>
        <w:drawing>
          <wp:inline distT="0" distB="0" distL="0" distR="0" wp14:anchorId="0A22D83F" wp14:editId="2BE6CBC8">
            <wp:extent cx="3456432" cy="2514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0B75D6">
        <w:rPr>
          <w:noProof/>
        </w:rPr>
        <w:drawing>
          <wp:inline distT="0" distB="0" distL="0" distR="0" wp14:anchorId="126E2C2B" wp14:editId="50248655">
            <wp:extent cx="3465576" cy="251460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65576" cy="2514600"/>
                    </a:xfrm>
                    <a:prstGeom prst="rect">
                      <a:avLst/>
                    </a:prstGeom>
                    <a:noFill/>
                    <a:ln>
                      <a:noFill/>
                    </a:ln>
                  </pic:spPr>
                </pic:pic>
              </a:graphicData>
            </a:graphic>
          </wp:inline>
        </w:drawing>
      </w:r>
      <w:r w:rsidRPr="000B75D6">
        <w:rPr>
          <w:noProof/>
        </w:rPr>
        <w:drawing>
          <wp:inline distT="0" distB="0" distL="0" distR="0" wp14:anchorId="6B011371" wp14:editId="24423A15">
            <wp:extent cx="3456432" cy="2514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r w:rsidRPr="000B75D6">
        <w:rPr>
          <w:noProof/>
        </w:rPr>
        <w:drawing>
          <wp:inline distT="0" distB="0" distL="0" distR="0" wp14:anchorId="60ABA03D" wp14:editId="1BBAEAE2">
            <wp:extent cx="3456432" cy="2514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56432" cy="2514600"/>
                    </a:xfrm>
                    <a:prstGeom prst="rect">
                      <a:avLst/>
                    </a:prstGeom>
                    <a:noFill/>
                    <a:ln>
                      <a:noFill/>
                    </a:ln>
                  </pic:spPr>
                </pic:pic>
              </a:graphicData>
            </a:graphic>
          </wp:inline>
        </w:drawing>
      </w:r>
    </w:p>
    <w:p w14:paraId="34B5D931" w14:textId="2C1B3C6C" w:rsidR="00D62999" w:rsidRPr="00014678" w:rsidRDefault="00F04E82" w:rsidP="00014678">
      <w:pPr>
        <w:rPr>
          <w:sz w:val="20"/>
          <w:szCs w:val="20"/>
        </w:rPr>
        <w:sectPr w:rsidR="00D62999" w:rsidRPr="00014678" w:rsidSect="008C1344">
          <w:pgSz w:w="15840" w:h="12240" w:orient="landscape"/>
          <w:pgMar w:top="1296" w:right="1296" w:bottom="1296" w:left="1296" w:header="720" w:footer="720" w:gutter="0"/>
          <w:cols w:space="720"/>
          <w:docGrid w:linePitch="360"/>
        </w:sectPr>
      </w:pPr>
      <w:r w:rsidRPr="00014678">
        <w:rPr>
          <w:sz w:val="20"/>
          <w:szCs w:val="20"/>
        </w:rPr>
        <w:t>Notes:</w:t>
      </w:r>
      <w:r w:rsidRPr="00014678">
        <w:rPr>
          <w:b/>
          <w:bCs/>
          <w:sz w:val="20"/>
          <w:szCs w:val="20"/>
        </w:rPr>
        <w:t xml:space="preserve">  </w:t>
      </w:r>
      <w:r w:rsidRPr="00014678">
        <w:rPr>
          <w:sz w:val="20"/>
          <w:szCs w:val="20"/>
        </w:rPr>
        <w:t xml:space="preserve"> In each panel, we report </w:t>
      </w:r>
      <w:r w:rsidR="00805336" w:rsidRPr="00014678">
        <w:rPr>
          <w:sz w:val="20"/>
          <w:szCs w:val="20"/>
        </w:rPr>
        <w:t xml:space="preserve">two regressions.  The black lines are the parameter estimates and the 95 percent confidence intervals of regression of the outcome (e.g., the respondent has a condition likely to produce chronic pain) on a set of year dummy variables with 1979 being the reference year.  The grey lines are the same variables from a regression where we include a full set of age variables.  </w:t>
      </w:r>
    </w:p>
    <w:p w14:paraId="3F59F841" w14:textId="7504473A" w:rsidR="00140DA5" w:rsidRPr="00A4274E" w:rsidRDefault="00140DA5" w:rsidP="00140DA5">
      <w:pPr>
        <w:ind w:right="288"/>
        <w:rPr>
          <w:rFonts w:eastAsia="Times New Roman" w:cs="Times New Roman"/>
        </w:rPr>
      </w:pPr>
      <w:r w:rsidRPr="00A4274E">
        <w:rPr>
          <w:rFonts w:eastAsia="Times New Roman" w:cs="Times New Roman"/>
          <w:b/>
          <w:bCs/>
          <w:color w:val="000000"/>
        </w:rPr>
        <w:lastRenderedPageBreak/>
        <w:t xml:space="preserve">Appendix </w:t>
      </w:r>
      <w:r>
        <w:rPr>
          <w:rFonts w:eastAsia="Times New Roman" w:cs="Times New Roman"/>
          <w:b/>
          <w:bCs/>
          <w:color w:val="000000"/>
        </w:rPr>
        <w:t>B:</w:t>
      </w:r>
      <w:r>
        <w:rPr>
          <w:rFonts w:eastAsia="Times New Roman" w:cs="Times New Roman"/>
          <w:b/>
          <w:bCs/>
          <w:color w:val="000000"/>
        </w:rPr>
        <w:tab/>
        <w:t>The Multiple Cause of Death Data</w:t>
      </w:r>
    </w:p>
    <w:p w14:paraId="7995AC14" w14:textId="77777777" w:rsidR="00140DA5" w:rsidRPr="00A4274E" w:rsidRDefault="00140DA5" w:rsidP="00140DA5">
      <w:pPr>
        <w:rPr>
          <w:rFonts w:eastAsia="Times New Roman" w:cs="Times New Roman"/>
        </w:rPr>
      </w:pPr>
    </w:p>
    <w:p w14:paraId="7DF76CA1" w14:textId="4BFCD325" w:rsidR="00140DA5" w:rsidRPr="00F22F2B" w:rsidRDefault="00140DA5" w:rsidP="00140DA5">
      <w:pPr>
        <w:ind w:firstLine="720"/>
        <w:rPr>
          <w:rFonts w:eastAsia="Times New Roman" w:cs="Times New Roman"/>
          <w:color w:val="000000"/>
        </w:rPr>
      </w:pPr>
      <w:r w:rsidRPr="00A4274E">
        <w:rPr>
          <w:rFonts w:eastAsia="Times New Roman" w:cs="Times New Roman"/>
          <w:color w:val="000000"/>
        </w:rPr>
        <w:t xml:space="preserve">We obtained access to the restricted-use version of the MCOD files </w:t>
      </w:r>
      <w:r>
        <w:rPr>
          <w:rFonts w:eastAsia="Times New Roman" w:cs="Times New Roman"/>
          <w:color w:val="000000"/>
        </w:rPr>
        <w:t xml:space="preserve">that </w:t>
      </w:r>
      <w:r w:rsidRPr="00F22F2B">
        <w:rPr>
          <w:rFonts w:eastAsia="Times New Roman" w:cs="Times New Roman"/>
          <w:color w:val="000000"/>
        </w:rPr>
        <w:t>identif</w:t>
      </w:r>
      <w:r>
        <w:rPr>
          <w:rFonts w:eastAsia="Times New Roman" w:cs="Times New Roman"/>
          <w:color w:val="000000"/>
        </w:rPr>
        <w:t>y</w:t>
      </w:r>
      <w:r w:rsidRPr="00F22F2B">
        <w:rPr>
          <w:rFonts w:eastAsia="Times New Roman" w:cs="Times New Roman"/>
          <w:color w:val="000000"/>
        </w:rPr>
        <w:t xml:space="preserve"> the county of residence of the deceased.</w:t>
      </w:r>
      <w:r>
        <w:rPr>
          <w:rFonts w:eastAsia="Times New Roman" w:cs="Times New Roman"/>
          <w:color w:val="000000"/>
        </w:rPr>
        <w:t xml:space="preserve"> We start our analysis in 1983 for two reasons. Although </w:t>
      </w:r>
      <w:r w:rsidRPr="00A4274E">
        <w:rPr>
          <w:rFonts w:eastAsia="Times New Roman" w:cs="Times New Roman"/>
          <w:color w:val="000000"/>
        </w:rPr>
        <w:t>publicly</w:t>
      </w:r>
      <w:r w:rsidRPr="00F22F2B">
        <w:rPr>
          <w:rFonts w:eastAsia="Times New Roman" w:cs="Times New Roman"/>
          <w:color w:val="000000"/>
        </w:rPr>
        <w:t>-</w:t>
      </w:r>
      <w:r w:rsidRPr="00A4274E">
        <w:rPr>
          <w:rFonts w:eastAsia="Times New Roman" w:cs="Times New Roman"/>
          <w:color w:val="000000"/>
        </w:rPr>
        <w:t xml:space="preserve">available versions of the MCOD files </w:t>
      </w:r>
      <w:r>
        <w:rPr>
          <w:rFonts w:eastAsia="Times New Roman" w:cs="Times New Roman"/>
          <w:color w:val="000000"/>
        </w:rPr>
        <w:t xml:space="preserve">identify counties in 1982 and before, </w:t>
      </w:r>
      <w:r w:rsidRPr="00F22F2B">
        <w:rPr>
          <w:rFonts w:eastAsia="Times New Roman" w:cs="Times New Roman"/>
          <w:color w:val="000000"/>
        </w:rPr>
        <w:t>county FIPS codes were not used until 1982.</w:t>
      </w:r>
      <w:r>
        <w:rPr>
          <w:rFonts w:eastAsia="Times New Roman" w:cs="Times New Roman"/>
          <w:color w:val="000000"/>
        </w:rPr>
        <w:t xml:space="preserve"> </w:t>
      </w:r>
      <w:r w:rsidRPr="00F22F2B">
        <w:rPr>
          <w:rFonts w:eastAsia="Times New Roman" w:cs="Times New Roman"/>
          <w:color w:val="000000"/>
        </w:rPr>
        <w:t>Prior to the</w:t>
      </w:r>
      <w:r>
        <w:rPr>
          <w:rFonts w:eastAsia="Times New Roman" w:cs="Times New Roman"/>
          <w:color w:val="000000"/>
        </w:rPr>
        <w:t>n</w:t>
      </w:r>
      <w:r w:rsidRPr="00F22F2B">
        <w:rPr>
          <w:rFonts w:eastAsia="Times New Roman" w:cs="Times New Roman"/>
          <w:color w:val="000000"/>
        </w:rPr>
        <w:t>, the data used an NCHS county code.</w:t>
      </w:r>
      <w:r>
        <w:rPr>
          <w:rFonts w:eastAsia="Times New Roman" w:cs="Times New Roman"/>
          <w:color w:val="000000"/>
        </w:rPr>
        <w:t xml:space="preserve"> </w:t>
      </w:r>
      <w:r w:rsidRPr="00F22F2B">
        <w:rPr>
          <w:rFonts w:eastAsia="Times New Roman" w:cs="Times New Roman"/>
          <w:color w:val="000000"/>
        </w:rPr>
        <w:t>One problem with the NCHS code is that they treat all five counties that make up New York City as one county (Bronx, Kind, Queen, Manhattan and Richmond).</w:t>
      </w:r>
      <w:r>
        <w:rPr>
          <w:rFonts w:eastAsia="Times New Roman" w:cs="Times New Roman"/>
          <w:color w:val="000000"/>
        </w:rPr>
        <w:t xml:space="preserve"> We do not use 1982 because in that year, there was a 50 percent sample for 19 states, instead of a full 100 percent sample for all states as in other years. </w:t>
      </w:r>
      <w:r w:rsidRPr="00F22F2B">
        <w:rPr>
          <w:rFonts w:eastAsia="Times New Roman" w:cs="Times New Roman"/>
          <w:color w:val="000000"/>
        </w:rPr>
        <w:t>We end our analysis in 2015 as fentanyl starts to dominate drug deaths around that time.</w:t>
      </w:r>
      <w:r>
        <w:rPr>
          <w:rFonts w:eastAsia="Times New Roman" w:cs="Times New Roman"/>
          <w:color w:val="000000"/>
        </w:rPr>
        <w:t xml:space="preserve"> </w:t>
      </w:r>
      <w:r w:rsidRPr="00F22F2B">
        <w:rPr>
          <w:rFonts w:eastAsia="Times New Roman" w:cs="Times New Roman"/>
          <w:color w:val="000000"/>
        </w:rPr>
        <w:t>Between 2010 and 2020, the fraction of drug deaths that were identified as caused by a synthetic opioid went from 8.2 to 62.5%.</w:t>
      </w:r>
      <w:r>
        <w:rPr>
          <w:rFonts w:eastAsia="Times New Roman" w:cs="Times New Roman"/>
          <w:color w:val="000000"/>
        </w:rPr>
        <w:t xml:space="preserve"> </w:t>
      </w:r>
      <w:r w:rsidRPr="00F22F2B">
        <w:rPr>
          <w:rFonts w:eastAsia="Times New Roman" w:cs="Times New Roman"/>
          <w:color w:val="000000"/>
        </w:rPr>
        <w:t>Between 2015 and 2016 alone, deaths involving a synthetic opioid death rose from 9,803 to 19,720.</w:t>
      </w:r>
      <w:r>
        <w:rPr>
          <w:rFonts w:eastAsia="Times New Roman" w:cs="Times New Roman"/>
          <w:color w:val="000000"/>
        </w:rPr>
        <w:t xml:space="preserve"> </w:t>
      </w:r>
    </w:p>
    <w:p w14:paraId="180F55F3" w14:textId="6A23F6CB" w:rsidR="00140DA5" w:rsidRDefault="00140DA5" w:rsidP="00140DA5">
      <w:pPr>
        <w:ind w:firstLine="720"/>
        <w:rPr>
          <w:rFonts w:eastAsia="Times New Roman" w:cs="Times New Roman"/>
          <w:color w:val="000000"/>
        </w:rPr>
      </w:pPr>
      <w:r w:rsidRPr="00F22F2B">
        <w:rPr>
          <w:rFonts w:eastAsia="Times New Roman" w:cs="Times New Roman"/>
          <w:color w:val="000000"/>
        </w:rPr>
        <w:t>T</w:t>
      </w:r>
      <w:r w:rsidRPr="00A4274E">
        <w:rPr>
          <w:rFonts w:eastAsia="Times New Roman" w:cs="Times New Roman"/>
          <w:color w:val="000000"/>
        </w:rPr>
        <w:t xml:space="preserve">he MCOD data uses cause of death codes from </w:t>
      </w:r>
      <w:r w:rsidRPr="00F22F2B">
        <w:rPr>
          <w:rFonts w:eastAsia="Times New Roman" w:cs="Times New Roman"/>
          <w:color w:val="000000"/>
        </w:rPr>
        <w:t>two</w:t>
      </w:r>
      <w:r w:rsidRPr="00A4274E">
        <w:rPr>
          <w:rFonts w:eastAsia="Times New Roman" w:cs="Times New Roman"/>
          <w:color w:val="000000"/>
        </w:rPr>
        <w:t xml:space="preserve"> different versions of the International Classifications of Diseases:</w:t>
      </w:r>
      <w:r>
        <w:rPr>
          <w:rFonts w:eastAsia="Times New Roman" w:cs="Times New Roman"/>
          <w:color w:val="000000"/>
        </w:rPr>
        <w:t xml:space="preserve"> </w:t>
      </w:r>
      <w:r w:rsidRPr="00A4274E">
        <w:rPr>
          <w:rFonts w:eastAsia="Times New Roman" w:cs="Times New Roman"/>
          <w:color w:val="000000"/>
        </w:rPr>
        <w:t>ICD-9 (1978-1998) and ICD-10 (1999-2015).</w:t>
      </w:r>
      <w:r>
        <w:rPr>
          <w:rFonts w:eastAsia="Times New Roman" w:cs="Times New Roman"/>
          <w:color w:val="000000"/>
        </w:rPr>
        <w:t xml:space="preserve"> </w:t>
      </w:r>
      <w:r w:rsidRPr="00A4274E">
        <w:rPr>
          <w:rFonts w:eastAsia="Times New Roman" w:cs="Times New Roman"/>
          <w:color w:val="000000"/>
        </w:rPr>
        <w:t xml:space="preserve">Identifying drug overdoses in </w:t>
      </w:r>
      <w:r w:rsidRPr="00F22F2B">
        <w:rPr>
          <w:rFonts w:eastAsia="Times New Roman" w:cs="Times New Roman"/>
          <w:color w:val="000000"/>
        </w:rPr>
        <w:t xml:space="preserve">both </w:t>
      </w:r>
      <w:r w:rsidRPr="00A4274E">
        <w:rPr>
          <w:rFonts w:eastAsia="Times New Roman" w:cs="Times New Roman"/>
          <w:color w:val="000000"/>
        </w:rPr>
        <w:t xml:space="preserve">versions of the ICD system is relatively straightforward. In each year, there are three sets of codes that identify unintentional poisoning deaths, intentional poisonings (e.g., suicides), and drug poisoning of unknown intent. These codes vary by the class of drug. ICD </w:t>
      </w:r>
      <w:r>
        <w:rPr>
          <w:rFonts w:eastAsia="Times New Roman" w:cs="Times New Roman"/>
          <w:color w:val="000000"/>
        </w:rPr>
        <w:t xml:space="preserve">9 </w:t>
      </w:r>
      <w:r w:rsidRPr="00A4274E">
        <w:rPr>
          <w:rFonts w:eastAsia="Times New Roman" w:cs="Times New Roman"/>
          <w:color w:val="000000"/>
        </w:rPr>
        <w:t xml:space="preserve">has </w:t>
      </w:r>
      <w:r w:rsidRPr="00F22F2B">
        <w:rPr>
          <w:rFonts w:eastAsia="Times New Roman" w:cs="Times New Roman"/>
          <w:color w:val="000000"/>
        </w:rPr>
        <w:t>some</w:t>
      </w:r>
      <w:r w:rsidRPr="00A4274E">
        <w:rPr>
          <w:rFonts w:eastAsia="Times New Roman" w:cs="Times New Roman"/>
          <w:color w:val="000000"/>
        </w:rPr>
        <w:t xml:space="preserve"> additional code</w:t>
      </w:r>
      <w:r>
        <w:rPr>
          <w:rFonts w:eastAsia="Times New Roman" w:cs="Times New Roman"/>
          <w:color w:val="000000"/>
        </w:rPr>
        <w:t>s</w:t>
      </w:r>
      <w:r w:rsidRPr="00A4274E">
        <w:rPr>
          <w:rFonts w:eastAsia="Times New Roman" w:cs="Times New Roman"/>
          <w:color w:val="000000"/>
        </w:rPr>
        <w:t xml:space="preserve"> under mental health</w:t>
      </w:r>
      <w:r w:rsidRPr="00F22F2B">
        <w:rPr>
          <w:rFonts w:eastAsia="Times New Roman" w:cs="Times New Roman"/>
          <w:color w:val="000000"/>
        </w:rPr>
        <w:t xml:space="preserve">: </w:t>
      </w:r>
      <w:r>
        <w:rPr>
          <w:rFonts w:eastAsia="Times New Roman" w:cs="Times New Roman"/>
          <w:color w:val="000000"/>
        </w:rPr>
        <w:t xml:space="preserve">drug </w:t>
      </w:r>
      <w:r w:rsidRPr="00F22F2B">
        <w:rPr>
          <w:rFonts w:eastAsia="Times New Roman" w:cs="Times New Roman"/>
          <w:color w:val="000000"/>
        </w:rPr>
        <w:t>psychoses (292) and drug dependence (304).</w:t>
      </w:r>
      <w:r>
        <w:rPr>
          <w:rFonts w:eastAsia="Times New Roman" w:cs="Times New Roman"/>
          <w:color w:val="000000"/>
        </w:rPr>
        <w:t xml:space="preserve"> </w:t>
      </w:r>
      <w:r w:rsidRPr="00A4274E">
        <w:rPr>
          <w:rFonts w:eastAsia="Times New Roman" w:cs="Times New Roman"/>
          <w:color w:val="000000"/>
        </w:rPr>
        <w:t>T</w:t>
      </w:r>
      <w:r w:rsidRPr="00F22F2B">
        <w:rPr>
          <w:rFonts w:eastAsia="Times New Roman" w:cs="Times New Roman"/>
          <w:color w:val="000000"/>
        </w:rPr>
        <w:t>hese</w:t>
      </w:r>
      <w:r w:rsidRPr="00A4274E">
        <w:rPr>
          <w:rFonts w:eastAsia="Times New Roman" w:cs="Times New Roman"/>
          <w:color w:val="000000"/>
        </w:rPr>
        <w:t xml:space="preserve"> code</w:t>
      </w:r>
      <w:r w:rsidRPr="00F22F2B">
        <w:rPr>
          <w:rFonts w:eastAsia="Times New Roman" w:cs="Times New Roman"/>
          <w:color w:val="000000"/>
        </w:rPr>
        <w:t>s</w:t>
      </w:r>
      <w:r w:rsidRPr="00A4274E">
        <w:rPr>
          <w:rFonts w:eastAsia="Times New Roman" w:cs="Times New Roman"/>
          <w:color w:val="000000"/>
        </w:rPr>
        <w:t xml:space="preserve"> w</w:t>
      </w:r>
      <w:r w:rsidRPr="00F22F2B">
        <w:rPr>
          <w:rFonts w:eastAsia="Times New Roman" w:cs="Times New Roman"/>
          <w:color w:val="000000"/>
        </w:rPr>
        <w:t>ere</w:t>
      </w:r>
      <w:r w:rsidRPr="00A4274E">
        <w:rPr>
          <w:rFonts w:eastAsia="Times New Roman" w:cs="Times New Roman"/>
          <w:color w:val="000000"/>
        </w:rPr>
        <w:t xml:space="preserve"> dropped in subsequent versions. In the ICD 9 system, code E962</w:t>
      </w:r>
      <w:r>
        <w:rPr>
          <w:rFonts w:eastAsia="Times New Roman" w:cs="Times New Roman"/>
          <w:color w:val="000000"/>
        </w:rPr>
        <w:t>.0</w:t>
      </w:r>
      <w:r w:rsidRPr="00A4274E">
        <w:rPr>
          <w:rFonts w:eastAsia="Times New Roman" w:cs="Times New Roman"/>
          <w:color w:val="000000"/>
        </w:rPr>
        <w:t xml:space="preserve"> measures death from homicide due to drug poisonings. That code under the ICD 10 classification is X85. We list these codes in Table</w:t>
      </w:r>
      <w:r>
        <w:rPr>
          <w:rFonts w:eastAsia="Times New Roman" w:cs="Times New Roman"/>
          <w:color w:val="000000"/>
        </w:rPr>
        <w:t xml:space="preserve"> </w:t>
      </w:r>
      <w:r w:rsidR="00B44735">
        <w:rPr>
          <w:rFonts w:eastAsia="Times New Roman" w:cs="Times New Roman"/>
          <w:color w:val="000000"/>
        </w:rPr>
        <w:t>B</w:t>
      </w:r>
      <w:r>
        <w:rPr>
          <w:rFonts w:eastAsia="Times New Roman" w:cs="Times New Roman"/>
          <w:color w:val="000000"/>
        </w:rPr>
        <w:t>1</w:t>
      </w:r>
      <w:r w:rsidRPr="00A4274E">
        <w:rPr>
          <w:rFonts w:eastAsia="Times New Roman" w:cs="Times New Roman"/>
          <w:color w:val="000000"/>
        </w:rPr>
        <w:t xml:space="preserve"> </w:t>
      </w:r>
      <w:r>
        <w:rPr>
          <w:rFonts w:eastAsia="Times New Roman" w:cs="Times New Roman"/>
          <w:color w:val="000000"/>
        </w:rPr>
        <w:t>b</w:t>
      </w:r>
      <w:r w:rsidRPr="00A4274E">
        <w:rPr>
          <w:rFonts w:eastAsia="Times New Roman" w:cs="Times New Roman"/>
          <w:color w:val="000000"/>
        </w:rPr>
        <w:t>elow.</w:t>
      </w:r>
      <w:r>
        <w:rPr>
          <w:rFonts w:eastAsia="Times New Roman" w:cs="Times New Roman"/>
          <w:color w:val="000000"/>
        </w:rPr>
        <w:t xml:space="preserve"> </w:t>
      </w:r>
    </w:p>
    <w:p w14:paraId="1F610FB0" w14:textId="53B13AA1" w:rsidR="00140DA5" w:rsidRDefault="00140DA5" w:rsidP="00140DA5">
      <w:pPr>
        <w:ind w:firstLine="720"/>
        <w:rPr>
          <w:rFonts w:eastAsia="Times New Roman" w:cs="Times New Roman"/>
        </w:rPr>
      </w:pPr>
      <w:r>
        <w:rPr>
          <w:rFonts w:eastAsia="Times New Roman" w:cs="Times New Roman"/>
        </w:rPr>
        <w:t>For alcohol deaths, we use a broader classification than just liver cirrhosis and mostly use the codes suggested by Unites States Congress (2019) with some exceptions.</w:t>
      </w:r>
      <w:r>
        <w:rPr>
          <w:rStyle w:val="FootnoteReference"/>
          <w:rFonts w:eastAsia="Times New Roman" w:cs="Times New Roman"/>
        </w:rPr>
        <w:footnoteReference w:id="1"/>
      </w:r>
      <w:r>
        <w:rPr>
          <w:rFonts w:eastAsia="Times New Roman" w:cs="Times New Roman"/>
        </w:rPr>
        <w:t xml:space="preserve"> We also construct a death rate for non-drug suicides. We include suicide by alcohol poisoning (X65) in both the alcohol and non-drug suicide groups. The codes for these categories are in the final two columns of Table </w:t>
      </w:r>
      <w:r w:rsidR="00B44735">
        <w:rPr>
          <w:rFonts w:eastAsia="Times New Roman" w:cs="Times New Roman"/>
        </w:rPr>
        <w:t>B</w:t>
      </w:r>
      <w:r>
        <w:rPr>
          <w:rFonts w:eastAsia="Times New Roman" w:cs="Times New Roman"/>
        </w:rPr>
        <w:t xml:space="preserve">1. </w:t>
      </w:r>
    </w:p>
    <w:p w14:paraId="69A3A68E" w14:textId="77777777" w:rsidR="00140DA5" w:rsidRPr="00A4274E" w:rsidRDefault="00140DA5" w:rsidP="00140DA5">
      <w:pPr>
        <w:rPr>
          <w:rFonts w:eastAsia="Times New Roman" w:cs="Times New Roman"/>
        </w:rPr>
      </w:pPr>
      <w:r w:rsidRPr="00A4274E">
        <w:rPr>
          <w:rFonts w:eastAsia="Times New Roman" w:cs="Times New Roman"/>
          <w:color w:val="000000"/>
        </w:rPr>
        <w:tab/>
        <w:t>Identifying opioid deaths is relatively easy in ICD 10 as there are codes that identify conditions present at death to indicate specific drugs. These include T40.1 (heroin), T40.2 (other opioids) T40.3 (methadone), and T40.4 (synthetic opioids).</w:t>
      </w:r>
      <w:r>
        <w:rPr>
          <w:rFonts w:eastAsia="Times New Roman" w:cs="Times New Roman"/>
          <w:color w:val="000000"/>
        </w:rPr>
        <w:t xml:space="preserve"> </w:t>
      </w:r>
      <w:r w:rsidRPr="00A4274E">
        <w:rPr>
          <w:rFonts w:eastAsia="Times New Roman" w:cs="Times New Roman"/>
          <w:color w:val="000000"/>
        </w:rPr>
        <w:t xml:space="preserve"> Like Alpert et al. (2022), we also include T40.6 (other and unspecified narcotics) as well. There are similar codes in the ICD 9 classifications:</w:t>
      </w:r>
      <w:r>
        <w:rPr>
          <w:rFonts w:eastAsia="Times New Roman" w:cs="Times New Roman"/>
          <w:color w:val="000000"/>
        </w:rPr>
        <w:t xml:space="preserve"> </w:t>
      </w:r>
      <w:r w:rsidRPr="00A4274E">
        <w:rPr>
          <w:rFonts w:eastAsia="Times New Roman" w:cs="Times New Roman"/>
          <w:color w:val="000000"/>
        </w:rPr>
        <w:t xml:space="preserve">965.0 (opiates and related narcotics), 965.1 (heroin), 965.2 (methadone), 965.9 (other opiates and related narcotics). </w:t>
      </w:r>
    </w:p>
    <w:p w14:paraId="46398AB3" w14:textId="77777777" w:rsidR="00140DA5" w:rsidRPr="00A4274E" w:rsidRDefault="00140DA5" w:rsidP="00140DA5">
      <w:pPr>
        <w:rPr>
          <w:rFonts w:eastAsia="Times New Roman" w:cs="Times New Roman"/>
        </w:rPr>
      </w:pPr>
      <w:r w:rsidRPr="00A4274E">
        <w:rPr>
          <w:rFonts w:eastAsia="Times New Roman" w:cs="Times New Roman"/>
          <w:color w:val="000000"/>
        </w:rPr>
        <w:tab/>
        <w:t>The problem we found is that in many cases during the ICD</w:t>
      </w:r>
      <w:r w:rsidRPr="00F22F2B">
        <w:rPr>
          <w:rFonts w:eastAsia="Times New Roman" w:cs="Times New Roman"/>
          <w:color w:val="000000"/>
        </w:rPr>
        <w:t xml:space="preserve"> </w:t>
      </w:r>
      <w:r w:rsidRPr="00A4274E">
        <w:rPr>
          <w:rFonts w:eastAsia="Times New Roman" w:cs="Times New Roman"/>
          <w:color w:val="000000"/>
        </w:rPr>
        <w:t>9 era, the “965” condition codes are frequently not used when there was a drug death. In the ICD 9 era, we can identify opioids in some of the “E” codes – E850.0 (heroin), E850.1 (methadone), and E850.2 (opiates and related narcotics). Unfortunately, categories E950.0 and E980.0 (poisonings by analgesics, antipyretics, and antirheumatics for intentional and unknown intent, respectively) lump opiates in with other drugs (mostly non-opioid pain relievers).</w:t>
      </w:r>
      <w:r>
        <w:rPr>
          <w:rFonts w:eastAsia="Times New Roman" w:cs="Times New Roman"/>
          <w:color w:val="000000"/>
        </w:rPr>
        <w:t xml:space="preserve"> </w:t>
      </w:r>
    </w:p>
    <w:p w14:paraId="288ACB32" w14:textId="77777777" w:rsidR="00140DA5" w:rsidRDefault="00140DA5" w:rsidP="00140DA5">
      <w:pPr>
        <w:rPr>
          <w:rFonts w:eastAsia="Times New Roman" w:cs="Times New Roman"/>
          <w:color w:val="000000"/>
          <w:shd w:val="clear" w:color="auto" w:fill="FFFFFF"/>
        </w:rPr>
      </w:pPr>
      <w:r w:rsidRPr="00A4274E">
        <w:rPr>
          <w:rFonts w:eastAsia="Times New Roman" w:cs="Times New Roman"/>
          <w:color w:val="000000"/>
        </w:rPr>
        <w:tab/>
        <w:t xml:space="preserve">In the ICD 10 era, the T39 condition code identifies </w:t>
      </w:r>
      <w:r w:rsidRPr="00A4274E">
        <w:rPr>
          <w:rFonts w:eastAsia="Times New Roman" w:cs="Times New Roman"/>
          <w:color w:val="000000"/>
          <w:shd w:val="clear" w:color="auto" w:fill="FFFFFF"/>
        </w:rPr>
        <w:t xml:space="preserve">non-opioid analgesics, antipyretics, and antirheumatics. In 1999 there were only 759 deaths from these drugs, but 8,645 of the T40.x opioid/heroin deaths. As a result, to make a more consistent series without a noticeable jump in opioid deaths as we move from the ICD 10 back to the ICD 9 era, we use a broader opioid death rate category that includes the T39 cases. In the ICD 9 era, we consider the “965” conditions listed above, those that include non-opioid analgesics, and any E850.x code which contains opiates and the non-opioid analgesics, plus deaths with E950.0 and E980.0 codes. </w:t>
      </w:r>
    </w:p>
    <w:p w14:paraId="48075660" w14:textId="77777777" w:rsidR="00B44735" w:rsidRDefault="00140DA5" w:rsidP="00140DA5">
      <w:pPr>
        <w:jc w:val="center"/>
        <w:rPr>
          <w:rFonts w:eastAsia="Times New Roman" w:cs="Times New Roman"/>
        </w:rPr>
      </w:pPr>
      <w:r w:rsidRPr="00A4274E">
        <w:rPr>
          <w:rFonts w:eastAsia="Times New Roman" w:cs="Times New Roman"/>
        </w:rPr>
        <w:br/>
      </w:r>
    </w:p>
    <w:p w14:paraId="234F17F8" w14:textId="77777777" w:rsidR="00B44735" w:rsidRDefault="00B44735" w:rsidP="00140DA5">
      <w:pPr>
        <w:jc w:val="center"/>
        <w:rPr>
          <w:rFonts w:eastAsia="Times New Roman" w:cs="Times New Roman"/>
        </w:rPr>
      </w:pPr>
    </w:p>
    <w:p w14:paraId="6FA212A8" w14:textId="5C8988B9" w:rsidR="00140DA5" w:rsidRDefault="00140DA5" w:rsidP="00140DA5">
      <w:pPr>
        <w:jc w:val="center"/>
        <w:rPr>
          <w:rFonts w:eastAsia="Times New Roman" w:cs="Times New Roman"/>
        </w:rPr>
      </w:pPr>
      <w:r w:rsidRPr="00F22F2B">
        <w:rPr>
          <w:rFonts w:eastAsia="Times New Roman" w:cs="Times New Roman"/>
        </w:rPr>
        <w:lastRenderedPageBreak/>
        <w:t xml:space="preserve">Table </w:t>
      </w:r>
      <w:r>
        <w:rPr>
          <w:rFonts w:eastAsia="Times New Roman" w:cs="Times New Roman"/>
        </w:rPr>
        <w:t>B</w:t>
      </w:r>
      <w:r w:rsidRPr="00F22F2B">
        <w:rPr>
          <w:rFonts w:eastAsia="Times New Roman" w:cs="Times New Roman"/>
        </w:rPr>
        <w:t>1</w:t>
      </w:r>
    </w:p>
    <w:p w14:paraId="37B29A89" w14:textId="77777777" w:rsidR="00140DA5" w:rsidRPr="00F22F2B" w:rsidRDefault="00140DA5" w:rsidP="00140DA5">
      <w:pPr>
        <w:jc w:val="center"/>
        <w:rPr>
          <w:rFonts w:eastAsia="Times New Roman" w:cs="Times New Roman"/>
        </w:rPr>
      </w:pPr>
      <w:r>
        <w:rPr>
          <w:rFonts w:eastAsia="Times New Roman" w:cs="Times New Roman"/>
        </w:rPr>
        <w:t>ICD 9 and 10 Codes to Identify Causes of Death</w:t>
      </w:r>
      <w:r>
        <w:rPr>
          <w:rFonts w:eastAsia="Times New Roman" w:cs="Times New Roman"/>
        </w:rPr>
        <w:br/>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40DA5" w:rsidRPr="00F22F2B" w14:paraId="22298E63" w14:textId="77777777" w:rsidTr="008C1344">
        <w:tc>
          <w:tcPr>
            <w:tcW w:w="2337" w:type="dxa"/>
            <w:tcBorders>
              <w:top w:val="double" w:sz="4" w:space="0" w:color="auto"/>
              <w:bottom w:val="single" w:sz="4" w:space="0" w:color="auto"/>
            </w:tcBorders>
          </w:tcPr>
          <w:p w14:paraId="59DF5C00" w14:textId="77777777" w:rsidR="00140DA5" w:rsidRPr="00F22F2B" w:rsidRDefault="00140DA5" w:rsidP="008C1344">
            <w:pPr>
              <w:rPr>
                <w:rFonts w:eastAsia="Times New Roman" w:cs="Times New Roman"/>
              </w:rPr>
            </w:pPr>
            <w:r>
              <w:rPr>
                <w:rFonts w:eastAsia="Times New Roman" w:cs="Times New Roman"/>
              </w:rPr>
              <w:t>Coding system</w:t>
            </w:r>
          </w:p>
        </w:tc>
        <w:tc>
          <w:tcPr>
            <w:tcW w:w="2337" w:type="dxa"/>
            <w:tcBorders>
              <w:top w:val="double" w:sz="4" w:space="0" w:color="auto"/>
              <w:bottom w:val="single" w:sz="4" w:space="0" w:color="auto"/>
            </w:tcBorders>
          </w:tcPr>
          <w:p w14:paraId="68D94ADB" w14:textId="77777777" w:rsidR="00140DA5" w:rsidRPr="00F22F2B" w:rsidRDefault="00140DA5" w:rsidP="008C1344">
            <w:pPr>
              <w:rPr>
                <w:rFonts w:eastAsia="Times New Roman" w:cs="Times New Roman"/>
              </w:rPr>
            </w:pPr>
            <w:r w:rsidRPr="00F22F2B">
              <w:rPr>
                <w:rFonts w:eastAsia="Times New Roman" w:cs="Times New Roman"/>
              </w:rPr>
              <w:t>Drug deaths</w:t>
            </w:r>
          </w:p>
        </w:tc>
        <w:tc>
          <w:tcPr>
            <w:tcW w:w="2338" w:type="dxa"/>
            <w:tcBorders>
              <w:top w:val="double" w:sz="4" w:space="0" w:color="auto"/>
              <w:bottom w:val="single" w:sz="4" w:space="0" w:color="auto"/>
            </w:tcBorders>
          </w:tcPr>
          <w:p w14:paraId="7319B21C" w14:textId="77777777" w:rsidR="00140DA5" w:rsidRPr="00F22F2B" w:rsidRDefault="00140DA5" w:rsidP="008C1344">
            <w:pPr>
              <w:rPr>
                <w:rFonts w:eastAsia="Times New Roman" w:cs="Times New Roman"/>
              </w:rPr>
            </w:pPr>
            <w:r w:rsidRPr="00F22F2B">
              <w:rPr>
                <w:rFonts w:eastAsia="Times New Roman" w:cs="Times New Roman"/>
              </w:rPr>
              <w:t>Alcohol deaths</w:t>
            </w:r>
          </w:p>
        </w:tc>
        <w:tc>
          <w:tcPr>
            <w:tcW w:w="2338" w:type="dxa"/>
            <w:tcBorders>
              <w:top w:val="double" w:sz="4" w:space="0" w:color="auto"/>
              <w:bottom w:val="single" w:sz="4" w:space="0" w:color="auto"/>
            </w:tcBorders>
          </w:tcPr>
          <w:p w14:paraId="3BD2D45C" w14:textId="77777777" w:rsidR="00140DA5" w:rsidRPr="00F22F2B" w:rsidRDefault="00140DA5" w:rsidP="008C1344">
            <w:pPr>
              <w:rPr>
                <w:rFonts w:eastAsia="Times New Roman" w:cs="Times New Roman"/>
              </w:rPr>
            </w:pPr>
            <w:r w:rsidRPr="00F22F2B">
              <w:rPr>
                <w:rFonts w:eastAsia="Times New Roman" w:cs="Times New Roman"/>
              </w:rPr>
              <w:t>Non-drug Suicides</w:t>
            </w:r>
          </w:p>
        </w:tc>
      </w:tr>
      <w:tr w:rsidR="00140DA5" w:rsidRPr="00F22F2B" w14:paraId="16BB4C77" w14:textId="77777777" w:rsidTr="008C1344">
        <w:tc>
          <w:tcPr>
            <w:tcW w:w="2337" w:type="dxa"/>
            <w:tcBorders>
              <w:top w:val="single" w:sz="4" w:space="0" w:color="auto"/>
            </w:tcBorders>
          </w:tcPr>
          <w:p w14:paraId="2F4831F3" w14:textId="77777777" w:rsidR="00140DA5" w:rsidRPr="00F22F2B" w:rsidRDefault="00140DA5" w:rsidP="008C1344">
            <w:pPr>
              <w:rPr>
                <w:rFonts w:eastAsia="Times New Roman" w:cs="Times New Roman"/>
              </w:rPr>
            </w:pPr>
            <w:r w:rsidRPr="00F22F2B">
              <w:rPr>
                <w:rFonts w:eastAsia="Times New Roman" w:cs="Times New Roman"/>
              </w:rPr>
              <w:t>ICD-9</w:t>
            </w:r>
          </w:p>
          <w:p w14:paraId="7FB103C7" w14:textId="77777777" w:rsidR="00140DA5" w:rsidRPr="00F22F2B" w:rsidRDefault="00140DA5" w:rsidP="008C1344">
            <w:pPr>
              <w:rPr>
                <w:rFonts w:eastAsia="Times New Roman" w:cs="Times New Roman"/>
              </w:rPr>
            </w:pPr>
            <w:r w:rsidRPr="00F22F2B">
              <w:rPr>
                <w:rFonts w:eastAsia="Times New Roman" w:cs="Times New Roman"/>
              </w:rPr>
              <w:t>1978-1998</w:t>
            </w:r>
          </w:p>
        </w:tc>
        <w:tc>
          <w:tcPr>
            <w:tcW w:w="2337" w:type="dxa"/>
            <w:tcBorders>
              <w:top w:val="single" w:sz="4" w:space="0" w:color="auto"/>
            </w:tcBorders>
          </w:tcPr>
          <w:p w14:paraId="44EAD497" w14:textId="77777777" w:rsidR="00140DA5" w:rsidRPr="00F22F2B" w:rsidRDefault="00140DA5" w:rsidP="008C1344">
            <w:pPr>
              <w:rPr>
                <w:rFonts w:eastAsia="Times New Roman" w:cs="Times New Roman"/>
              </w:rPr>
            </w:pPr>
            <w:r w:rsidRPr="00F22F2B">
              <w:rPr>
                <w:rFonts w:eastAsia="Times New Roman" w:cs="Times New Roman"/>
              </w:rPr>
              <w:t>292, 304, E850-E858,</w:t>
            </w:r>
          </w:p>
          <w:p w14:paraId="7FEA82E3" w14:textId="77777777" w:rsidR="00140DA5" w:rsidRDefault="00140DA5" w:rsidP="008C1344">
            <w:pPr>
              <w:rPr>
                <w:rFonts w:eastAsia="Times New Roman" w:cs="Times New Roman"/>
              </w:rPr>
            </w:pPr>
            <w:r w:rsidRPr="00F22F2B">
              <w:rPr>
                <w:rFonts w:eastAsia="Times New Roman" w:cs="Times New Roman"/>
              </w:rPr>
              <w:t>E950.0 – E950.5 E980.0</w:t>
            </w:r>
            <w:r>
              <w:rPr>
                <w:rFonts w:eastAsia="Times New Roman" w:cs="Times New Roman"/>
              </w:rPr>
              <w:t xml:space="preserve"> </w:t>
            </w:r>
            <w:r w:rsidRPr="00F22F2B">
              <w:rPr>
                <w:rFonts w:eastAsia="Times New Roman" w:cs="Times New Roman"/>
              </w:rPr>
              <w:t>-</w:t>
            </w:r>
            <w:r>
              <w:rPr>
                <w:rFonts w:eastAsia="Times New Roman" w:cs="Times New Roman"/>
              </w:rPr>
              <w:t xml:space="preserve"> </w:t>
            </w:r>
            <w:r w:rsidRPr="00F22F2B">
              <w:rPr>
                <w:rFonts w:eastAsia="Times New Roman" w:cs="Times New Roman"/>
              </w:rPr>
              <w:t>E980.5</w:t>
            </w:r>
            <w:r>
              <w:rPr>
                <w:rFonts w:eastAsia="Times New Roman" w:cs="Times New Roman"/>
              </w:rPr>
              <w:t>, E962.0</w:t>
            </w:r>
          </w:p>
          <w:p w14:paraId="62AC3D18" w14:textId="77777777" w:rsidR="00140DA5" w:rsidRPr="00F22F2B" w:rsidRDefault="00140DA5" w:rsidP="008C1344">
            <w:pPr>
              <w:rPr>
                <w:rFonts w:eastAsia="Times New Roman" w:cs="Times New Roman"/>
              </w:rPr>
            </w:pPr>
          </w:p>
        </w:tc>
        <w:tc>
          <w:tcPr>
            <w:tcW w:w="2338" w:type="dxa"/>
            <w:tcBorders>
              <w:top w:val="single" w:sz="4" w:space="0" w:color="auto"/>
            </w:tcBorders>
          </w:tcPr>
          <w:p w14:paraId="04B09AAA" w14:textId="77777777" w:rsidR="00140DA5" w:rsidRPr="00F22F2B" w:rsidRDefault="00140DA5" w:rsidP="008C1344">
            <w:pPr>
              <w:rPr>
                <w:rFonts w:eastAsia="Times New Roman" w:cs="Times New Roman"/>
              </w:rPr>
            </w:pPr>
            <w:r w:rsidRPr="00F22F2B">
              <w:rPr>
                <w:rFonts w:eastAsia="Times New Roman" w:cs="Times New Roman"/>
              </w:rPr>
              <w:t>2971.3, 303, 350.0, 357.5, 425.5, 535.3, 571.0-571.3, 790.3, E860</w:t>
            </w:r>
          </w:p>
        </w:tc>
        <w:tc>
          <w:tcPr>
            <w:tcW w:w="2338" w:type="dxa"/>
            <w:tcBorders>
              <w:top w:val="single" w:sz="4" w:space="0" w:color="auto"/>
            </w:tcBorders>
          </w:tcPr>
          <w:p w14:paraId="062A102D" w14:textId="77777777" w:rsidR="00140DA5" w:rsidRPr="00F22F2B" w:rsidRDefault="00140DA5" w:rsidP="008C1344">
            <w:pPr>
              <w:rPr>
                <w:rFonts w:eastAsia="Times New Roman" w:cs="Times New Roman"/>
              </w:rPr>
            </w:pPr>
            <w:r w:rsidRPr="00F22F2B">
              <w:rPr>
                <w:rFonts w:eastAsia="Times New Roman" w:cs="Times New Roman"/>
              </w:rPr>
              <w:t>E950</w:t>
            </w:r>
            <w:r>
              <w:rPr>
                <w:rFonts w:eastAsia="Times New Roman" w:cs="Times New Roman"/>
              </w:rPr>
              <w:t>.6</w:t>
            </w:r>
            <w:r w:rsidRPr="00F22F2B">
              <w:rPr>
                <w:rFonts w:eastAsia="Times New Roman" w:cs="Times New Roman"/>
              </w:rPr>
              <w:t>-E959</w:t>
            </w:r>
          </w:p>
        </w:tc>
      </w:tr>
      <w:tr w:rsidR="00140DA5" w:rsidRPr="00F22F2B" w14:paraId="57CE9BCB" w14:textId="77777777" w:rsidTr="008C1344">
        <w:tc>
          <w:tcPr>
            <w:tcW w:w="2337" w:type="dxa"/>
          </w:tcPr>
          <w:p w14:paraId="2A713AF6" w14:textId="77777777" w:rsidR="00140DA5" w:rsidRPr="00F22F2B" w:rsidRDefault="00140DA5" w:rsidP="008C1344">
            <w:pPr>
              <w:rPr>
                <w:rFonts w:eastAsia="Times New Roman" w:cs="Times New Roman"/>
              </w:rPr>
            </w:pPr>
            <w:r w:rsidRPr="00F22F2B">
              <w:rPr>
                <w:rFonts w:eastAsia="Times New Roman" w:cs="Times New Roman"/>
              </w:rPr>
              <w:t>ICD-10</w:t>
            </w:r>
          </w:p>
          <w:p w14:paraId="54EFBF04" w14:textId="77777777" w:rsidR="00140DA5" w:rsidRPr="00F22F2B" w:rsidRDefault="00140DA5" w:rsidP="008C1344">
            <w:pPr>
              <w:rPr>
                <w:rFonts w:eastAsia="Times New Roman" w:cs="Times New Roman"/>
              </w:rPr>
            </w:pPr>
            <w:r w:rsidRPr="00F22F2B">
              <w:rPr>
                <w:rFonts w:eastAsia="Times New Roman" w:cs="Times New Roman"/>
              </w:rPr>
              <w:t>1999-present</w:t>
            </w:r>
          </w:p>
        </w:tc>
        <w:tc>
          <w:tcPr>
            <w:tcW w:w="2337" w:type="dxa"/>
          </w:tcPr>
          <w:p w14:paraId="0C7FD984" w14:textId="77777777" w:rsidR="00140DA5" w:rsidRDefault="00140DA5" w:rsidP="008C1344">
            <w:pPr>
              <w:rPr>
                <w:rFonts w:eastAsia="Times New Roman" w:cs="Times New Roman"/>
              </w:rPr>
            </w:pPr>
            <w:r w:rsidRPr="00F22F2B">
              <w:rPr>
                <w:rFonts w:eastAsia="Times New Roman" w:cs="Times New Roman"/>
              </w:rPr>
              <w:t xml:space="preserve">X40-44, X60-64, </w:t>
            </w:r>
          </w:p>
          <w:p w14:paraId="1FC8675C" w14:textId="77777777" w:rsidR="00140DA5" w:rsidRPr="00F22F2B" w:rsidRDefault="00140DA5" w:rsidP="008C1344">
            <w:pPr>
              <w:rPr>
                <w:rFonts w:eastAsia="Times New Roman" w:cs="Times New Roman"/>
              </w:rPr>
            </w:pPr>
            <w:r w:rsidRPr="00F22F2B">
              <w:rPr>
                <w:rFonts w:eastAsia="Times New Roman" w:cs="Times New Roman"/>
              </w:rPr>
              <w:t>Y10-14, X85</w:t>
            </w:r>
          </w:p>
        </w:tc>
        <w:tc>
          <w:tcPr>
            <w:tcW w:w="2338" w:type="dxa"/>
          </w:tcPr>
          <w:p w14:paraId="6631F60F" w14:textId="77777777" w:rsidR="00140DA5" w:rsidRPr="00F22F2B" w:rsidRDefault="00140DA5" w:rsidP="008C1344">
            <w:pPr>
              <w:rPr>
                <w:rFonts w:eastAsia="Times New Roman" w:cs="Times New Roman"/>
              </w:rPr>
            </w:pPr>
            <w:r w:rsidRPr="00F22F2B">
              <w:rPr>
                <w:rFonts w:eastAsia="Times New Roman" w:cs="Times New Roman"/>
              </w:rPr>
              <w:t xml:space="preserve">E24.4, F10, G31.2, G72.1, I42.6, K29.2, K70, K85.2, K86.0, O35.4, Q86.0, X45, </w:t>
            </w:r>
            <w:r>
              <w:rPr>
                <w:rFonts w:eastAsia="Times New Roman" w:cs="Times New Roman"/>
              </w:rPr>
              <w:t xml:space="preserve">X65, </w:t>
            </w:r>
            <w:r w:rsidRPr="00F22F2B">
              <w:rPr>
                <w:rFonts w:eastAsia="Times New Roman" w:cs="Times New Roman"/>
              </w:rPr>
              <w:t>Y15</w:t>
            </w:r>
          </w:p>
        </w:tc>
        <w:tc>
          <w:tcPr>
            <w:tcW w:w="2338" w:type="dxa"/>
          </w:tcPr>
          <w:p w14:paraId="25B97BC9" w14:textId="77777777" w:rsidR="00140DA5" w:rsidRPr="00F22F2B" w:rsidRDefault="00140DA5" w:rsidP="008C1344">
            <w:pPr>
              <w:rPr>
                <w:rFonts w:eastAsia="Times New Roman" w:cs="Times New Roman"/>
              </w:rPr>
            </w:pPr>
            <w:r>
              <w:rPr>
                <w:rFonts w:eastAsia="Times New Roman" w:cs="Times New Roman"/>
              </w:rPr>
              <w:t>X65-X84</w:t>
            </w:r>
          </w:p>
        </w:tc>
      </w:tr>
    </w:tbl>
    <w:p w14:paraId="2C3BA96B" w14:textId="77777777" w:rsidR="00140DA5" w:rsidRPr="00F22F2B" w:rsidRDefault="00140DA5" w:rsidP="00140DA5">
      <w:pPr>
        <w:rPr>
          <w:rFonts w:eastAsia="Times New Roman" w:cs="Times New Roman"/>
        </w:rPr>
      </w:pPr>
    </w:p>
    <w:p w14:paraId="07DF2C37" w14:textId="77777777" w:rsidR="00140DA5" w:rsidRDefault="00140DA5" w:rsidP="00140DA5">
      <w:pPr>
        <w:rPr>
          <w:rFonts w:eastAsia="Times New Roman" w:cs="Times New Roman"/>
          <w:color w:val="000000"/>
          <w:shd w:val="clear" w:color="auto" w:fill="FFFFFF"/>
        </w:rPr>
      </w:pPr>
      <w:r>
        <w:rPr>
          <w:rFonts w:eastAsia="Times New Roman" w:cs="Times New Roman"/>
          <w:color w:val="000000"/>
          <w:shd w:val="clear" w:color="auto" w:fill="FFFFFF"/>
        </w:rPr>
        <w:tab/>
        <w:t xml:space="preserve">In our analysis, we only consider deaths for adults ages 18 and above because the vast majority of drug poisoning deaths are for adults. Between 1999 and 2020 there were more than 932,000 drug poisoning deaths and less than 1 percent were among those under 18. </w:t>
      </w:r>
    </w:p>
    <w:p w14:paraId="17AFF241" w14:textId="77777777" w:rsidR="00140DA5" w:rsidRDefault="00140DA5" w:rsidP="00140DA5">
      <w:pPr>
        <w:rPr>
          <w:b/>
          <w:bCs/>
        </w:rPr>
      </w:pPr>
      <w:r>
        <w:rPr>
          <w:rFonts w:eastAsia="Times New Roman" w:cs="Times New Roman"/>
          <w:color w:val="000000"/>
          <w:shd w:val="clear" w:color="auto" w:fill="FFFFFF"/>
        </w:rPr>
        <w:tab/>
      </w:r>
    </w:p>
    <w:p w14:paraId="53ED6AE6" w14:textId="77777777" w:rsidR="00140DA5" w:rsidRDefault="00140DA5" w:rsidP="00140DA5">
      <w:pPr>
        <w:rPr>
          <w:b/>
          <w:bCs/>
        </w:rPr>
      </w:pPr>
      <w:r>
        <w:rPr>
          <w:b/>
          <w:bCs/>
        </w:rPr>
        <w:t>Appendix C: County Population Data</w:t>
      </w:r>
    </w:p>
    <w:p w14:paraId="562AD7BD" w14:textId="77777777" w:rsidR="00140DA5" w:rsidRDefault="00140DA5" w:rsidP="00140DA5">
      <w:pPr>
        <w:rPr>
          <w:b/>
          <w:bCs/>
        </w:rPr>
      </w:pPr>
    </w:p>
    <w:p w14:paraId="44A353DD" w14:textId="0D8F6446" w:rsidR="00140DA5" w:rsidRDefault="00140DA5" w:rsidP="00140DA5">
      <w:r>
        <w:rPr>
          <w:b/>
          <w:bCs/>
        </w:rPr>
        <w:tab/>
      </w:r>
      <w:r>
        <w:t xml:space="preserve">To obtain the denominator for death rates, we use county-level population estimates by age, race, ethnicity, and sex from the </w:t>
      </w:r>
      <w:bookmarkStart w:id="2" w:name="_Hlk129678765"/>
      <w:r>
        <w:t>National Cancer Institute Surveillance, Epidemiology, and End Results (SEER) program.</w:t>
      </w:r>
      <w:r>
        <w:rPr>
          <w:rStyle w:val="FootnoteReference"/>
        </w:rPr>
        <w:footnoteReference w:id="2"/>
      </w:r>
      <w:bookmarkEnd w:id="2"/>
      <w:r>
        <w:t xml:space="preserve"> </w:t>
      </w:r>
      <w:r w:rsidR="00B44735">
        <w:t xml:space="preserve">We use two of the </w:t>
      </w:r>
      <w:r>
        <w:t xml:space="preserve">SEER </w:t>
      </w:r>
      <w:r w:rsidR="00B44735">
        <w:t>data sets.</w:t>
      </w:r>
      <w:r>
        <w:t xml:space="preserve"> First, we use population counts for single ages broken down by race and sex. This gives us population by race for three groups: black, white, and other. Counts of Hispanics by age are only available back to 1990, so we use this sample for this variable. We then use data on county population counts for Hispanics by age from the NHGIS for 1980 and interpolate annual population values for the inter-census years assuming any change between 1980 and 1990 happens smoothly over the decade. </w:t>
      </w:r>
    </w:p>
    <w:p w14:paraId="48D515D5" w14:textId="77777777" w:rsidR="00140DA5" w:rsidRDefault="00140DA5" w:rsidP="00140DA5">
      <w:r>
        <w:tab/>
        <w:t>To match the SEER data, the aggregate Census data from 1980, and the MCOD data at the county level, we needed to process some counties to make definitions compatible over time. A catalog of these changes is below.</w:t>
      </w:r>
    </w:p>
    <w:p w14:paraId="31B37056" w14:textId="77777777" w:rsidR="00140DA5" w:rsidRPr="00132E48" w:rsidRDefault="00140DA5" w:rsidP="00140DA5">
      <w:pPr>
        <w:pStyle w:val="ListParagraph"/>
        <w:numPr>
          <w:ilvl w:val="0"/>
          <w:numId w:val="5"/>
        </w:numPr>
      </w:pPr>
      <w:r>
        <w:t>Population data at the county level before 1990 in Alaska is limited. SEER does not have data by age prior to 1990 and population counts by age are not reported in Census tables for all counties. We were able to get complete series from 1982 forward for only 12 counties and the rest of the counties are aggregated into a “rest of state” county.</w:t>
      </w:r>
    </w:p>
    <w:p w14:paraId="4BE9528E" w14:textId="77777777" w:rsidR="00140DA5" w:rsidRDefault="00140DA5" w:rsidP="00140DA5">
      <w:pPr>
        <w:pStyle w:val="ListParagraph"/>
        <w:numPr>
          <w:ilvl w:val="0"/>
          <w:numId w:val="4"/>
        </w:numPr>
      </w:pPr>
      <w:r>
        <w:t>Broomfield, CO was created out of four counties: Adams, Boulder, Jefferson, and Weld. For the analysis sample, we aggregate these into one county in all years.</w:t>
      </w:r>
    </w:p>
    <w:p w14:paraId="5110FE15" w14:textId="77777777" w:rsidR="00140DA5" w:rsidRDefault="00140DA5" w:rsidP="00140DA5">
      <w:pPr>
        <w:pStyle w:val="ListParagraph"/>
        <w:numPr>
          <w:ilvl w:val="0"/>
          <w:numId w:val="4"/>
        </w:numPr>
      </w:pPr>
      <w:r>
        <w:t>All data for Hawaii is aggregated to the state level.</w:t>
      </w:r>
    </w:p>
    <w:p w14:paraId="13F04612" w14:textId="77777777" w:rsidR="00140DA5" w:rsidRDefault="00140DA5" w:rsidP="00140DA5">
      <w:pPr>
        <w:pStyle w:val="ListParagraph"/>
        <w:numPr>
          <w:ilvl w:val="0"/>
          <w:numId w:val="4"/>
        </w:numPr>
      </w:pPr>
      <w:r>
        <w:t>We merge South Boston, VA (independent city) into Halifax County in all years.</w:t>
      </w:r>
    </w:p>
    <w:p w14:paraId="03BCDD3C" w14:textId="77777777" w:rsidR="00140DA5" w:rsidRDefault="00140DA5" w:rsidP="00140DA5">
      <w:pPr>
        <w:pStyle w:val="ListParagraph"/>
        <w:numPr>
          <w:ilvl w:val="0"/>
          <w:numId w:val="4"/>
        </w:numPr>
      </w:pPr>
      <w:r>
        <w:t>We merge Bedford City, VA (independent city) and Bedford County into one county.</w:t>
      </w:r>
    </w:p>
    <w:p w14:paraId="7F7FFF37" w14:textId="77777777" w:rsidR="00140DA5" w:rsidRDefault="00140DA5" w:rsidP="00140DA5">
      <w:pPr>
        <w:pStyle w:val="ListParagraph"/>
        <w:numPr>
          <w:ilvl w:val="0"/>
          <w:numId w:val="4"/>
        </w:numPr>
      </w:pPr>
      <w:r>
        <w:t>We merge Clifton Forge, VA (independent city) into Alleghany County</w:t>
      </w:r>
    </w:p>
    <w:p w14:paraId="6C6ED890" w14:textId="77777777" w:rsidR="00140DA5" w:rsidRDefault="00140DA5" w:rsidP="00140DA5">
      <w:pPr>
        <w:pStyle w:val="ListParagraph"/>
        <w:numPr>
          <w:ilvl w:val="0"/>
          <w:numId w:val="4"/>
        </w:numPr>
      </w:pPr>
      <w:r>
        <w:t>La Paz and Yuma counties in AZ are merged into one county.</w:t>
      </w:r>
    </w:p>
    <w:p w14:paraId="7377089E" w14:textId="77777777" w:rsidR="00140DA5" w:rsidRDefault="00140DA5" w:rsidP="00140DA5">
      <w:pPr>
        <w:pStyle w:val="ListParagraph"/>
        <w:numPr>
          <w:ilvl w:val="0"/>
          <w:numId w:val="4"/>
        </w:numPr>
      </w:pPr>
      <w:r>
        <w:t>We delete all data for Yellowstone County, MT</w:t>
      </w:r>
    </w:p>
    <w:p w14:paraId="38927C6D" w14:textId="77777777" w:rsidR="00140DA5" w:rsidRDefault="00140DA5" w:rsidP="00140DA5"/>
    <w:p w14:paraId="66BC3225" w14:textId="510686A1" w:rsidR="00140DA5" w:rsidRDefault="00140DA5" w:rsidP="00140DA5"/>
    <w:p w14:paraId="0267A6FC" w14:textId="77777777" w:rsidR="00B44735" w:rsidRDefault="00B44735" w:rsidP="00140DA5"/>
    <w:p w14:paraId="78468B9E" w14:textId="7EFE4373" w:rsidR="009E4C3E" w:rsidRDefault="009E4C3E" w:rsidP="009E4C3E">
      <w:pPr>
        <w:rPr>
          <w:b/>
          <w:bCs/>
        </w:rPr>
      </w:pPr>
      <w:r>
        <w:rPr>
          <w:b/>
          <w:bCs/>
        </w:rPr>
        <w:lastRenderedPageBreak/>
        <w:t>Appendix D:</w:t>
      </w:r>
      <w:r>
        <w:rPr>
          <w:b/>
          <w:bCs/>
        </w:rPr>
        <w:tab/>
        <w:t>Additional Information on the ARCOS Data</w:t>
      </w:r>
    </w:p>
    <w:p w14:paraId="45672E66" w14:textId="77777777" w:rsidR="009E4C3E" w:rsidRDefault="009E4C3E" w:rsidP="009E4C3E">
      <w:pPr>
        <w:rPr>
          <w:b/>
          <w:bCs/>
        </w:rPr>
      </w:pPr>
      <w:r>
        <w:rPr>
          <w:b/>
          <w:bCs/>
        </w:rPr>
        <w:tab/>
      </w:r>
    </w:p>
    <w:p w14:paraId="226BDE97" w14:textId="497AD40B" w:rsidR="009E4C3E" w:rsidRDefault="009E4C3E" w:rsidP="009E4C3E">
      <w:pPr>
        <w:rPr>
          <w:bCs/>
        </w:rPr>
      </w:pPr>
      <w:r>
        <w:rPr>
          <w:b/>
          <w:bCs/>
        </w:rPr>
        <w:tab/>
      </w:r>
      <w:r w:rsidRPr="00543DF3">
        <w:rPr>
          <w:bCs/>
        </w:rPr>
        <w:t xml:space="preserve">The </w:t>
      </w:r>
      <w:r>
        <w:rPr>
          <w:bCs/>
        </w:rPr>
        <w:t xml:space="preserve">most disaggregated </w:t>
      </w:r>
      <w:r w:rsidRPr="00543DF3">
        <w:rPr>
          <w:bCs/>
        </w:rPr>
        <w:t>ARCOS data</w:t>
      </w:r>
      <w:r>
        <w:rPr>
          <w:bCs/>
        </w:rPr>
        <w:t xml:space="preserve"> </w:t>
      </w:r>
      <w:r w:rsidRPr="006F1AB0">
        <w:rPr>
          <w:bCs/>
        </w:rPr>
        <w:t xml:space="preserve">publicly available come at the quarter-year by </w:t>
      </w:r>
      <w:r>
        <w:rPr>
          <w:bCs/>
        </w:rPr>
        <w:t>three-</w:t>
      </w:r>
      <w:r w:rsidRPr="006F1AB0">
        <w:rPr>
          <w:bCs/>
        </w:rPr>
        <w:t xml:space="preserve">digit zip code unit of observation. </w:t>
      </w:r>
      <w:r>
        <w:rPr>
          <w:bCs/>
        </w:rPr>
        <w:t xml:space="preserve">We obtained these data for the years 1997 – 2015. Attempts to obtain data prior to 1997 via FOIA requests uncovered that the DEA no longer has pre-1997 data and attempts to find the pre-1997 data via the </w:t>
      </w:r>
      <w:proofErr w:type="spellStart"/>
      <w:r>
        <w:rPr>
          <w:bCs/>
        </w:rPr>
        <w:t>Wayback</w:t>
      </w:r>
      <w:proofErr w:type="spellEnd"/>
      <w:r>
        <w:rPr>
          <w:bCs/>
        </w:rPr>
        <w:t xml:space="preserve"> Machine were not successful. </w:t>
      </w:r>
    </w:p>
    <w:p w14:paraId="1F471109" w14:textId="7FBEFE05" w:rsidR="009E4C3E" w:rsidRDefault="009E4C3E" w:rsidP="009E4C3E">
      <w:pPr>
        <w:rPr>
          <w:bCs/>
        </w:rPr>
      </w:pPr>
      <w:r>
        <w:rPr>
          <w:bCs/>
        </w:rPr>
        <w:tab/>
        <w:t xml:space="preserve">To convert from three-digit zip codes to counties, we first used zip code level population data from the 2010 Census to convert from three digit to five-digit zip codes. From there, we used a crosswalk between five-digit zip codes and counties developed by the Department of Housing and Urban Development. The resulting crosswalk from three-digit zip codes to counties does not vary by year. It was then applied to the three-digit ARCOS data to recover grams of each drug in each county and quarter year. </w:t>
      </w:r>
    </w:p>
    <w:p w14:paraId="0465595E" w14:textId="77777777" w:rsidR="009E4C3E" w:rsidRDefault="009E4C3E" w:rsidP="009E4C3E">
      <w:pPr>
        <w:rPr>
          <w:b/>
          <w:bCs/>
        </w:rPr>
      </w:pPr>
    </w:p>
    <w:p w14:paraId="3F222F7C" w14:textId="77777777" w:rsidR="009E4C3E" w:rsidRDefault="009E4C3E" w:rsidP="009E4C3E">
      <w:pPr>
        <w:rPr>
          <w:b/>
          <w:bCs/>
        </w:rPr>
      </w:pPr>
    </w:p>
    <w:p w14:paraId="1D8474B3" w14:textId="70FB20EF" w:rsidR="009E4C3E" w:rsidRDefault="009E4C3E" w:rsidP="009E4C3E">
      <w:pPr>
        <w:rPr>
          <w:b/>
          <w:bCs/>
        </w:rPr>
      </w:pPr>
      <w:r>
        <w:rPr>
          <w:b/>
          <w:bCs/>
        </w:rPr>
        <w:t xml:space="preserve">Appendix </w:t>
      </w:r>
      <w:r w:rsidR="00B30081">
        <w:rPr>
          <w:b/>
          <w:bCs/>
        </w:rPr>
        <w:t>E</w:t>
      </w:r>
      <w:r>
        <w:rPr>
          <w:b/>
          <w:bCs/>
        </w:rPr>
        <w:t>:</w:t>
      </w:r>
      <w:r>
        <w:rPr>
          <w:b/>
          <w:bCs/>
        </w:rPr>
        <w:tab/>
        <w:t>Sensitivity Tests within a Difference-in-Difference Model</w:t>
      </w:r>
    </w:p>
    <w:p w14:paraId="7D7DC9E5" w14:textId="77777777" w:rsidR="009E4C3E" w:rsidRDefault="009E4C3E" w:rsidP="009E4C3E">
      <w:pPr>
        <w:rPr>
          <w:b/>
          <w:bCs/>
        </w:rPr>
      </w:pPr>
    </w:p>
    <w:p w14:paraId="5DB75259" w14:textId="77777777" w:rsidR="009E4C3E" w:rsidRDefault="009E4C3E" w:rsidP="009E4C3E">
      <w:pPr>
        <w:ind w:firstLine="720"/>
        <w:rPr>
          <w:shd w:val="clear" w:color="auto" w:fill="FFFFFF"/>
        </w:rPr>
      </w:pPr>
      <w:r>
        <w:rPr>
          <w:shd w:val="clear" w:color="auto" w:fill="FFFFFF"/>
        </w:rPr>
        <w:t>To help summarize the event study figures and to facilitate robustness checks, we also estimate the following difference-in-differences model.</w:t>
      </w:r>
    </w:p>
    <w:p w14:paraId="5CDEF96C" w14:textId="77777777" w:rsidR="009E4C3E" w:rsidRDefault="009E4C3E" w:rsidP="009E4C3E">
      <w:pPr>
        <w:rPr>
          <w:shd w:val="clear" w:color="auto" w:fill="FFFFFF"/>
        </w:rPr>
      </w:pPr>
    </w:p>
    <w:p w14:paraId="71137CF2" w14:textId="77777777" w:rsidR="009E4C3E" w:rsidRDefault="009E4C3E" w:rsidP="009E4C3E">
      <w:pPr>
        <w:rPr>
          <w:shd w:val="clear" w:color="auto" w:fill="FFFFFF"/>
        </w:rPr>
      </w:pPr>
      <w:r w:rsidRPr="00C16F75">
        <w:rPr>
          <w:b/>
          <w:position w:val="-34"/>
          <w:shd w:val="clear" w:color="auto" w:fill="FFFFFF"/>
        </w:rPr>
        <w:object w:dxaOrig="8900" w:dyaOrig="800" w14:anchorId="6442F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1pt" o:ole="">
            <v:imagedata r:id="rId32" o:title=""/>
          </v:shape>
          <o:OLEObject Type="Embed" ProgID="Equation.DSMT4" ShapeID="_x0000_i1025" DrawAspect="Content" ObjectID="_1819011890" r:id="rId33"/>
        </w:object>
      </w:r>
    </w:p>
    <w:p w14:paraId="13AD5284" w14:textId="77777777" w:rsidR="009E4C3E" w:rsidRDefault="009E4C3E" w:rsidP="009E4C3E">
      <w:pPr>
        <w:rPr>
          <w:shd w:val="clear" w:color="auto" w:fill="FFFFFF"/>
        </w:rPr>
      </w:pPr>
    </w:p>
    <w:p w14:paraId="7B435C81" w14:textId="02E5A158" w:rsidR="009E4C3E" w:rsidRDefault="009E4C3E" w:rsidP="009E4C3E">
      <w:pPr>
        <w:rPr>
          <w:shd w:val="clear" w:color="auto" w:fill="FFFFFF"/>
        </w:rPr>
      </w:pPr>
      <w:r>
        <w:rPr>
          <w:shd w:val="clear" w:color="auto" w:fill="FFFFFF"/>
        </w:rPr>
        <w:t>Instead of interacting the 1990 SSDI rate with separate year dummies, we use dummies for five-year intervals starting with 1996 to 2000. The other covariates are the same as in equation (1). We again weight by adult population in the county and cluster standard errors at the state level.</w:t>
      </w:r>
      <w:r w:rsidR="00075177">
        <w:rPr>
          <w:shd w:val="clear" w:color="auto" w:fill="FFFFFF"/>
        </w:rPr>
        <w:t xml:space="preserve">  </w:t>
      </w:r>
    </w:p>
    <w:p w14:paraId="05B5A0A0" w14:textId="5F0C2C7B" w:rsidR="00571C18" w:rsidRDefault="009E4C3E" w:rsidP="009E4C3E">
      <w:pPr>
        <w:rPr>
          <w:shd w:val="clear" w:color="auto" w:fill="FFFFFF"/>
        </w:rPr>
      </w:pPr>
      <w:r>
        <w:rPr>
          <w:shd w:val="clear" w:color="auto" w:fill="FFFFFF"/>
        </w:rPr>
        <w:tab/>
        <w:t xml:space="preserve">Table </w:t>
      </w:r>
      <w:r w:rsidR="00B30081">
        <w:rPr>
          <w:shd w:val="clear" w:color="auto" w:fill="FFFFFF"/>
        </w:rPr>
        <w:t>E</w:t>
      </w:r>
      <w:r>
        <w:rPr>
          <w:shd w:val="clear" w:color="auto" w:fill="FFFFFF"/>
        </w:rPr>
        <w:t xml:space="preserve">1 presents results </w:t>
      </w:r>
      <w:r w:rsidR="00075177">
        <w:rPr>
          <w:shd w:val="clear" w:color="auto" w:fill="FFFFFF"/>
        </w:rPr>
        <w:t xml:space="preserve">from estimating Equation (2) where our dependent variable is the drug poisoning death rate.  This table examine the sensitivity of the results to the inclusion of controls for non-triplicate states as in Alpert et al. (2022).  </w:t>
      </w:r>
      <w:r>
        <w:rPr>
          <w:shd w:val="clear" w:color="auto" w:fill="FFFFFF"/>
        </w:rPr>
        <w:t>The first column presents results from the baseline specification</w:t>
      </w:r>
      <w:r w:rsidR="00075177">
        <w:rPr>
          <w:shd w:val="clear" w:color="auto" w:fill="FFFFFF"/>
        </w:rPr>
        <w:t xml:space="preserve">.  By the 2011-2015 time period, the coefficient on the SSDI rate </w:t>
      </w:r>
      <w:r w:rsidR="00C65347">
        <w:rPr>
          <w:shd w:val="clear" w:color="auto" w:fill="FFFFFF"/>
        </w:rPr>
        <w:t xml:space="preserve">interacted with </w:t>
      </w:r>
      <w:r w:rsidR="00075177">
        <w:rPr>
          <w:shd w:val="clear" w:color="auto" w:fill="FFFFFF"/>
        </w:rPr>
        <w:t xml:space="preserve">time is 4.92 with a t-statistic of almost 5.  The mean drug death rate in the 1990/95 period is 5.8 and </w:t>
      </w:r>
      <w:r w:rsidR="00C65347">
        <w:rPr>
          <w:shd w:val="clear" w:color="auto" w:fill="FFFFFF"/>
        </w:rPr>
        <w:t>the</w:t>
      </w:r>
      <w:r w:rsidR="00075177">
        <w:rPr>
          <w:shd w:val="clear" w:color="auto" w:fill="FFFFFF"/>
        </w:rPr>
        <w:t xml:space="preserve"> mean SSDI rate </w:t>
      </w:r>
      <w:r w:rsidR="00571C18">
        <w:rPr>
          <w:shd w:val="clear" w:color="auto" w:fill="FFFFFF"/>
        </w:rPr>
        <w:t>across counties of 2.3.  This means the county with average SSDI rates experienced an increase in drug deaths between 1995 and 2011/15 period by 11.3=4.92*2.3, nearly double the rate of the mean in the 1990/95 time period.  In the second column, we only include dummies at the state level that indicate whether the state was a non-triplicate status interacted with year group dummies.  The results in this column are very similar to the results in Alpert et al. (2022).  To make sure our results are not being driven by this marketing effect, we re-estimate our main specification but include both our 1990 SSDI rate by year-group interactions as well as the non-triplicate by year-group interactions. As seen in the final column of Table E1, both sets of interactions continue to be important determinants of drug poisoning death rates.  The SSDI interactions are reduced by 17 percent in the 2000-2004 period and by only 5 percent in the 2006-2010 period.  In contrast, the results for the non-triplicate interactions are reduced by 21 percent in the 2006-2010 period and by 16 percent in the 2011-2015 period.</w:t>
      </w:r>
    </w:p>
    <w:p w14:paraId="6240B6CC" w14:textId="404D83AC" w:rsidR="009E4C3E" w:rsidRDefault="00571C18" w:rsidP="00597FD2">
      <w:pPr>
        <w:ind w:firstLine="720"/>
        <w:rPr>
          <w:shd w:val="clear" w:color="auto" w:fill="FFFFFF"/>
        </w:rPr>
      </w:pPr>
      <w:r>
        <w:rPr>
          <w:shd w:val="clear" w:color="auto" w:fill="FFFFFF"/>
        </w:rPr>
        <w:t xml:space="preserve">In Appendix Table E2, we </w:t>
      </w:r>
      <w:r w:rsidR="00C65347">
        <w:rPr>
          <w:shd w:val="clear" w:color="auto" w:fill="FFFFFF"/>
        </w:rPr>
        <w:t>present</w:t>
      </w:r>
      <w:r>
        <w:rPr>
          <w:shd w:val="clear" w:color="auto" w:fill="FFFFFF"/>
        </w:rPr>
        <w:t xml:space="preserve"> some other sensitivity results.  The first column of the table replicates the results from the first column of table E1.  </w:t>
      </w:r>
      <w:r w:rsidR="009E4C3E">
        <w:rPr>
          <w:shd w:val="clear" w:color="auto" w:fill="FFFFFF"/>
        </w:rPr>
        <w:t>Because the increased drug deaths were concentrated among a subset of demographic groups, we test the sensitivity of our results to omitting our demographic controls. The second column shows that this does not materially affect the results. In the third column, we include controls for prescription drug monitoring programs (</w:t>
      </w:r>
      <w:r w:rsidR="009E4C3E">
        <w:t>Horwitz et al., 2018</w:t>
      </w:r>
      <w:r w:rsidR="009E4C3E">
        <w:rPr>
          <w:shd w:val="clear" w:color="auto" w:fill="FFFFFF"/>
        </w:rPr>
        <w:t xml:space="preserve">), </w:t>
      </w:r>
      <w:r w:rsidR="009E4C3E">
        <w:rPr>
          <w:shd w:val="clear" w:color="auto" w:fill="FFFFFF"/>
        </w:rPr>
        <w:lastRenderedPageBreak/>
        <w:t xml:space="preserve">a common policy that states have implemented to combat the opioid epidemic, and again find that there is little impact on the point estimates. </w:t>
      </w:r>
    </w:p>
    <w:p w14:paraId="67B1ACB7" w14:textId="78C14170" w:rsidR="009E4C3E" w:rsidRDefault="009E4C3E" w:rsidP="009E4C3E">
      <w:pPr>
        <w:rPr>
          <w:shd w:val="clear" w:color="auto" w:fill="FFFFFF"/>
        </w:rPr>
      </w:pPr>
      <w:r>
        <w:rPr>
          <w:shd w:val="clear" w:color="auto" w:fill="FFFFFF"/>
        </w:rPr>
        <w:tab/>
        <w:t xml:space="preserve">Adding in linear, county-level time trends reduces our point estimates slightly, but their inclusion does not overturn the qualitative finding that higher 1990 SSDI rate counties saw considerably greater growth in drug poisoning death rates over time. As a final way to control for all policies that vary at the state level, we include state-by-year fixed effects. As seen in the fourth column, including these additional fixed effects does not change the message provided by our baseline estimates. </w:t>
      </w:r>
    </w:p>
    <w:p w14:paraId="263BC4F2" w14:textId="58701B5B" w:rsidR="009E4C3E" w:rsidRDefault="009E4C3E" w:rsidP="009E4C3E">
      <w:pPr>
        <w:rPr>
          <w:shd w:val="clear" w:color="auto" w:fill="FFFFFF"/>
        </w:rPr>
      </w:pPr>
      <w:r>
        <w:rPr>
          <w:shd w:val="clear" w:color="auto" w:fill="FFFFFF"/>
        </w:rPr>
        <w:tab/>
        <w:t xml:space="preserve">The final two columns show that when we control for the employment rate and the China trade shock, both factors that have been shown to be associated with drug overdose death rates in the past (Hollingsworth et al. 2017; </w:t>
      </w:r>
      <w:proofErr w:type="spellStart"/>
      <w:r>
        <w:rPr>
          <w:shd w:val="clear" w:color="auto" w:fill="FFFFFF"/>
        </w:rPr>
        <w:t>Ruhm</w:t>
      </w:r>
      <w:proofErr w:type="spellEnd"/>
      <w:r>
        <w:rPr>
          <w:shd w:val="clear" w:color="auto" w:fill="FFFFFF"/>
        </w:rPr>
        <w:t>, 2019; Pierce and Schott 2020), our point estimates are very similar to our baseline specification that does not control for these factors. This suggests that our results are not being driven by local employment conditions.</w:t>
      </w:r>
    </w:p>
    <w:p w14:paraId="5DFF30EF" w14:textId="77777777" w:rsidR="009E4C3E" w:rsidRDefault="009E4C3E" w:rsidP="009E4C3E">
      <w:r>
        <w:br w:type="page"/>
      </w:r>
    </w:p>
    <w:p w14:paraId="2205236F" w14:textId="6D2B5B5F" w:rsidR="009E4C3E" w:rsidRDefault="009E4C3E" w:rsidP="009E4C3E">
      <w:pPr>
        <w:jc w:val="center"/>
      </w:pPr>
      <w:r>
        <w:lastRenderedPageBreak/>
        <w:t xml:space="preserve">Appendix Table </w:t>
      </w:r>
      <w:r w:rsidR="00B30081">
        <w:t>E</w:t>
      </w:r>
      <w:r>
        <w:t>1</w:t>
      </w:r>
    </w:p>
    <w:p w14:paraId="3A2D0E4D" w14:textId="77777777" w:rsidR="009E4C3E" w:rsidRDefault="009E4C3E" w:rsidP="009E4C3E">
      <w:pPr>
        <w:jc w:val="center"/>
      </w:pPr>
      <w:r>
        <w:t xml:space="preserve">Difference-in-Difference Estimates for Drug Death Poisoning Rates </w:t>
      </w:r>
    </w:p>
    <w:p w14:paraId="6D8A638E" w14:textId="77777777" w:rsidR="009E4C3E" w:rsidRDefault="009E4C3E" w:rsidP="009E4C3E">
      <w:pPr>
        <w:jc w:val="center"/>
      </w:pPr>
      <w:r>
        <w:t>and the Role of Marketing, 1983-2015</w:t>
      </w:r>
    </w:p>
    <w:tbl>
      <w:tblPr>
        <w:tblW w:w="8080" w:type="dxa"/>
        <w:jc w:val="center"/>
        <w:tblLook w:val="04A0" w:firstRow="1" w:lastRow="0" w:firstColumn="1" w:lastColumn="0" w:noHBand="0" w:noVBand="1"/>
      </w:tblPr>
      <w:tblGrid>
        <w:gridCol w:w="2970"/>
        <w:gridCol w:w="300"/>
        <w:gridCol w:w="1540"/>
        <w:gridCol w:w="1480"/>
        <w:gridCol w:w="1790"/>
      </w:tblGrid>
      <w:tr w:rsidR="009E4C3E" w:rsidRPr="00BA3A60" w14:paraId="293C2742" w14:textId="77777777" w:rsidTr="008C1344">
        <w:trPr>
          <w:trHeight w:val="324"/>
          <w:jc w:val="center"/>
        </w:trPr>
        <w:tc>
          <w:tcPr>
            <w:tcW w:w="2970" w:type="dxa"/>
            <w:tcBorders>
              <w:top w:val="nil"/>
              <w:left w:val="nil"/>
              <w:bottom w:val="double" w:sz="6" w:space="0" w:color="auto"/>
              <w:right w:val="nil"/>
            </w:tcBorders>
            <w:shd w:val="clear" w:color="auto" w:fill="auto"/>
            <w:noWrap/>
            <w:vAlign w:val="bottom"/>
            <w:hideMark/>
          </w:tcPr>
          <w:p w14:paraId="711A38A4"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300" w:type="dxa"/>
            <w:tcBorders>
              <w:top w:val="nil"/>
              <w:left w:val="nil"/>
              <w:bottom w:val="double" w:sz="6" w:space="0" w:color="auto"/>
              <w:right w:val="nil"/>
            </w:tcBorders>
            <w:shd w:val="clear" w:color="auto" w:fill="auto"/>
            <w:noWrap/>
            <w:vAlign w:val="bottom"/>
            <w:hideMark/>
          </w:tcPr>
          <w:p w14:paraId="15FBE7BD"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1540" w:type="dxa"/>
            <w:tcBorders>
              <w:top w:val="nil"/>
              <w:left w:val="nil"/>
              <w:bottom w:val="double" w:sz="6" w:space="0" w:color="auto"/>
              <w:right w:val="nil"/>
            </w:tcBorders>
            <w:shd w:val="clear" w:color="auto" w:fill="auto"/>
            <w:noWrap/>
            <w:vAlign w:val="bottom"/>
            <w:hideMark/>
          </w:tcPr>
          <w:p w14:paraId="7BF5F062"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1480" w:type="dxa"/>
            <w:tcBorders>
              <w:top w:val="nil"/>
              <w:left w:val="nil"/>
              <w:bottom w:val="double" w:sz="6" w:space="0" w:color="auto"/>
              <w:right w:val="nil"/>
            </w:tcBorders>
            <w:shd w:val="clear" w:color="auto" w:fill="auto"/>
            <w:noWrap/>
            <w:vAlign w:val="bottom"/>
            <w:hideMark/>
          </w:tcPr>
          <w:p w14:paraId="2513DEAF"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1790" w:type="dxa"/>
            <w:tcBorders>
              <w:top w:val="nil"/>
              <w:left w:val="nil"/>
              <w:bottom w:val="double" w:sz="6" w:space="0" w:color="auto"/>
              <w:right w:val="nil"/>
            </w:tcBorders>
            <w:shd w:val="clear" w:color="auto" w:fill="auto"/>
            <w:noWrap/>
            <w:vAlign w:val="bottom"/>
            <w:hideMark/>
          </w:tcPr>
          <w:p w14:paraId="06529574"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r>
      <w:tr w:rsidR="009E4C3E" w:rsidRPr="00BA3A60" w14:paraId="57929DC0" w14:textId="77777777" w:rsidTr="008C1344">
        <w:trPr>
          <w:trHeight w:val="636"/>
          <w:jc w:val="center"/>
        </w:trPr>
        <w:tc>
          <w:tcPr>
            <w:tcW w:w="2970" w:type="dxa"/>
            <w:tcBorders>
              <w:top w:val="nil"/>
              <w:left w:val="nil"/>
              <w:bottom w:val="single" w:sz="4" w:space="0" w:color="auto"/>
              <w:right w:val="nil"/>
            </w:tcBorders>
            <w:shd w:val="clear" w:color="auto" w:fill="auto"/>
            <w:noWrap/>
            <w:vAlign w:val="bottom"/>
            <w:hideMark/>
          </w:tcPr>
          <w:p w14:paraId="03BAD796" w14:textId="77777777" w:rsidR="009E4C3E" w:rsidRPr="00BA3A60" w:rsidRDefault="009E4C3E" w:rsidP="008C1344">
            <w:pPr>
              <w:rPr>
                <w:rFonts w:eastAsia="Times New Roman" w:cs="Calibri"/>
                <w:color w:val="000000"/>
              </w:rPr>
            </w:pPr>
            <w:r w:rsidRPr="00BA3A60">
              <w:rPr>
                <w:rFonts w:eastAsia="Times New Roman" w:cs="Calibri"/>
                <w:color w:val="000000"/>
              </w:rPr>
              <w:t> </w:t>
            </w:r>
            <w:r>
              <w:rPr>
                <w:rFonts w:eastAsia="Times New Roman" w:cs="Calibri"/>
                <w:color w:val="000000"/>
              </w:rPr>
              <w:t>Covariates</w:t>
            </w:r>
          </w:p>
        </w:tc>
        <w:tc>
          <w:tcPr>
            <w:tcW w:w="300" w:type="dxa"/>
            <w:tcBorders>
              <w:top w:val="nil"/>
              <w:left w:val="nil"/>
              <w:bottom w:val="single" w:sz="4" w:space="0" w:color="auto"/>
              <w:right w:val="nil"/>
            </w:tcBorders>
            <w:shd w:val="clear" w:color="auto" w:fill="auto"/>
            <w:noWrap/>
            <w:vAlign w:val="bottom"/>
            <w:hideMark/>
          </w:tcPr>
          <w:p w14:paraId="31ED4958"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1540" w:type="dxa"/>
            <w:tcBorders>
              <w:top w:val="nil"/>
              <w:left w:val="nil"/>
              <w:bottom w:val="single" w:sz="4" w:space="0" w:color="auto"/>
              <w:right w:val="nil"/>
            </w:tcBorders>
            <w:shd w:val="clear" w:color="auto" w:fill="auto"/>
            <w:vAlign w:val="bottom"/>
            <w:hideMark/>
          </w:tcPr>
          <w:p w14:paraId="7723831E" w14:textId="77777777" w:rsidR="009E4C3E" w:rsidRPr="00BA3A60" w:rsidRDefault="009E4C3E" w:rsidP="008C1344">
            <w:pPr>
              <w:jc w:val="center"/>
              <w:rPr>
                <w:rFonts w:eastAsia="Times New Roman" w:cs="Calibri"/>
                <w:color w:val="000000"/>
              </w:rPr>
            </w:pPr>
            <w:r w:rsidRPr="00BA3A60">
              <w:rPr>
                <w:rFonts w:eastAsia="Times New Roman" w:cs="Calibri"/>
                <w:color w:val="000000"/>
              </w:rPr>
              <w:t>SSDI only</w:t>
            </w:r>
          </w:p>
        </w:tc>
        <w:tc>
          <w:tcPr>
            <w:tcW w:w="1480" w:type="dxa"/>
            <w:tcBorders>
              <w:top w:val="nil"/>
              <w:left w:val="nil"/>
              <w:bottom w:val="single" w:sz="4" w:space="0" w:color="auto"/>
              <w:right w:val="nil"/>
            </w:tcBorders>
            <w:shd w:val="clear" w:color="auto" w:fill="auto"/>
            <w:vAlign w:val="bottom"/>
            <w:hideMark/>
          </w:tcPr>
          <w:p w14:paraId="286A010C" w14:textId="77777777" w:rsidR="009E4C3E" w:rsidRPr="00BA3A60" w:rsidRDefault="009E4C3E" w:rsidP="008C1344">
            <w:pPr>
              <w:ind w:right="-11"/>
              <w:jc w:val="center"/>
              <w:rPr>
                <w:rFonts w:eastAsia="Times New Roman" w:cs="Calibri"/>
                <w:color w:val="000000"/>
              </w:rPr>
            </w:pPr>
            <w:r w:rsidRPr="00BA3A60">
              <w:rPr>
                <w:rFonts w:eastAsia="Times New Roman" w:cs="Calibri"/>
                <w:color w:val="000000"/>
              </w:rPr>
              <w:t>Non-triplicate only</w:t>
            </w:r>
          </w:p>
        </w:tc>
        <w:tc>
          <w:tcPr>
            <w:tcW w:w="1790" w:type="dxa"/>
            <w:tcBorders>
              <w:top w:val="nil"/>
              <w:left w:val="nil"/>
              <w:bottom w:val="single" w:sz="4" w:space="0" w:color="auto"/>
              <w:right w:val="nil"/>
            </w:tcBorders>
            <w:shd w:val="clear" w:color="auto" w:fill="auto"/>
            <w:vAlign w:val="bottom"/>
            <w:hideMark/>
          </w:tcPr>
          <w:p w14:paraId="05B6F99D" w14:textId="77777777" w:rsidR="009E4C3E" w:rsidRPr="00BA3A60" w:rsidRDefault="009E4C3E" w:rsidP="008C1344">
            <w:pPr>
              <w:jc w:val="center"/>
              <w:rPr>
                <w:rFonts w:eastAsia="Times New Roman" w:cs="Calibri"/>
                <w:color w:val="000000"/>
              </w:rPr>
            </w:pPr>
            <w:r w:rsidRPr="00BA3A60">
              <w:rPr>
                <w:rFonts w:eastAsia="Times New Roman" w:cs="Calibri"/>
                <w:color w:val="000000"/>
              </w:rPr>
              <w:t>Both</w:t>
            </w:r>
          </w:p>
        </w:tc>
      </w:tr>
      <w:tr w:rsidR="009E4C3E" w:rsidRPr="00BA3A60" w14:paraId="0899B783"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2EBAC4EA" w14:textId="77777777" w:rsidR="009E4C3E" w:rsidRPr="00BA3A60" w:rsidRDefault="009E4C3E" w:rsidP="008C1344">
            <w:pPr>
              <w:rPr>
                <w:rFonts w:eastAsia="Times New Roman" w:cs="Calibri"/>
                <w:color w:val="000000"/>
              </w:rPr>
            </w:pPr>
            <w:r w:rsidRPr="00BA3A60">
              <w:rPr>
                <w:rFonts w:eastAsia="Times New Roman" w:cs="Calibri"/>
                <w:color w:val="000000"/>
              </w:rPr>
              <w:t>1990 SSDI rate x</w:t>
            </w:r>
          </w:p>
        </w:tc>
        <w:tc>
          <w:tcPr>
            <w:tcW w:w="300" w:type="dxa"/>
            <w:tcBorders>
              <w:top w:val="nil"/>
              <w:left w:val="nil"/>
              <w:bottom w:val="nil"/>
              <w:right w:val="nil"/>
            </w:tcBorders>
            <w:shd w:val="clear" w:color="auto" w:fill="auto"/>
            <w:noWrap/>
            <w:vAlign w:val="bottom"/>
            <w:hideMark/>
          </w:tcPr>
          <w:p w14:paraId="4E2109A4"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647BC11A"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7AABEB31" w14:textId="77777777" w:rsidR="009E4C3E" w:rsidRPr="00BA3A60" w:rsidRDefault="009E4C3E" w:rsidP="008C1344">
            <w:pPr>
              <w:rPr>
                <w:rFonts w:ascii="Times New Roman" w:eastAsia="Times New Roman" w:hAnsi="Times New Roman" w:cs="Times New Roman"/>
                <w:color w:val="auto"/>
                <w:sz w:val="20"/>
                <w:szCs w:val="20"/>
              </w:rPr>
            </w:pPr>
          </w:p>
        </w:tc>
        <w:tc>
          <w:tcPr>
            <w:tcW w:w="1790" w:type="dxa"/>
            <w:tcBorders>
              <w:top w:val="nil"/>
              <w:left w:val="nil"/>
              <w:bottom w:val="nil"/>
              <w:right w:val="nil"/>
            </w:tcBorders>
            <w:shd w:val="clear" w:color="auto" w:fill="auto"/>
            <w:noWrap/>
            <w:vAlign w:val="bottom"/>
            <w:hideMark/>
          </w:tcPr>
          <w:p w14:paraId="306AB475" w14:textId="77777777" w:rsidR="009E4C3E" w:rsidRPr="00BA3A60" w:rsidRDefault="009E4C3E" w:rsidP="008C1344">
            <w:pPr>
              <w:rPr>
                <w:rFonts w:ascii="Times New Roman" w:eastAsia="Times New Roman" w:hAnsi="Times New Roman" w:cs="Times New Roman"/>
                <w:color w:val="auto"/>
                <w:sz w:val="20"/>
                <w:szCs w:val="20"/>
              </w:rPr>
            </w:pPr>
          </w:p>
        </w:tc>
      </w:tr>
      <w:tr w:rsidR="009E4C3E" w:rsidRPr="00BA3A60" w14:paraId="6DAA4841"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0C21C940"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1996 - 2000</w:t>
            </w:r>
          </w:p>
        </w:tc>
        <w:tc>
          <w:tcPr>
            <w:tcW w:w="300" w:type="dxa"/>
            <w:tcBorders>
              <w:top w:val="nil"/>
              <w:left w:val="nil"/>
              <w:bottom w:val="nil"/>
              <w:right w:val="nil"/>
            </w:tcBorders>
            <w:shd w:val="clear" w:color="auto" w:fill="auto"/>
            <w:noWrap/>
            <w:vAlign w:val="bottom"/>
            <w:hideMark/>
          </w:tcPr>
          <w:p w14:paraId="0732599F"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31A4D32C"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0.23</w:t>
            </w:r>
          </w:p>
        </w:tc>
        <w:tc>
          <w:tcPr>
            <w:tcW w:w="1480" w:type="dxa"/>
            <w:tcBorders>
              <w:top w:val="nil"/>
              <w:left w:val="nil"/>
              <w:bottom w:val="nil"/>
              <w:right w:val="nil"/>
            </w:tcBorders>
            <w:shd w:val="clear" w:color="auto" w:fill="auto"/>
            <w:noWrap/>
            <w:vAlign w:val="bottom"/>
            <w:hideMark/>
          </w:tcPr>
          <w:p w14:paraId="1B46117C"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6A1974F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0.19</w:t>
            </w:r>
          </w:p>
        </w:tc>
      </w:tr>
      <w:tr w:rsidR="009E4C3E" w:rsidRPr="00BA3A60" w14:paraId="221F1FAD"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38A2DBDA"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5AD905F2"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52C60741"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(0.28)</w:t>
            </w:r>
          </w:p>
        </w:tc>
        <w:tc>
          <w:tcPr>
            <w:tcW w:w="1480" w:type="dxa"/>
            <w:tcBorders>
              <w:top w:val="nil"/>
              <w:left w:val="nil"/>
              <w:bottom w:val="nil"/>
              <w:right w:val="nil"/>
            </w:tcBorders>
            <w:shd w:val="clear" w:color="auto" w:fill="auto"/>
            <w:noWrap/>
            <w:vAlign w:val="bottom"/>
            <w:hideMark/>
          </w:tcPr>
          <w:p w14:paraId="12112980"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3771C1A8"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(0.26)</w:t>
            </w:r>
          </w:p>
        </w:tc>
      </w:tr>
      <w:tr w:rsidR="009E4C3E" w:rsidRPr="00BA3A60" w14:paraId="3853B060"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1F0EFAEE"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2001 - 2005</w:t>
            </w:r>
          </w:p>
        </w:tc>
        <w:tc>
          <w:tcPr>
            <w:tcW w:w="300" w:type="dxa"/>
            <w:tcBorders>
              <w:top w:val="nil"/>
              <w:left w:val="nil"/>
              <w:bottom w:val="nil"/>
              <w:right w:val="nil"/>
            </w:tcBorders>
            <w:shd w:val="clear" w:color="auto" w:fill="auto"/>
            <w:noWrap/>
            <w:vAlign w:val="bottom"/>
            <w:hideMark/>
          </w:tcPr>
          <w:p w14:paraId="1CBD3017"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20EA9B9A" w14:textId="77777777" w:rsidR="009E4C3E" w:rsidRPr="00BA3A60" w:rsidRDefault="009E4C3E" w:rsidP="008C1344">
            <w:pPr>
              <w:jc w:val="center"/>
              <w:rPr>
                <w:rFonts w:eastAsia="Times New Roman" w:cs="Calibri"/>
                <w:color w:val="000000"/>
              </w:rPr>
            </w:pPr>
            <w:r w:rsidRPr="00BA3A60">
              <w:rPr>
                <w:rFonts w:eastAsia="Times New Roman" w:cs="Calibri"/>
                <w:color w:val="000000"/>
              </w:rPr>
              <w:t>2.44</w:t>
            </w:r>
          </w:p>
        </w:tc>
        <w:tc>
          <w:tcPr>
            <w:tcW w:w="1480" w:type="dxa"/>
            <w:tcBorders>
              <w:top w:val="nil"/>
              <w:left w:val="nil"/>
              <w:bottom w:val="nil"/>
              <w:right w:val="nil"/>
            </w:tcBorders>
            <w:shd w:val="clear" w:color="auto" w:fill="auto"/>
            <w:noWrap/>
            <w:vAlign w:val="bottom"/>
            <w:hideMark/>
          </w:tcPr>
          <w:p w14:paraId="63603417"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7CBB4BB1" w14:textId="77777777" w:rsidR="009E4C3E" w:rsidRPr="00BA3A60" w:rsidRDefault="009E4C3E" w:rsidP="008C1344">
            <w:pPr>
              <w:jc w:val="center"/>
              <w:rPr>
                <w:rFonts w:eastAsia="Times New Roman" w:cs="Calibri"/>
                <w:color w:val="000000"/>
              </w:rPr>
            </w:pPr>
            <w:r w:rsidRPr="00BA3A60">
              <w:rPr>
                <w:rFonts w:eastAsia="Times New Roman" w:cs="Calibri"/>
                <w:color w:val="000000"/>
              </w:rPr>
              <w:t>2.12</w:t>
            </w:r>
          </w:p>
        </w:tc>
      </w:tr>
      <w:tr w:rsidR="009E4C3E" w:rsidRPr="00BA3A60" w14:paraId="5809B931"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7DA21C14"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4F1C16DD"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03A5EFD6"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(0.53)</w:t>
            </w:r>
          </w:p>
        </w:tc>
        <w:tc>
          <w:tcPr>
            <w:tcW w:w="1480" w:type="dxa"/>
            <w:tcBorders>
              <w:top w:val="nil"/>
              <w:left w:val="nil"/>
              <w:bottom w:val="nil"/>
              <w:right w:val="nil"/>
            </w:tcBorders>
            <w:shd w:val="clear" w:color="auto" w:fill="auto"/>
            <w:noWrap/>
            <w:vAlign w:val="bottom"/>
            <w:hideMark/>
          </w:tcPr>
          <w:p w14:paraId="0FEE862A"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4C9DAD2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(0.50)</w:t>
            </w:r>
          </w:p>
        </w:tc>
      </w:tr>
      <w:tr w:rsidR="009E4C3E" w:rsidRPr="00BA3A60" w14:paraId="078B6A72"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081273D5"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2006 - 2010</w:t>
            </w:r>
          </w:p>
        </w:tc>
        <w:tc>
          <w:tcPr>
            <w:tcW w:w="300" w:type="dxa"/>
            <w:tcBorders>
              <w:top w:val="nil"/>
              <w:left w:val="nil"/>
              <w:bottom w:val="nil"/>
              <w:right w:val="nil"/>
            </w:tcBorders>
            <w:shd w:val="clear" w:color="auto" w:fill="auto"/>
            <w:noWrap/>
            <w:vAlign w:val="bottom"/>
            <w:hideMark/>
          </w:tcPr>
          <w:p w14:paraId="46F25C7D"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5AD30465"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4.48</w:t>
            </w:r>
          </w:p>
        </w:tc>
        <w:tc>
          <w:tcPr>
            <w:tcW w:w="1480" w:type="dxa"/>
            <w:tcBorders>
              <w:top w:val="nil"/>
              <w:left w:val="nil"/>
              <w:bottom w:val="nil"/>
              <w:right w:val="nil"/>
            </w:tcBorders>
            <w:shd w:val="clear" w:color="auto" w:fill="auto"/>
            <w:noWrap/>
            <w:vAlign w:val="bottom"/>
            <w:hideMark/>
          </w:tcPr>
          <w:p w14:paraId="6C5C807D"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33BA2788"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4.27</w:t>
            </w:r>
          </w:p>
        </w:tc>
      </w:tr>
      <w:tr w:rsidR="009E4C3E" w:rsidRPr="00BA3A60" w14:paraId="6AC83D0C"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0A7F4952"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502C8137"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5665FE2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(0.69)</w:t>
            </w:r>
          </w:p>
        </w:tc>
        <w:tc>
          <w:tcPr>
            <w:tcW w:w="1480" w:type="dxa"/>
            <w:tcBorders>
              <w:top w:val="nil"/>
              <w:left w:val="nil"/>
              <w:bottom w:val="nil"/>
              <w:right w:val="nil"/>
            </w:tcBorders>
            <w:shd w:val="clear" w:color="auto" w:fill="auto"/>
            <w:noWrap/>
            <w:vAlign w:val="bottom"/>
            <w:hideMark/>
          </w:tcPr>
          <w:p w14:paraId="21D53DCC"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0CB08418"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(0.68)</w:t>
            </w:r>
          </w:p>
        </w:tc>
      </w:tr>
      <w:tr w:rsidR="009E4C3E" w:rsidRPr="00BA3A60" w14:paraId="4E1C66A4"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1EDAD545"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2011 - 2015</w:t>
            </w:r>
          </w:p>
        </w:tc>
        <w:tc>
          <w:tcPr>
            <w:tcW w:w="300" w:type="dxa"/>
            <w:tcBorders>
              <w:top w:val="nil"/>
              <w:left w:val="nil"/>
              <w:bottom w:val="nil"/>
              <w:right w:val="nil"/>
            </w:tcBorders>
            <w:shd w:val="clear" w:color="auto" w:fill="auto"/>
            <w:noWrap/>
            <w:vAlign w:val="bottom"/>
            <w:hideMark/>
          </w:tcPr>
          <w:p w14:paraId="4C347EB9"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14EE6410"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4.92</w:t>
            </w:r>
          </w:p>
        </w:tc>
        <w:tc>
          <w:tcPr>
            <w:tcW w:w="1480" w:type="dxa"/>
            <w:tcBorders>
              <w:top w:val="nil"/>
              <w:left w:val="nil"/>
              <w:bottom w:val="nil"/>
              <w:right w:val="nil"/>
            </w:tcBorders>
            <w:shd w:val="clear" w:color="auto" w:fill="auto"/>
            <w:noWrap/>
            <w:vAlign w:val="bottom"/>
            <w:hideMark/>
          </w:tcPr>
          <w:p w14:paraId="18818006"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3B192139"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4.53</w:t>
            </w:r>
          </w:p>
        </w:tc>
      </w:tr>
      <w:tr w:rsidR="009E4C3E" w:rsidRPr="00BA3A60" w14:paraId="4B19596C"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329A80BD"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6C49A05C"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5F99D11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(0.99)</w:t>
            </w:r>
          </w:p>
        </w:tc>
        <w:tc>
          <w:tcPr>
            <w:tcW w:w="1480" w:type="dxa"/>
            <w:tcBorders>
              <w:top w:val="nil"/>
              <w:left w:val="nil"/>
              <w:bottom w:val="nil"/>
              <w:right w:val="nil"/>
            </w:tcBorders>
            <w:shd w:val="clear" w:color="auto" w:fill="auto"/>
            <w:noWrap/>
            <w:vAlign w:val="bottom"/>
            <w:hideMark/>
          </w:tcPr>
          <w:p w14:paraId="2AF87B17" w14:textId="77777777" w:rsidR="009E4C3E" w:rsidRPr="00BA3A60" w:rsidRDefault="009E4C3E" w:rsidP="008C1344">
            <w:pPr>
              <w:jc w:val="center"/>
              <w:rPr>
                <w:rFonts w:eastAsia="Times New Roman" w:cs="Calibri"/>
                <w:color w:val="000000"/>
              </w:rPr>
            </w:pPr>
          </w:p>
        </w:tc>
        <w:tc>
          <w:tcPr>
            <w:tcW w:w="1790" w:type="dxa"/>
            <w:tcBorders>
              <w:top w:val="nil"/>
              <w:left w:val="nil"/>
              <w:bottom w:val="nil"/>
              <w:right w:val="nil"/>
            </w:tcBorders>
            <w:shd w:val="clear" w:color="auto" w:fill="auto"/>
            <w:noWrap/>
            <w:vAlign w:val="bottom"/>
            <w:hideMark/>
          </w:tcPr>
          <w:p w14:paraId="1996D941"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(0.99)</w:t>
            </w:r>
          </w:p>
        </w:tc>
      </w:tr>
      <w:tr w:rsidR="009E4C3E" w:rsidRPr="00BA3A60" w14:paraId="531A3857"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268850AA" w14:textId="77777777" w:rsidR="009E4C3E" w:rsidRPr="00BA3A60" w:rsidRDefault="009E4C3E" w:rsidP="008C1344">
            <w:pPr>
              <w:rPr>
                <w:rFonts w:eastAsia="Times New Roman" w:cs="Calibri"/>
                <w:color w:val="000000"/>
              </w:rPr>
            </w:pPr>
            <w:r w:rsidRPr="00BA3A60">
              <w:rPr>
                <w:rFonts w:eastAsia="Times New Roman" w:cs="Calibri"/>
                <w:color w:val="000000"/>
              </w:rPr>
              <w:t>Non-triplicate x</w:t>
            </w:r>
          </w:p>
        </w:tc>
        <w:tc>
          <w:tcPr>
            <w:tcW w:w="300" w:type="dxa"/>
            <w:tcBorders>
              <w:top w:val="nil"/>
              <w:left w:val="nil"/>
              <w:bottom w:val="nil"/>
              <w:right w:val="nil"/>
            </w:tcBorders>
            <w:shd w:val="clear" w:color="auto" w:fill="auto"/>
            <w:noWrap/>
            <w:vAlign w:val="bottom"/>
            <w:hideMark/>
          </w:tcPr>
          <w:p w14:paraId="568B47B9"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384B665D"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3FA2D5AD" w14:textId="77777777" w:rsidR="009E4C3E" w:rsidRPr="00BA3A60" w:rsidRDefault="009E4C3E" w:rsidP="008C1344">
            <w:pPr>
              <w:jc w:val="center"/>
              <w:rPr>
                <w:rFonts w:ascii="Times New Roman" w:eastAsia="Times New Roman" w:hAnsi="Times New Roman" w:cs="Times New Roman"/>
                <w:color w:val="auto"/>
                <w:sz w:val="20"/>
                <w:szCs w:val="20"/>
              </w:rPr>
            </w:pPr>
          </w:p>
        </w:tc>
        <w:tc>
          <w:tcPr>
            <w:tcW w:w="1790" w:type="dxa"/>
            <w:tcBorders>
              <w:top w:val="nil"/>
              <w:left w:val="nil"/>
              <w:bottom w:val="nil"/>
              <w:right w:val="nil"/>
            </w:tcBorders>
            <w:shd w:val="clear" w:color="auto" w:fill="auto"/>
            <w:noWrap/>
            <w:vAlign w:val="bottom"/>
            <w:hideMark/>
          </w:tcPr>
          <w:p w14:paraId="64EC2A28" w14:textId="77777777" w:rsidR="009E4C3E" w:rsidRPr="00BA3A60" w:rsidRDefault="009E4C3E" w:rsidP="008C1344">
            <w:pPr>
              <w:rPr>
                <w:rFonts w:ascii="Times New Roman" w:eastAsia="Times New Roman" w:hAnsi="Times New Roman" w:cs="Times New Roman"/>
                <w:color w:val="auto"/>
                <w:sz w:val="20"/>
                <w:szCs w:val="20"/>
              </w:rPr>
            </w:pPr>
          </w:p>
        </w:tc>
      </w:tr>
      <w:tr w:rsidR="009E4C3E" w:rsidRPr="00BA3A60" w14:paraId="3694094F"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2FF04C74"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1996 - 2000</w:t>
            </w:r>
          </w:p>
        </w:tc>
        <w:tc>
          <w:tcPr>
            <w:tcW w:w="300" w:type="dxa"/>
            <w:tcBorders>
              <w:top w:val="nil"/>
              <w:left w:val="nil"/>
              <w:bottom w:val="nil"/>
              <w:right w:val="nil"/>
            </w:tcBorders>
            <w:shd w:val="clear" w:color="auto" w:fill="auto"/>
            <w:noWrap/>
            <w:vAlign w:val="bottom"/>
            <w:hideMark/>
          </w:tcPr>
          <w:p w14:paraId="30B1D8BB"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31D44890"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37F092DB"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0.66</w:t>
            </w:r>
          </w:p>
        </w:tc>
        <w:tc>
          <w:tcPr>
            <w:tcW w:w="1790" w:type="dxa"/>
            <w:tcBorders>
              <w:top w:val="nil"/>
              <w:left w:val="nil"/>
              <w:bottom w:val="nil"/>
              <w:right w:val="nil"/>
            </w:tcBorders>
            <w:shd w:val="clear" w:color="auto" w:fill="auto"/>
            <w:noWrap/>
            <w:vAlign w:val="bottom"/>
            <w:hideMark/>
          </w:tcPr>
          <w:p w14:paraId="233EAD88"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1.29</w:t>
            </w:r>
          </w:p>
        </w:tc>
      </w:tr>
      <w:tr w:rsidR="009E4C3E" w:rsidRPr="00BA3A60" w14:paraId="342E6FA1"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6835D970"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74E3914D"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594A1B3A"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0B035B69"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(0.66)</w:t>
            </w:r>
          </w:p>
        </w:tc>
        <w:tc>
          <w:tcPr>
            <w:tcW w:w="1790" w:type="dxa"/>
            <w:tcBorders>
              <w:top w:val="nil"/>
              <w:left w:val="nil"/>
              <w:bottom w:val="nil"/>
              <w:right w:val="nil"/>
            </w:tcBorders>
            <w:shd w:val="clear" w:color="auto" w:fill="auto"/>
            <w:noWrap/>
            <w:vAlign w:val="bottom"/>
            <w:hideMark/>
          </w:tcPr>
          <w:p w14:paraId="1AD68EBC"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(0.66)</w:t>
            </w:r>
          </w:p>
        </w:tc>
      </w:tr>
      <w:tr w:rsidR="009E4C3E" w:rsidRPr="00BA3A60" w14:paraId="1297EBF0"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747D4934"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2001 - 2005</w:t>
            </w:r>
          </w:p>
        </w:tc>
        <w:tc>
          <w:tcPr>
            <w:tcW w:w="300" w:type="dxa"/>
            <w:tcBorders>
              <w:top w:val="nil"/>
              <w:left w:val="nil"/>
              <w:bottom w:val="nil"/>
              <w:right w:val="nil"/>
            </w:tcBorders>
            <w:shd w:val="clear" w:color="auto" w:fill="auto"/>
            <w:noWrap/>
            <w:vAlign w:val="bottom"/>
            <w:hideMark/>
          </w:tcPr>
          <w:p w14:paraId="056E484E"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72D887EA"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77E302F5" w14:textId="77777777" w:rsidR="009E4C3E" w:rsidRPr="00BA3A60" w:rsidRDefault="009E4C3E" w:rsidP="008C1344">
            <w:pPr>
              <w:jc w:val="center"/>
              <w:rPr>
                <w:rFonts w:eastAsia="Times New Roman" w:cs="Calibri"/>
                <w:color w:val="000000"/>
              </w:rPr>
            </w:pPr>
            <w:r w:rsidRPr="00BA3A60">
              <w:rPr>
                <w:rFonts w:eastAsia="Times New Roman" w:cs="Calibri"/>
                <w:color w:val="000000"/>
              </w:rPr>
              <w:t>3.60</w:t>
            </w:r>
          </w:p>
        </w:tc>
        <w:tc>
          <w:tcPr>
            <w:tcW w:w="1790" w:type="dxa"/>
            <w:tcBorders>
              <w:top w:val="nil"/>
              <w:left w:val="nil"/>
              <w:bottom w:val="nil"/>
              <w:right w:val="nil"/>
            </w:tcBorders>
            <w:shd w:val="clear" w:color="auto" w:fill="auto"/>
            <w:noWrap/>
            <w:vAlign w:val="bottom"/>
            <w:hideMark/>
          </w:tcPr>
          <w:p w14:paraId="5AF56105" w14:textId="77777777" w:rsidR="009E4C3E" w:rsidRPr="00BA3A60" w:rsidRDefault="009E4C3E" w:rsidP="008C1344">
            <w:pPr>
              <w:jc w:val="center"/>
              <w:rPr>
                <w:rFonts w:eastAsia="Times New Roman" w:cs="Calibri"/>
                <w:color w:val="000000"/>
              </w:rPr>
            </w:pPr>
            <w:r w:rsidRPr="00BA3A60">
              <w:rPr>
                <w:rFonts w:eastAsia="Times New Roman" w:cs="Calibri"/>
                <w:color w:val="000000"/>
              </w:rPr>
              <w:t>3.50</w:t>
            </w:r>
          </w:p>
        </w:tc>
      </w:tr>
      <w:tr w:rsidR="009E4C3E" w:rsidRPr="00BA3A60" w14:paraId="4B5CAA84"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694317F9"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4DFB97BA"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47F8A678"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291712A7"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(1.31)</w:t>
            </w:r>
          </w:p>
        </w:tc>
        <w:tc>
          <w:tcPr>
            <w:tcW w:w="1790" w:type="dxa"/>
            <w:tcBorders>
              <w:top w:val="nil"/>
              <w:left w:val="nil"/>
              <w:bottom w:val="nil"/>
              <w:right w:val="nil"/>
            </w:tcBorders>
            <w:shd w:val="clear" w:color="auto" w:fill="auto"/>
            <w:noWrap/>
            <w:vAlign w:val="bottom"/>
            <w:hideMark/>
          </w:tcPr>
          <w:p w14:paraId="753347F6"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(1.46)</w:t>
            </w:r>
          </w:p>
        </w:tc>
      </w:tr>
      <w:tr w:rsidR="009E4C3E" w:rsidRPr="00BA3A60" w14:paraId="0531E56E"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3D06776D"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2006 - 2010</w:t>
            </w:r>
          </w:p>
        </w:tc>
        <w:tc>
          <w:tcPr>
            <w:tcW w:w="300" w:type="dxa"/>
            <w:tcBorders>
              <w:top w:val="nil"/>
              <w:left w:val="nil"/>
              <w:bottom w:val="nil"/>
              <w:right w:val="nil"/>
            </w:tcBorders>
            <w:shd w:val="clear" w:color="auto" w:fill="auto"/>
            <w:noWrap/>
            <w:vAlign w:val="bottom"/>
            <w:hideMark/>
          </w:tcPr>
          <w:p w14:paraId="3C205289"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3F0B259D"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29AEDBB1"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4.17</w:t>
            </w:r>
          </w:p>
        </w:tc>
        <w:tc>
          <w:tcPr>
            <w:tcW w:w="1790" w:type="dxa"/>
            <w:tcBorders>
              <w:top w:val="nil"/>
              <w:left w:val="nil"/>
              <w:bottom w:val="nil"/>
              <w:right w:val="nil"/>
            </w:tcBorders>
            <w:shd w:val="clear" w:color="auto" w:fill="auto"/>
            <w:noWrap/>
            <w:vAlign w:val="bottom"/>
            <w:hideMark/>
          </w:tcPr>
          <w:p w14:paraId="342EDF1B" w14:textId="77777777" w:rsidR="009E4C3E" w:rsidRPr="00BA3A60" w:rsidRDefault="009E4C3E" w:rsidP="008C1344">
            <w:pPr>
              <w:jc w:val="center"/>
              <w:rPr>
                <w:rFonts w:eastAsia="Times New Roman" w:cs="Calibri"/>
                <w:color w:val="000000"/>
              </w:rPr>
            </w:pPr>
            <w:r w:rsidRPr="00BA3A60">
              <w:rPr>
                <w:rFonts w:eastAsia="Times New Roman" w:cs="Calibri"/>
                <w:color w:val="000000"/>
              </w:rPr>
              <w:t>3.28</w:t>
            </w:r>
          </w:p>
        </w:tc>
      </w:tr>
      <w:tr w:rsidR="009E4C3E" w:rsidRPr="00BA3A60" w14:paraId="347B59D1"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663B5F89"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0ECCFBEA"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68E8FE1F"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4D69DB5B"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(1.10)</w:t>
            </w:r>
          </w:p>
        </w:tc>
        <w:tc>
          <w:tcPr>
            <w:tcW w:w="1790" w:type="dxa"/>
            <w:tcBorders>
              <w:top w:val="nil"/>
              <w:left w:val="nil"/>
              <w:bottom w:val="nil"/>
              <w:right w:val="nil"/>
            </w:tcBorders>
            <w:shd w:val="clear" w:color="auto" w:fill="auto"/>
            <w:noWrap/>
            <w:vAlign w:val="bottom"/>
            <w:hideMark/>
          </w:tcPr>
          <w:p w14:paraId="711101B4"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(1.28)</w:t>
            </w:r>
          </w:p>
        </w:tc>
      </w:tr>
      <w:tr w:rsidR="009E4C3E" w:rsidRPr="00BA3A60" w14:paraId="631369F3"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7B31717A" w14:textId="77777777" w:rsidR="009E4C3E" w:rsidRPr="00BA3A60" w:rsidRDefault="009E4C3E" w:rsidP="008C1344">
            <w:pPr>
              <w:rPr>
                <w:rFonts w:eastAsia="Times New Roman" w:cs="Calibri"/>
                <w:color w:val="000000"/>
              </w:rPr>
            </w:pPr>
            <w:r>
              <w:rPr>
                <w:rFonts w:eastAsia="Times New Roman" w:cs="Calibri"/>
                <w:color w:val="000000"/>
              </w:rPr>
              <w:t xml:space="preserve">   </w:t>
            </w:r>
            <w:r w:rsidRPr="00BA3A60">
              <w:rPr>
                <w:rFonts w:eastAsia="Times New Roman" w:cs="Calibri"/>
                <w:color w:val="000000"/>
              </w:rPr>
              <w:t>2011 - 2015</w:t>
            </w:r>
          </w:p>
        </w:tc>
        <w:tc>
          <w:tcPr>
            <w:tcW w:w="300" w:type="dxa"/>
            <w:tcBorders>
              <w:top w:val="nil"/>
              <w:left w:val="nil"/>
              <w:bottom w:val="nil"/>
              <w:right w:val="nil"/>
            </w:tcBorders>
            <w:shd w:val="clear" w:color="auto" w:fill="auto"/>
            <w:noWrap/>
            <w:vAlign w:val="bottom"/>
            <w:hideMark/>
          </w:tcPr>
          <w:p w14:paraId="32DB4B42" w14:textId="77777777" w:rsidR="009E4C3E" w:rsidRPr="00BA3A60" w:rsidRDefault="009E4C3E" w:rsidP="008C1344">
            <w:pPr>
              <w:rPr>
                <w:rFonts w:eastAsia="Times New Roman" w:cs="Calibri"/>
                <w:color w:val="000000"/>
              </w:rPr>
            </w:pPr>
          </w:p>
        </w:tc>
        <w:tc>
          <w:tcPr>
            <w:tcW w:w="1540" w:type="dxa"/>
            <w:tcBorders>
              <w:top w:val="nil"/>
              <w:left w:val="nil"/>
              <w:bottom w:val="nil"/>
              <w:right w:val="nil"/>
            </w:tcBorders>
            <w:shd w:val="clear" w:color="auto" w:fill="auto"/>
            <w:noWrap/>
            <w:vAlign w:val="bottom"/>
            <w:hideMark/>
          </w:tcPr>
          <w:p w14:paraId="21E2F939"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1B7FB5C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5.61</w:t>
            </w:r>
          </w:p>
        </w:tc>
        <w:tc>
          <w:tcPr>
            <w:tcW w:w="1790" w:type="dxa"/>
            <w:tcBorders>
              <w:top w:val="nil"/>
              <w:left w:val="nil"/>
              <w:bottom w:val="nil"/>
              <w:right w:val="nil"/>
            </w:tcBorders>
            <w:shd w:val="clear" w:color="auto" w:fill="auto"/>
            <w:noWrap/>
            <w:vAlign w:val="bottom"/>
            <w:hideMark/>
          </w:tcPr>
          <w:p w14:paraId="0D6E7F39" w14:textId="77777777" w:rsidR="009E4C3E" w:rsidRPr="00BA3A60" w:rsidRDefault="009E4C3E" w:rsidP="008C1344">
            <w:pPr>
              <w:jc w:val="center"/>
              <w:rPr>
                <w:rFonts w:eastAsia="Times New Roman" w:cs="Calibri"/>
                <w:color w:val="000000"/>
              </w:rPr>
            </w:pPr>
            <w:r w:rsidRPr="00BA3A60">
              <w:rPr>
                <w:rFonts w:eastAsia="Times New Roman" w:cs="Calibri"/>
                <w:color w:val="000000"/>
              </w:rPr>
              <w:t>4.70</w:t>
            </w:r>
          </w:p>
        </w:tc>
      </w:tr>
      <w:tr w:rsidR="009E4C3E" w:rsidRPr="00BA3A60" w14:paraId="502D2863"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7AD46A9D"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420AF2FC"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39188164"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7C28BCFB" w14:textId="77777777" w:rsidR="009E4C3E" w:rsidRPr="00BA3A60" w:rsidRDefault="009E4C3E" w:rsidP="008C1344">
            <w:pPr>
              <w:jc w:val="center"/>
              <w:rPr>
                <w:rFonts w:eastAsia="Times New Roman" w:cs="Calibri"/>
                <w:color w:val="000000"/>
              </w:rPr>
            </w:pPr>
            <w:r w:rsidRPr="00BA3A60">
              <w:rPr>
                <w:rFonts w:eastAsia="Times New Roman" w:cs="Calibri"/>
                <w:color w:val="000000"/>
              </w:rPr>
              <w:t>(0.98)</w:t>
            </w:r>
          </w:p>
        </w:tc>
        <w:tc>
          <w:tcPr>
            <w:tcW w:w="1790" w:type="dxa"/>
            <w:tcBorders>
              <w:top w:val="nil"/>
              <w:left w:val="nil"/>
              <w:bottom w:val="nil"/>
              <w:right w:val="nil"/>
            </w:tcBorders>
            <w:shd w:val="clear" w:color="auto" w:fill="auto"/>
            <w:noWrap/>
            <w:vAlign w:val="bottom"/>
            <w:hideMark/>
          </w:tcPr>
          <w:p w14:paraId="41E6D95A" w14:textId="77777777" w:rsidR="009E4C3E" w:rsidRPr="00BA3A60" w:rsidRDefault="009E4C3E" w:rsidP="008C1344">
            <w:pPr>
              <w:jc w:val="center"/>
              <w:rPr>
                <w:rFonts w:eastAsia="Times New Roman" w:cs="Calibri"/>
                <w:color w:val="000000"/>
              </w:rPr>
            </w:pPr>
            <w:r w:rsidRPr="00BA3A60">
              <w:rPr>
                <w:rFonts w:eastAsia="Times New Roman" w:cs="Calibri"/>
                <w:color w:val="000000"/>
              </w:rPr>
              <w:t>(1.10)</w:t>
            </w:r>
          </w:p>
        </w:tc>
      </w:tr>
      <w:tr w:rsidR="009E4C3E" w:rsidRPr="00BA3A60" w14:paraId="4FB32215" w14:textId="77777777" w:rsidTr="008C1344">
        <w:trPr>
          <w:trHeight w:val="312"/>
          <w:jc w:val="center"/>
        </w:trPr>
        <w:tc>
          <w:tcPr>
            <w:tcW w:w="2970" w:type="dxa"/>
            <w:tcBorders>
              <w:top w:val="nil"/>
              <w:left w:val="nil"/>
              <w:bottom w:val="nil"/>
              <w:right w:val="nil"/>
            </w:tcBorders>
            <w:shd w:val="clear" w:color="auto" w:fill="auto"/>
            <w:noWrap/>
            <w:vAlign w:val="bottom"/>
            <w:hideMark/>
          </w:tcPr>
          <w:p w14:paraId="6F733DDF" w14:textId="77777777" w:rsidR="009E4C3E" w:rsidRPr="00BA3A60" w:rsidRDefault="009E4C3E" w:rsidP="008C1344">
            <w:pPr>
              <w:jc w:val="center"/>
              <w:rPr>
                <w:rFonts w:eastAsia="Times New Roman" w:cs="Calibri"/>
                <w:color w:val="000000"/>
              </w:rPr>
            </w:pPr>
          </w:p>
        </w:tc>
        <w:tc>
          <w:tcPr>
            <w:tcW w:w="300" w:type="dxa"/>
            <w:tcBorders>
              <w:top w:val="nil"/>
              <w:left w:val="nil"/>
              <w:bottom w:val="nil"/>
              <w:right w:val="nil"/>
            </w:tcBorders>
            <w:shd w:val="clear" w:color="auto" w:fill="auto"/>
            <w:noWrap/>
            <w:vAlign w:val="bottom"/>
            <w:hideMark/>
          </w:tcPr>
          <w:p w14:paraId="33198109" w14:textId="77777777" w:rsidR="009E4C3E" w:rsidRPr="00BA3A60" w:rsidRDefault="009E4C3E" w:rsidP="008C1344">
            <w:pPr>
              <w:rPr>
                <w:rFonts w:ascii="Times New Roman" w:eastAsia="Times New Roman" w:hAnsi="Times New Roman" w:cs="Times New Roman"/>
                <w:color w:val="auto"/>
                <w:sz w:val="20"/>
                <w:szCs w:val="20"/>
              </w:rPr>
            </w:pPr>
          </w:p>
        </w:tc>
        <w:tc>
          <w:tcPr>
            <w:tcW w:w="1540" w:type="dxa"/>
            <w:tcBorders>
              <w:top w:val="nil"/>
              <w:left w:val="nil"/>
              <w:bottom w:val="nil"/>
              <w:right w:val="nil"/>
            </w:tcBorders>
            <w:shd w:val="clear" w:color="auto" w:fill="auto"/>
            <w:noWrap/>
            <w:vAlign w:val="bottom"/>
            <w:hideMark/>
          </w:tcPr>
          <w:p w14:paraId="7477F4D5" w14:textId="77777777" w:rsidR="009E4C3E" w:rsidRPr="00BA3A60" w:rsidRDefault="009E4C3E" w:rsidP="008C1344">
            <w:pPr>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38F882EB" w14:textId="77777777" w:rsidR="009E4C3E" w:rsidRPr="00BA3A60" w:rsidRDefault="009E4C3E" w:rsidP="008C1344">
            <w:pPr>
              <w:jc w:val="center"/>
              <w:rPr>
                <w:rFonts w:ascii="Times New Roman" w:eastAsia="Times New Roman" w:hAnsi="Times New Roman" w:cs="Times New Roman"/>
                <w:color w:val="auto"/>
                <w:sz w:val="20"/>
                <w:szCs w:val="20"/>
              </w:rPr>
            </w:pPr>
          </w:p>
        </w:tc>
        <w:tc>
          <w:tcPr>
            <w:tcW w:w="1790" w:type="dxa"/>
            <w:tcBorders>
              <w:top w:val="nil"/>
              <w:left w:val="nil"/>
              <w:bottom w:val="nil"/>
              <w:right w:val="nil"/>
            </w:tcBorders>
            <w:shd w:val="clear" w:color="auto" w:fill="auto"/>
            <w:noWrap/>
            <w:vAlign w:val="bottom"/>
            <w:hideMark/>
          </w:tcPr>
          <w:p w14:paraId="30C34ECF" w14:textId="77777777" w:rsidR="009E4C3E" w:rsidRPr="00BA3A60" w:rsidRDefault="009E4C3E" w:rsidP="008C1344">
            <w:pPr>
              <w:jc w:val="center"/>
              <w:rPr>
                <w:rFonts w:ascii="Times New Roman" w:eastAsia="Times New Roman" w:hAnsi="Times New Roman" w:cs="Times New Roman"/>
                <w:color w:val="auto"/>
                <w:sz w:val="20"/>
                <w:szCs w:val="20"/>
              </w:rPr>
            </w:pPr>
          </w:p>
        </w:tc>
      </w:tr>
      <w:tr w:rsidR="009E4C3E" w:rsidRPr="00BA3A60" w14:paraId="73D33B5B" w14:textId="77777777" w:rsidTr="008C1344">
        <w:trPr>
          <w:trHeight w:val="312"/>
          <w:jc w:val="center"/>
        </w:trPr>
        <w:tc>
          <w:tcPr>
            <w:tcW w:w="2970" w:type="dxa"/>
            <w:tcBorders>
              <w:top w:val="nil"/>
              <w:left w:val="nil"/>
              <w:right w:val="nil"/>
            </w:tcBorders>
            <w:shd w:val="clear" w:color="auto" w:fill="auto"/>
            <w:noWrap/>
            <w:vAlign w:val="bottom"/>
            <w:hideMark/>
          </w:tcPr>
          <w:p w14:paraId="262F5307" w14:textId="77777777" w:rsidR="009E4C3E" w:rsidRPr="00BA3A60" w:rsidRDefault="009E4C3E" w:rsidP="008C1344">
            <w:pPr>
              <w:rPr>
                <w:rFonts w:eastAsia="Times New Roman" w:cs="Calibri"/>
                <w:color w:val="000000"/>
              </w:rPr>
            </w:pPr>
            <w:r w:rsidRPr="00BA3A60">
              <w:rPr>
                <w:rFonts w:eastAsia="Times New Roman" w:cs="Calibri"/>
                <w:color w:val="000000"/>
              </w:rPr>
              <w:t xml:space="preserve">F-test, all SSDI </w:t>
            </w:r>
            <w:r>
              <w:rPr>
                <w:rFonts w:eastAsia="Times New Roman" w:cs="Calibri"/>
                <w:color w:val="000000"/>
              </w:rPr>
              <w:t xml:space="preserve">rate interaction coefficients </w:t>
            </w:r>
            <w:r w:rsidRPr="00BA3A60">
              <w:rPr>
                <w:rFonts w:eastAsia="Times New Roman" w:cs="Calibri"/>
                <w:color w:val="000000"/>
              </w:rPr>
              <w:t>zero</w:t>
            </w:r>
          </w:p>
        </w:tc>
        <w:tc>
          <w:tcPr>
            <w:tcW w:w="300" w:type="dxa"/>
            <w:tcBorders>
              <w:top w:val="nil"/>
              <w:left w:val="nil"/>
              <w:right w:val="nil"/>
            </w:tcBorders>
            <w:shd w:val="clear" w:color="auto" w:fill="auto"/>
            <w:noWrap/>
            <w:vAlign w:val="bottom"/>
            <w:hideMark/>
          </w:tcPr>
          <w:p w14:paraId="0090ED64" w14:textId="77777777" w:rsidR="009E4C3E" w:rsidRPr="00BA3A60" w:rsidRDefault="009E4C3E" w:rsidP="008C1344">
            <w:pPr>
              <w:rPr>
                <w:rFonts w:eastAsia="Times New Roman" w:cs="Calibri"/>
                <w:color w:val="000000"/>
              </w:rPr>
            </w:pPr>
          </w:p>
        </w:tc>
        <w:tc>
          <w:tcPr>
            <w:tcW w:w="1540" w:type="dxa"/>
            <w:tcBorders>
              <w:top w:val="nil"/>
              <w:left w:val="nil"/>
              <w:right w:val="nil"/>
            </w:tcBorders>
            <w:shd w:val="clear" w:color="auto" w:fill="auto"/>
            <w:noWrap/>
            <w:vAlign w:val="bottom"/>
            <w:hideMark/>
          </w:tcPr>
          <w:p w14:paraId="52EFD17F" w14:textId="77777777" w:rsidR="009E4C3E" w:rsidRPr="00BA3A60" w:rsidRDefault="009E4C3E" w:rsidP="008C1344">
            <w:pPr>
              <w:jc w:val="center"/>
              <w:rPr>
                <w:rFonts w:eastAsia="Times New Roman" w:cs="Calibri"/>
                <w:color w:val="000000"/>
              </w:rPr>
            </w:pPr>
            <w:r w:rsidRPr="00BA3A60">
              <w:rPr>
                <w:rFonts w:eastAsia="Times New Roman" w:cs="Calibri"/>
                <w:color w:val="000000"/>
              </w:rPr>
              <w:t>&lt;0.001</w:t>
            </w:r>
          </w:p>
        </w:tc>
        <w:tc>
          <w:tcPr>
            <w:tcW w:w="1480" w:type="dxa"/>
            <w:tcBorders>
              <w:top w:val="nil"/>
              <w:left w:val="nil"/>
              <w:right w:val="nil"/>
            </w:tcBorders>
            <w:shd w:val="clear" w:color="auto" w:fill="auto"/>
            <w:noWrap/>
            <w:vAlign w:val="bottom"/>
            <w:hideMark/>
          </w:tcPr>
          <w:p w14:paraId="5544C982" w14:textId="77777777" w:rsidR="009E4C3E" w:rsidRPr="00BA3A60" w:rsidRDefault="009E4C3E" w:rsidP="008C1344">
            <w:pPr>
              <w:jc w:val="center"/>
              <w:rPr>
                <w:rFonts w:eastAsia="Times New Roman" w:cs="Calibri"/>
                <w:color w:val="000000"/>
              </w:rPr>
            </w:pPr>
          </w:p>
        </w:tc>
        <w:tc>
          <w:tcPr>
            <w:tcW w:w="1790" w:type="dxa"/>
            <w:tcBorders>
              <w:top w:val="nil"/>
              <w:left w:val="nil"/>
              <w:right w:val="nil"/>
            </w:tcBorders>
            <w:shd w:val="clear" w:color="auto" w:fill="auto"/>
            <w:noWrap/>
            <w:vAlign w:val="bottom"/>
            <w:hideMark/>
          </w:tcPr>
          <w:p w14:paraId="4AF35366" w14:textId="77777777" w:rsidR="009E4C3E" w:rsidRPr="00BA3A60" w:rsidRDefault="009E4C3E" w:rsidP="008C1344">
            <w:pPr>
              <w:jc w:val="center"/>
              <w:rPr>
                <w:rFonts w:eastAsia="Times New Roman" w:cs="Calibri"/>
                <w:color w:val="000000"/>
              </w:rPr>
            </w:pPr>
            <w:r w:rsidRPr="00BA3A60">
              <w:rPr>
                <w:rFonts w:eastAsia="Times New Roman" w:cs="Calibri"/>
                <w:color w:val="000000"/>
              </w:rPr>
              <w:t>&lt;0.001</w:t>
            </w:r>
          </w:p>
        </w:tc>
      </w:tr>
      <w:tr w:rsidR="009E4C3E" w:rsidRPr="00BA3A60" w14:paraId="4BB1DD1C" w14:textId="77777777" w:rsidTr="008C1344">
        <w:trPr>
          <w:trHeight w:val="312"/>
          <w:jc w:val="center"/>
        </w:trPr>
        <w:tc>
          <w:tcPr>
            <w:tcW w:w="2970" w:type="dxa"/>
            <w:tcBorders>
              <w:top w:val="nil"/>
              <w:left w:val="nil"/>
              <w:bottom w:val="double" w:sz="4" w:space="0" w:color="auto"/>
              <w:right w:val="nil"/>
            </w:tcBorders>
            <w:shd w:val="clear" w:color="auto" w:fill="auto"/>
            <w:noWrap/>
            <w:vAlign w:val="bottom"/>
            <w:hideMark/>
          </w:tcPr>
          <w:p w14:paraId="099900F5" w14:textId="34A6FD9B" w:rsidR="009E4C3E" w:rsidRDefault="009E4C3E" w:rsidP="008C1344">
            <w:pPr>
              <w:rPr>
                <w:rFonts w:eastAsia="Times New Roman" w:cs="Calibri"/>
                <w:color w:val="000000"/>
              </w:rPr>
            </w:pPr>
            <w:r w:rsidRPr="00BA3A60">
              <w:rPr>
                <w:rFonts w:eastAsia="Times New Roman" w:cs="Calibri"/>
                <w:color w:val="000000"/>
              </w:rPr>
              <w:t xml:space="preserve">F-test, all </w:t>
            </w:r>
            <w:r w:rsidR="008D6D7E">
              <w:rPr>
                <w:rFonts w:eastAsia="Times New Roman" w:cs="Calibri"/>
                <w:color w:val="000000"/>
              </w:rPr>
              <w:t>n</w:t>
            </w:r>
            <w:r w:rsidRPr="00BA3A60">
              <w:rPr>
                <w:rFonts w:eastAsia="Times New Roman" w:cs="Calibri"/>
                <w:color w:val="000000"/>
              </w:rPr>
              <w:t>on-triplicate</w:t>
            </w:r>
          </w:p>
          <w:p w14:paraId="4DC663E3" w14:textId="77777777" w:rsidR="009E4C3E" w:rsidRPr="00BA3A60" w:rsidRDefault="009E4C3E" w:rsidP="008C1344">
            <w:pPr>
              <w:rPr>
                <w:rFonts w:eastAsia="Times New Roman" w:cs="Calibri"/>
                <w:color w:val="000000"/>
              </w:rPr>
            </w:pPr>
            <w:r>
              <w:rPr>
                <w:rFonts w:eastAsia="Times New Roman" w:cs="Calibri"/>
                <w:color w:val="000000"/>
              </w:rPr>
              <w:t xml:space="preserve">Coefficient interactions </w:t>
            </w:r>
            <w:r w:rsidRPr="00BA3A60">
              <w:rPr>
                <w:rFonts w:eastAsia="Times New Roman" w:cs="Calibri"/>
                <w:color w:val="000000"/>
              </w:rPr>
              <w:t>zero</w:t>
            </w:r>
          </w:p>
        </w:tc>
        <w:tc>
          <w:tcPr>
            <w:tcW w:w="300" w:type="dxa"/>
            <w:tcBorders>
              <w:top w:val="nil"/>
              <w:left w:val="nil"/>
              <w:bottom w:val="double" w:sz="4" w:space="0" w:color="auto"/>
              <w:right w:val="nil"/>
            </w:tcBorders>
            <w:shd w:val="clear" w:color="auto" w:fill="auto"/>
            <w:noWrap/>
            <w:vAlign w:val="bottom"/>
            <w:hideMark/>
          </w:tcPr>
          <w:p w14:paraId="4EF2CDBC" w14:textId="77777777" w:rsidR="009E4C3E" w:rsidRPr="00BA3A60" w:rsidRDefault="009E4C3E" w:rsidP="008C1344">
            <w:pPr>
              <w:rPr>
                <w:rFonts w:eastAsia="Times New Roman" w:cs="Calibri"/>
                <w:color w:val="000000"/>
              </w:rPr>
            </w:pPr>
            <w:r w:rsidRPr="00BA3A60">
              <w:rPr>
                <w:rFonts w:eastAsia="Times New Roman" w:cs="Calibri"/>
                <w:color w:val="000000"/>
              </w:rPr>
              <w:t> </w:t>
            </w:r>
          </w:p>
        </w:tc>
        <w:tc>
          <w:tcPr>
            <w:tcW w:w="1540" w:type="dxa"/>
            <w:tcBorders>
              <w:top w:val="nil"/>
              <w:left w:val="nil"/>
              <w:bottom w:val="double" w:sz="4" w:space="0" w:color="auto"/>
              <w:right w:val="nil"/>
            </w:tcBorders>
            <w:shd w:val="clear" w:color="auto" w:fill="auto"/>
            <w:noWrap/>
            <w:vAlign w:val="bottom"/>
            <w:hideMark/>
          </w:tcPr>
          <w:p w14:paraId="53CB9012" w14:textId="77777777" w:rsidR="009E4C3E" w:rsidRPr="00BA3A60" w:rsidRDefault="009E4C3E" w:rsidP="008C1344">
            <w:pPr>
              <w:jc w:val="center"/>
              <w:rPr>
                <w:rFonts w:eastAsia="Times New Roman" w:cs="Calibri"/>
                <w:color w:val="000000"/>
              </w:rPr>
            </w:pPr>
            <w:r w:rsidRPr="00BA3A60">
              <w:rPr>
                <w:rFonts w:eastAsia="Times New Roman" w:cs="Calibri"/>
                <w:color w:val="000000"/>
              </w:rPr>
              <w:t> </w:t>
            </w:r>
          </w:p>
        </w:tc>
        <w:tc>
          <w:tcPr>
            <w:tcW w:w="1480" w:type="dxa"/>
            <w:tcBorders>
              <w:top w:val="nil"/>
              <w:left w:val="nil"/>
              <w:bottom w:val="double" w:sz="4" w:space="0" w:color="auto"/>
              <w:right w:val="nil"/>
            </w:tcBorders>
            <w:shd w:val="clear" w:color="auto" w:fill="auto"/>
            <w:noWrap/>
            <w:vAlign w:val="bottom"/>
            <w:hideMark/>
          </w:tcPr>
          <w:p w14:paraId="4362D629" w14:textId="77777777" w:rsidR="009E4C3E" w:rsidRPr="00BA3A60" w:rsidRDefault="009E4C3E" w:rsidP="008C1344">
            <w:pPr>
              <w:jc w:val="center"/>
              <w:rPr>
                <w:rFonts w:eastAsia="Times New Roman" w:cs="Calibri"/>
                <w:color w:val="000000"/>
              </w:rPr>
            </w:pPr>
            <w:r w:rsidRPr="00BA3A60">
              <w:rPr>
                <w:rFonts w:eastAsia="Times New Roman" w:cs="Calibri"/>
                <w:color w:val="000000"/>
              </w:rPr>
              <w:t>&lt;0.001</w:t>
            </w:r>
          </w:p>
        </w:tc>
        <w:tc>
          <w:tcPr>
            <w:tcW w:w="1790" w:type="dxa"/>
            <w:tcBorders>
              <w:top w:val="nil"/>
              <w:left w:val="nil"/>
              <w:bottom w:val="double" w:sz="4" w:space="0" w:color="auto"/>
              <w:right w:val="nil"/>
            </w:tcBorders>
            <w:shd w:val="clear" w:color="auto" w:fill="auto"/>
            <w:noWrap/>
            <w:vAlign w:val="bottom"/>
            <w:hideMark/>
          </w:tcPr>
          <w:p w14:paraId="41BEB1A5" w14:textId="77777777" w:rsidR="009E4C3E" w:rsidRPr="00BA3A60" w:rsidRDefault="009E4C3E" w:rsidP="008C1344">
            <w:pPr>
              <w:jc w:val="center"/>
              <w:rPr>
                <w:rFonts w:eastAsia="Times New Roman" w:cs="Calibri"/>
                <w:color w:val="000000"/>
              </w:rPr>
            </w:pPr>
            <w:r w:rsidRPr="00BA3A60">
              <w:rPr>
                <w:rFonts w:eastAsia="Times New Roman" w:cs="Calibri"/>
                <w:color w:val="000000"/>
              </w:rPr>
              <w:t>&lt;0.001</w:t>
            </w:r>
          </w:p>
        </w:tc>
      </w:tr>
    </w:tbl>
    <w:p w14:paraId="017C50AB" w14:textId="335D30BE" w:rsidR="009E4C3E" w:rsidRPr="002720F5" w:rsidRDefault="009E4C3E" w:rsidP="00030FA6">
      <w:pPr>
        <w:ind w:left="810"/>
      </w:pPr>
      <w:r w:rsidRPr="008B3FCE">
        <w:rPr>
          <w:sz w:val="20"/>
          <w:szCs w:val="20"/>
        </w:rPr>
        <w:t xml:space="preserve">Notes:  Standard errors in parentheses are clustered at the state level. All models include year and county fixed effects plus the fraction female, fraction black, fraction other race, fraction Hispanic, and the fraction in age groups 24-34, 35-44, 45-54, 55-64, 65-74, 85-84, and 85 and above. All models weighted by the adult population in the county. There are data for 33 years from 3,106 counties and </w:t>
      </w:r>
      <w:r w:rsidR="00AE6291">
        <w:rPr>
          <w:sz w:val="20"/>
          <w:szCs w:val="20"/>
        </w:rPr>
        <w:t>102,498 observations.</w:t>
      </w:r>
    </w:p>
    <w:p w14:paraId="192F6D44" w14:textId="77777777" w:rsidR="009E4C3E" w:rsidRDefault="009E4C3E" w:rsidP="009E4C3E">
      <w:pPr>
        <w:rPr>
          <w:b/>
          <w:bCs/>
        </w:rPr>
      </w:pPr>
      <w:r>
        <w:rPr>
          <w:b/>
          <w:bCs/>
        </w:rPr>
        <w:br w:type="page"/>
      </w:r>
    </w:p>
    <w:p w14:paraId="4B7F8592" w14:textId="77777777" w:rsidR="009E4C3E" w:rsidRDefault="009E4C3E" w:rsidP="009E4C3E">
      <w:pPr>
        <w:rPr>
          <w:b/>
          <w:bCs/>
        </w:rPr>
        <w:sectPr w:rsidR="009E4C3E" w:rsidSect="00D73DFC">
          <w:pgSz w:w="12240" w:h="15840"/>
          <w:pgMar w:top="1296" w:right="1296" w:bottom="1296" w:left="1296" w:header="720" w:footer="720" w:gutter="0"/>
          <w:cols w:space="720"/>
          <w:docGrid w:linePitch="360"/>
        </w:sectPr>
      </w:pPr>
    </w:p>
    <w:p w14:paraId="76341C66" w14:textId="1923ABCA" w:rsidR="009E4C3E" w:rsidRDefault="009E4C3E" w:rsidP="009E4C3E">
      <w:pPr>
        <w:jc w:val="center"/>
      </w:pPr>
      <w:r>
        <w:lastRenderedPageBreak/>
        <w:t xml:space="preserve">Appendix Table </w:t>
      </w:r>
      <w:r w:rsidR="00B30081">
        <w:t>E</w:t>
      </w:r>
      <w:r>
        <w:t>2</w:t>
      </w:r>
    </w:p>
    <w:p w14:paraId="48325BDB" w14:textId="77777777" w:rsidR="009E4C3E" w:rsidRDefault="009E4C3E" w:rsidP="009E4C3E">
      <w:pPr>
        <w:jc w:val="center"/>
      </w:pPr>
      <w:r>
        <w:t>Difference-in-Difference Estimates for Drug Poisoning Death Rates, 1983-2015</w:t>
      </w:r>
    </w:p>
    <w:tbl>
      <w:tblPr>
        <w:tblW w:w="12053" w:type="dxa"/>
        <w:jc w:val="center"/>
        <w:tblLook w:val="04A0" w:firstRow="1" w:lastRow="0" w:firstColumn="1" w:lastColumn="0" w:noHBand="0" w:noVBand="1"/>
      </w:tblPr>
      <w:tblGrid>
        <w:gridCol w:w="2127"/>
        <w:gridCol w:w="323"/>
        <w:gridCol w:w="1178"/>
        <w:gridCol w:w="1671"/>
        <w:gridCol w:w="1203"/>
        <w:gridCol w:w="1178"/>
        <w:gridCol w:w="1347"/>
        <w:gridCol w:w="1679"/>
        <w:gridCol w:w="1347"/>
      </w:tblGrid>
      <w:tr w:rsidR="009E4C3E" w:rsidRPr="00AB2901" w14:paraId="42D42BD3" w14:textId="77777777" w:rsidTr="008C1344">
        <w:trPr>
          <w:trHeight w:val="324"/>
          <w:jc w:val="center"/>
        </w:trPr>
        <w:tc>
          <w:tcPr>
            <w:tcW w:w="1820" w:type="dxa"/>
            <w:tcBorders>
              <w:top w:val="nil"/>
              <w:left w:val="nil"/>
              <w:bottom w:val="double" w:sz="4" w:space="0" w:color="auto"/>
              <w:right w:val="nil"/>
            </w:tcBorders>
            <w:shd w:val="clear" w:color="auto" w:fill="auto"/>
            <w:noWrap/>
            <w:vAlign w:val="bottom"/>
            <w:hideMark/>
          </w:tcPr>
          <w:p w14:paraId="4EFAC27D"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276" w:type="dxa"/>
            <w:tcBorders>
              <w:top w:val="nil"/>
              <w:left w:val="nil"/>
              <w:bottom w:val="double" w:sz="4" w:space="0" w:color="auto"/>
              <w:right w:val="nil"/>
            </w:tcBorders>
            <w:shd w:val="clear" w:color="auto" w:fill="auto"/>
            <w:noWrap/>
            <w:vAlign w:val="bottom"/>
            <w:hideMark/>
          </w:tcPr>
          <w:p w14:paraId="05041EC3"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008" w:type="dxa"/>
            <w:tcBorders>
              <w:top w:val="nil"/>
              <w:left w:val="nil"/>
              <w:bottom w:val="double" w:sz="4" w:space="0" w:color="auto"/>
              <w:right w:val="nil"/>
            </w:tcBorders>
            <w:shd w:val="clear" w:color="auto" w:fill="auto"/>
            <w:noWrap/>
            <w:vAlign w:val="bottom"/>
            <w:hideMark/>
          </w:tcPr>
          <w:p w14:paraId="0A1CE128"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152" w:type="dxa"/>
            <w:tcBorders>
              <w:top w:val="nil"/>
              <w:left w:val="nil"/>
              <w:bottom w:val="double" w:sz="4" w:space="0" w:color="auto"/>
              <w:right w:val="nil"/>
            </w:tcBorders>
            <w:shd w:val="clear" w:color="auto" w:fill="auto"/>
            <w:noWrap/>
            <w:vAlign w:val="bottom"/>
            <w:hideMark/>
          </w:tcPr>
          <w:p w14:paraId="10F6657F"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008" w:type="dxa"/>
            <w:tcBorders>
              <w:top w:val="nil"/>
              <w:left w:val="nil"/>
              <w:bottom w:val="double" w:sz="4" w:space="0" w:color="auto"/>
              <w:right w:val="nil"/>
            </w:tcBorders>
            <w:shd w:val="clear" w:color="auto" w:fill="auto"/>
            <w:noWrap/>
            <w:vAlign w:val="bottom"/>
            <w:hideMark/>
          </w:tcPr>
          <w:p w14:paraId="57A061D2"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008" w:type="dxa"/>
            <w:tcBorders>
              <w:top w:val="nil"/>
              <w:left w:val="nil"/>
              <w:bottom w:val="double" w:sz="4" w:space="0" w:color="auto"/>
              <w:right w:val="nil"/>
            </w:tcBorders>
            <w:shd w:val="clear" w:color="auto" w:fill="auto"/>
            <w:noWrap/>
            <w:vAlign w:val="bottom"/>
            <w:hideMark/>
          </w:tcPr>
          <w:p w14:paraId="3ED5A755"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152" w:type="dxa"/>
            <w:tcBorders>
              <w:top w:val="nil"/>
              <w:left w:val="nil"/>
              <w:bottom w:val="double" w:sz="4" w:space="0" w:color="auto"/>
              <w:right w:val="nil"/>
            </w:tcBorders>
            <w:shd w:val="clear" w:color="auto" w:fill="auto"/>
            <w:noWrap/>
            <w:vAlign w:val="bottom"/>
            <w:hideMark/>
          </w:tcPr>
          <w:p w14:paraId="25812CE4"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152" w:type="dxa"/>
            <w:tcBorders>
              <w:top w:val="nil"/>
              <w:left w:val="nil"/>
              <w:bottom w:val="double" w:sz="4" w:space="0" w:color="auto"/>
              <w:right w:val="nil"/>
            </w:tcBorders>
            <w:shd w:val="clear" w:color="auto" w:fill="auto"/>
            <w:noWrap/>
            <w:vAlign w:val="bottom"/>
            <w:hideMark/>
          </w:tcPr>
          <w:p w14:paraId="67A3E577"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152" w:type="dxa"/>
            <w:tcBorders>
              <w:top w:val="nil"/>
              <w:left w:val="nil"/>
              <w:bottom w:val="double" w:sz="4" w:space="0" w:color="auto"/>
              <w:right w:val="nil"/>
            </w:tcBorders>
            <w:shd w:val="clear" w:color="auto" w:fill="auto"/>
            <w:noWrap/>
            <w:vAlign w:val="bottom"/>
            <w:hideMark/>
          </w:tcPr>
          <w:p w14:paraId="15A700BE"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r>
      <w:tr w:rsidR="009E4C3E" w:rsidRPr="00AB2901" w14:paraId="617E5F18" w14:textId="77777777" w:rsidTr="008C1344">
        <w:trPr>
          <w:trHeight w:val="396"/>
          <w:jc w:val="center"/>
        </w:trPr>
        <w:tc>
          <w:tcPr>
            <w:tcW w:w="1820" w:type="dxa"/>
            <w:tcBorders>
              <w:top w:val="double" w:sz="4" w:space="0" w:color="auto"/>
              <w:left w:val="nil"/>
              <w:right w:val="nil"/>
            </w:tcBorders>
            <w:shd w:val="clear" w:color="auto" w:fill="auto"/>
            <w:noWrap/>
            <w:vAlign w:val="bottom"/>
          </w:tcPr>
          <w:p w14:paraId="60A21D56" w14:textId="77777777" w:rsidR="009E4C3E" w:rsidRPr="00AB2901" w:rsidRDefault="009E4C3E" w:rsidP="008C1344">
            <w:pPr>
              <w:rPr>
                <w:rFonts w:eastAsia="Times New Roman" w:cs="Calibri"/>
                <w:color w:val="000000"/>
              </w:rPr>
            </w:pPr>
          </w:p>
        </w:tc>
        <w:tc>
          <w:tcPr>
            <w:tcW w:w="276" w:type="dxa"/>
            <w:tcBorders>
              <w:top w:val="double" w:sz="4" w:space="0" w:color="auto"/>
              <w:left w:val="nil"/>
              <w:right w:val="nil"/>
            </w:tcBorders>
            <w:shd w:val="clear" w:color="auto" w:fill="auto"/>
            <w:noWrap/>
            <w:vAlign w:val="bottom"/>
          </w:tcPr>
          <w:p w14:paraId="464C445C" w14:textId="77777777" w:rsidR="009E4C3E" w:rsidRPr="00AB2901" w:rsidRDefault="009E4C3E" w:rsidP="008C1344">
            <w:pPr>
              <w:rPr>
                <w:rFonts w:eastAsia="Times New Roman" w:cs="Calibri"/>
                <w:color w:val="000000"/>
              </w:rPr>
            </w:pPr>
          </w:p>
        </w:tc>
        <w:tc>
          <w:tcPr>
            <w:tcW w:w="1008" w:type="dxa"/>
            <w:tcBorders>
              <w:top w:val="double" w:sz="4" w:space="0" w:color="auto"/>
              <w:left w:val="nil"/>
              <w:right w:val="nil"/>
            </w:tcBorders>
            <w:shd w:val="clear" w:color="auto" w:fill="auto"/>
            <w:vAlign w:val="bottom"/>
          </w:tcPr>
          <w:p w14:paraId="76E74846" w14:textId="77777777" w:rsidR="009E4C3E" w:rsidRPr="00AB2901" w:rsidRDefault="009E4C3E" w:rsidP="008C1344">
            <w:pPr>
              <w:jc w:val="center"/>
              <w:rPr>
                <w:rFonts w:eastAsia="Times New Roman" w:cs="Calibri"/>
                <w:color w:val="000000"/>
              </w:rPr>
            </w:pPr>
          </w:p>
        </w:tc>
        <w:tc>
          <w:tcPr>
            <w:tcW w:w="1152" w:type="dxa"/>
            <w:tcBorders>
              <w:top w:val="double" w:sz="4" w:space="0" w:color="auto"/>
              <w:left w:val="nil"/>
              <w:right w:val="nil"/>
            </w:tcBorders>
            <w:shd w:val="clear" w:color="auto" w:fill="auto"/>
            <w:vAlign w:val="bottom"/>
          </w:tcPr>
          <w:p w14:paraId="21CC90E1" w14:textId="77777777" w:rsidR="009E4C3E" w:rsidRPr="00AB2901" w:rsidRDefault="009E4C3E" w:rsidP="008C1344">
            <w:pPr>
              <w:jc w:val="center"/>
              <w:rPr>
                <w:rFonts w:eastAsia="Times New Roman" w:cs="Calibri"/>
                <w:color w:val="000000"/>
              </w:rPr>
            </w:pPr>
          </w:p>
        </w:tc>
        <w:tc>
          <w:tcPr>
            <w:tcW w:w="1152" w:type="dxa"/>
            <w:gridSpan w:val="5"/>
            <w:tcBorders>
              <w:top w:val="double" w:sz="4" w:space="0" w:color="auto"/>
              <w:left w:val="nil"/>
              <w:bottom w:val="single" w:sz="4" w:space="0" w:color="auto"/>
              <w:right w:val="nil"/>
            </w:tcBorders>
            <w:shd w:val="clear" w:color="auto" w:fill="auto"/>
            <w:vAlign w:val="bottom"/>
          </w:tcPr>
          <w:p w14:paraId="3FDECD7F" w14:textId="77777777" w:rsidR="009E4C3E" w:rsidRDefault="009E4C3E" w:rsidP="008C1344">
            <w:pPr>
              <w:jc w:val="center"/>
              <w:rPr>
                <w:rFonts w:eastAsia="Times New Roman" w:cs="Calibri"/>
                <w:color w:val="000000"/>
              </w:rPr>
            </w:pPr>
            <w:r>
              <w:rPr>
                <w:rFonts w:eastAsia="Times New Roman" w:cs="Calibri"/>
                <w:color w:val="000000"/>
              </w:rPr>
              <w:t>Add to the model</w:t>
            </w:r>
          </w:p>
        </w:tc>
      </w:tr>
      <w:tr w:rsidR="009E4C3E" w:rsidRPr="00AB2901" w14:paraId="03222416" w14:textId="77777777" w:rsidTr="008C1344">
        <w:trPr>
          <w:trHeight w:val="948"/>
          <w:jc w:val="center"/>
        </w:trPr>
        <w:tc>
          <w:tcPr>
            <w:tcW w:w="1820" w:type="dxa"/>
            <w:tcBorders>
              <w:left w:val="nil"/>
              <w:bottom w:val="single" w:sz="4" w:space="0" w:color="auto"/>
              <w:right w:val="nil"/>
            </w:tcBorders>
            <w:shd w:val="clear" w:color="auto" w:fill="auto"/>
            <w:noWrap/>
            <w:vAlign w:val="bottom"/>
            <w:hideMark/>
          </w:tcPr>
          <w:p w14:paraId="48131361"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276" w:type="dxa"/>
            <w:tcBorders>
              <w:left w:val="nil"/>
              <w:bottom w:val="single" w:sz="4" w:space="0" w:color="auto"/>
              <w:right w:val="nil"/>
            </w:tcBorders>
            <w:shd w:val="clear" w:color="auto" w:fill="auto"/>
            <w:noWrap/>
            <w:vAlign w:val="bottom"/>
            <w:hideMark/>
          </w:tcPr>
          <w:p w14:paraId="1EDB4D27"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008" w:type="dxa"/>
            <w:tcBorders>
              <w:left w:val="nil"/>
              <w:bottom w:val="single" w:sz="4" w:space="0" w:color="auto"/>
              <w:right w:val="nil"/>
            </w:tcBorders>
            <w:shd w:val="clear" w:color="auto" w:fill="auto"/>
            <w:vAlign w:val="bottom"/>
            <w:hideMark/>
          </w:tcPr>
          <w:p w14:paraId="5E2B8DA2" w14:textId="77777777" w:rsidR="009E4C3E" w:rsidRDefault="009E4C3E" w:rsidP="008C1344">
            <w:pPr>
              <w:jc w:val="center"/>
              <w:rPr>
                <w:rFonts w:eastAsia="Times New Roman" w:cs="Calibri"/>
                <w:color w:val="000000"/>
              </w:rPr>
            </w:pPr>
            <w:r w:rsidRPr="00AB2901">
              <w:rPr>
                <w:rFonts w:eastAsia="Times New Roman" w:cs="Calibri"/>
                <w:color w:val="000000"/>
              </w:rPr>
              <w:t>Baseline</w:t>
            </w:r>
          </w:p>
          <w:p w14:paraId="47E57018" w14:textId="77777777" w:rsidR="009E4C3E" w:rsidRPr="00AB2901" w:rsidRDefault="009E4C3E" w:rsidP="008C1344">
            <w:pPr>
              <w:jc w:val="center"/>
              <w:rPr>
                <w:rFonts w:eastAsia="Times New Roman" w:cs="Calibri"/>
                <w:color w:val="000000"/>
              </w:rPr>
            </w:pPr>
            <w:r>
              <w:rPr>
                <w:rFonts w:eastAsia="Times New Roman" w:cs="Calibri"/>
                <w:color w:val="000000"/>
              </w:rPr>
              <w:t>(1)</w:t>
            </w:r>
          </w:p>
        </w:tc>
        <w:tc>
          <w:tcPr>
            <w:tcW w:w="1152" w:type="dxa"/>
            <w:tcBorders>
              <w:left w:val="nil"/>
              <w:bottom w:val="single" w:sz="4" w:space="0" w:color="auto"/>
              <w:right w:val="nil"/>
            </w:tcBorders>
            <w:shd w:val="clear" w:color="auto" w:fill="auto"/>
            <w:vAlign w:val="bottom"/>
            <w:hideMark/>
          </w:tcPr>
          <w:p w14:paraId="480A264E" w14:textId="77777777" w:rsidR="009E4C3E" w:rsidRDefault="009E4C3E" w:rsidP="008C1344">
            <w:pPr>
              <w:jc w:val="center"/>
              <w:rPr>
                <w:rFonts w:eastAsia="Times New Roman" w:cs="Calibri"/>
                <w:color w:val="000000"/>
              </w:rPr>
            </w:pPr>
            <w:r w:rsidRPr="00AB2901">
              <w:rPr>
                <w:rFonts w:eastAsia="Times New Roman" w:cs="Calibri"/>
                <w:color w:val="000000"/>
              </w:rPr>
              <w:t>No demographic controls</w:t>
            </w:r>
          </w:p>
          <w:p w14:paraId="486C5328" w14:textId="77777777" w:rsidR="009E4C3E" w:rsidRPr="00AB2901" w:rsidRDefault="009E4C3E" w:rsidP="008C1344">
            <w:pPr>
              <w:jc w:val="center"/>
              <w:rPr>
                <w:rFonts w:eastAsia="Times New Roman" w:cs="Calibri"/>
                <w:color w:val="000000"/>
              </w:rPr>
            </w:pPr>
            <w:r>
              <w:rPr>
                <w:rFonts w:eastAsia="Times New Roman" w:cs="Calibri"/>
                <w:color w:val="000000"/>
              </w:rPr>
              <w:t>(2)</w:t>
            </w:r>
          </w:p>
        </w:tc>
        <w:tc>
          <w:tcPr>
            <w:tcW w:w="1008" w:type="dxa"/>
            <w:tcBorders>
              <w:top w:val="single" w:sz="4" w:space="0" w:color="auto"/>
              <w:left w:val="nil"/>
              <w:bottom w:val="single" w:sz="4" w:space="0" w:color="auto"/>
              <w:right w:val="nil"/>
            </w:tcBorders>
            <w:shd w:val="clear" w:color="auto" w:fill="auto"/>
            <w:vAlign w:val="bottom"/>
            <w:hideMark/>
          </w:tcPr>
          <w:p w14:paraId="7EBEF0AE" w14:textId="77777777" w:rsidR="009E4C3E" w:rsidRDefault="009E4C3E" w:rsidP="008C1344">
            <w:pPr>
              <w:jc w:val="center"/>
              <w:rPr>
                <w:rFonts w:eastAsia="Times New Roman" w:cs="Calibri"/>
                <w:color w:val="000000"/>
              </w:rPr>
            </w:pPr>
            <w:r>
              <w:rPr>
                <w:rFonts w:eastAsia="Times New Roman" w:cs="Calibri"/>
                <w:color w:val="000000"/>
              </w:rPr>
              <w:t xml:space="preserve">Controls for </w:t>
            </w:r>
            <w:r w:rsidRPr="00AB2901">
              <w:rPr>
                <w:rFonts w:eastAsia="Times New Roman" w:cs="Calibri"/>
                <w:color w:val="000000"/>
              </w:rPr>
              <w:t>PDMP</w:t>
            </w:r>
          </w:p>
          <w:p w14:paraId="7E244A87" w14:textId="77777777" w:rsidR="009E4C3E" w:rsidRDefault="009E4C3E" w:rsidP="008C1344">
            <w:pPr>
              <w:jc w:val="center"/>
              <w:rPr>
                <w:rFonts w:eastAsia="Times New Roman" w:cs="Calibri"/>
                <w:color w:val="000000"/>
              </w:rPr>
            </w:pPr>
            <w:r>
              <w:rPr>
                <w:rFonts w:eastAsia="Times New Roman" w:cs="Calibri"/>
                <w:color w:val="000000"/>
              </w:rPr>
              <w:t>Laws</w:t>
            </w:r>
          </w:p>
          <w:p w14:paraId="514C1F0B" w14:textId="77777777" w:rsidR="009E4C3E" w:rsidRPr="00AB2901" w:rsidRDefault="009E4C3E" w:rsidP="008C1344">
            <w:pPr>
              <w:jc w:val="center"/>
              <w:rPr>
                <w:rFonts w:eastAsia="Times New Roman" w:cs="Calibri"/>
                <w:color w:val="000000"/>
              </w:rPr>
            </w:pPr>
            <w:r>
              <w:rPr>
                <w:rFonts w:eastAsia="Times New Roman" w:cs="Calibri"/>
                <w:color w:val="000000"/>
              </w:rPr>
              <w:t>(3)</w:t>
            </w:r>
          </w:p>
        </w:tc>
        <w:tc>
          <w:tcPr>
            <w:tcW w:w="1008" w:type="dxa"/>
            <w:tcBorders>
              <w:top w:val="single" w:sz="4" w:space="0" w:color="auto"/>
              <w:left w:val="nil"/>
              <w:bottom w:val="single" w:sz="4" w:space="0" w:color="auto"/>
              <w:right w:val="nil"/>
            </w:tcBorders>
            <w:shd w:val="clear" w:color="auto" w:fill="auto"/>
            <w:vAlign w:val="bottom"/>
            <w:hideMark/>
          </w:tcPr>
          <w:p w14:paraId="704FC887" w14:textId="77777777" w:rsidR="009E4C3E" w:rsidRDefault="009E4C3E" w:rsidP="008C1344">
            <w:pPr>
              <w:jc w:val="center"/>
              <w:rPr>
                <w:rFonts w:eastAsia="Times New Roman" w:cs="Calibri"/>
                <w:color w:val="000000"/>
              </w:rPr>
            </w:pPr>
            <w:r>
              <w:rPr>
                <w:rFonts w:eastAsia="Times New Roman" w:cs="Calibri"/>
                <w:color w:val="000000"/>
              </w:rPr>
              <w:t xml:space="preserve">Linear </w:t>
            </w:r>
          </w:p>
          <w:p w14:paraId="3FCCD396" w14:textId="77777777" w:rsidR="009E4C3E" w:rsidRDefault="009E4C3E" w:rsidP="008C1344">
            <w:pPr>
              <w:jc w:val="center"/>
              <w:rPr>
                <w:rFonts w:eastAsia="Times New Roman" w:cs="Calibri"/>
                <w:color w:val="000000"/>
              </w:rPr>
            </w:pPr>
            <w:r>
              <w:rPr>
                <w:rFonts w:eastAsia="Times New Roman" w:cs="Calibri"/>
                <w:color w:val="000000"/>
              </w:rPr>
              <w:t xml:space="preserve">county </w:t>
            </w:r>
          </w:p>
          <w:p w14:paraId="2FDDF4BD" w14:textId="77777777" w:rsidR="009E4C3E" w:rsidRDefault="009E4C3E" w:rsidP="008C1344">
            <w:pPr>
              <w:jc w:val="center"/>
              <w:rPr>
                <w:rFonts w:eastAsia="Times New Roman" w:cs="Calibri"/>
                <w:color w:val="000000"/>
              </w:rPr>
            </w:pPr>
            <w:r>
              <w:rPr>
                <w:rFonts w:eastAsia="Times New Roman" w:cs="Calibri"/>
                <w:color w:val="000000"/>
              </w:rPr>
              <w:t>trends</w:t>
            </w:r>
          </w:p>
          <w:p w14:paraId="7102C8EE" w14:textId="77777777" w:rsidR="009E4C3E" w:rsidRPr="00AB2901" w:rsidRDefault="009E4C3E" w:rsidP="008C1344">
            <w:pPr>
              <w:jc w:val="center"/>
              <w:rPr>
                <w:rFonts w:eastAsia="Times New Roman" w:cs="Calibri"/>
                <w:color w:val="000000"/>
              </w:rPr>
            </w:pPr>
            <w:r>
              <w:rPr>
                <w:rFonts w:eastAsia="Times New Roman" w:cs="Calibri"/>
                <w:color w:val="000000"/>
              </w:rPr>
              <w:t>(4)</w:t>
            </w:r>
          </w:p>
        </w:tc>
        <w:tc>
          <w:tcPr>
            <w:tcW w:w="1152" w:type="dxa"/>
            <w:tcBorders>
              <w:top w:val="single" w:sz="4" w:space="0" w:color="auto"/>
              <w:left w:val="nil"/>
              <w:bottom w:val="single" w:sz="4" w:space="0" w:color="auto"/>
              <w:right w:val="nil"/>
            </w:tcBorders>
            <w:shd w:val="clear" w:color="auto" w:fill="auto"/>
            <w:vAlign w:val="bottom"/>
            <w:hideMark/>
          </w:tcPr>
          <w:p w14:paraId="12E33D3D" w14:textId="77777777" w:rsidR="009E4C3E" w:rsidRDefault="009E4C3E" w:rsidP="008C1344">
            <w:pPr>
              <w:jc w:val="center"/>
              <w:rPr>
                <w:rFonts w:eastAsia="Times New Roman" w:cs="Calibri"/>
                <w:color w:val="000000"/>
              </w:rPr>
            </w:pPr>
            <w:r>
              <w:rPr>
                <w:rFonts w:eastAsia="Times New Roman" w:cs="Calibri"/>
                <w:color w:val="000000"/>
              </w:rPr>
              <w:t xml:space="preserve">State x year </w:t>
            </w:r>
          </w:p>
          <w:p w14:paraId="32B0FA7E" w14:textId="77777777" w:rsidR="009E4C3E" w:rsidRDefault="009E4C3E" w:rsidP="008C1344">
            <w:pPr>
              <w:jc w:val="center"/>
              <w:rPr>
                <w:rFonts w:eastAsia="Times New Roman" w:cs="Calibri"/>
                <w:color w:val="000000"/>
              </w:rPr>
            </w:pPr>
            <w:r>
              <w:rPr>
                <w:rFonts w:eastAsia="Times New Roman" w:cs="Calibri"/>
                <w:color w:val="000000"/>
              </w:rPr>
              <w:t>fixed-effects</w:t>
            </w:r>
          </w:p>
          <w:p w14:paraId="4A86897E" w14:textId="77777777" w:rsidR="009E4C3E" w:rsidRPr="00AB2901" w:rsidRDefault="009E4C3E" w:rsidP="008C1344">
            <w:pPr>
              <w:jc w:val="center"/>
              <w:rPr>
                <w:rFonts w:eastAsia="Times New Roman" w:cs="Calibri"/>
                <w:color w:val="000000"/>
              </w:rPr>
            </w:pPr>
            <w:r>
              <w:rPr>
                <w:rFonts w:eastAsia="Times New Roman" w:cs="Calibri"/>
                <w:color w:val="000000"/>
              </w:rPr>
              <w:t>(5)</w:t>
            </w:r>
          </w:p>
        </w:tc>
        <w:tc>
          <w:tcPr>
            <w:tcW w:w="1152" w:type="dxa"/>
            <w:tcBorders>
              <w:top w:val="single" w:sz="4" w:space="0" w:color="auto"/>
              <w:left w:val="nil"/>
              <w:bottom w:val="single" w:sz="4" w:space="0" w:color="auto"/>
              <w:right w:val="nil"/>
            </w:tcBorders>
            <w:shd w:val="clear" w:color="auto" w:fill="auto"/>
            <w:vAlign w:val="bottom"/>
            <w:hideMark/>
          </w:tcPr>
          <w:p w14:paraId="265578D2" w14:textId="77777777" w:rsidR="009E4C3E" w:rsidRDefault="009E4C3E" w:rsidP="008C1344">
            <w:pPr>
              <w:jc w:val="center"/>
              <w:rPr>
                <w:rFonts w:eastAsia="Times New Roman" w:cs="Calibri"/>
                <w:color w:val="000000"/>
              </w:rPr>
            </w:pPr>
            <w:r>
              <w:rPr>
                <w:rFonts w:eastAsia="Times New Roman" w:cs="Calibri"/>
                <w:color w:val="000000"/>
              </w:rPr>
              <w:t>Employment</w:t>
            </w:r>
          </w:p>
          <w:p w14:paraId="3808E628" w14:textId="77777777" w:rsidR="009E4C3E" w:rsidRDefault="009E4C3E" w:rsidP="008C1344">
            <w:pPr>
              <w:jc w:val="center"/>
              <w:rPr>
                <w:rFonts w:eastAsia="Times New Roman" w:cs="Calibri"/>
                <w:color w:val="000000"/>
              </w:rPr>
            </w:pPr>
            <w:r>
              <w:rPr>
                <w:rFonts w:eastAsia="Times New Roman" w:cs="Calibri"/>
                <w:color w:val="000000"/>
              </w:rPr>
              <w:t>Rate</w:t>
            </w:r>
          </w:p>
          <w:p w14:paraId="48726C84" w14:textId="77777777" w:rsidR="009E4C3E" w:rsidRPr="00AB2901" w:rsidRDefault="009E4C3E" w:rsidP="008C1344">
            <w:pPr>
              <w:jc w:val="center"/>
              <w:rPr>
                <w:rFonts w:eastAsia="Times New Roman" w:cs="Calibri"/>
                <w:color w:val="000000"/>
              </w:rPr>
            </w:pPr>
            <w:r>
              <w:rPr>
                <w:rFonts w:eastAsia="Times New Roman" w:cs="Calibri"/>
                <w:color w:val="000000"/>
              </w:rPr>
              <w:t>(6)</w:t>
            </w:r>
          </w:p>
        </w:tc>
        <w:tc>
          <w:tcPr>
            <w:tcW w:w="1152" w:type="dxa"/>
            <w:tcBorders>
              <w:top w:val="single" w:sz="4" w:space="0" w:color="auto"/>
              <w:left w:val="nil"/>
              <w:bottom w:val="single" w:sz="4" w:space="0" w:color="auto"/>
              <w:right w:val="nil"/>
            </w:tcBorders>
            <w:shd w:val="clear" w:color="auto" w:fill="auto"/>
            <w:vAlign w:val="bottom"/>
            <w:hideMark/>
          </w:tcPr>
          <w:p w14:paraId="68B9D194" w14:textId="77777777" w:rsidR="009E4C3E" w:rsidRDefault="009E4C3E" w:rsidP="008C1344">
            <w:pPr>
              <w:jc w:val="center"/>
              <w:rPr>
                <w:rFonts w:eastAsia="Times New Roman" w:cs="Calibri"/>
                <w:color w:val="000000"/>
              </w:rPr>
            </w:pPr>
            <w:r>
              <w:rPr>
                <w:rFonts w:eastAsia="Times New Roman" w:cs="Calibri"/>
                <w:color w:val="000000"/>
              </w:rPr>
              <w:t>China trade shock</w:t>
            </w:r>
          </w:p>
          <w:p w14:paraId="3BA9FB80" w14:textId="77777777" w:rsidR="009E4C3E" w:rsidRPr="00AB2901" w:rsidRDefault="009E4C3E" w:rsidP="008C1344">
            <w:pPr>
              <w:jc w:val="center"/>
              <w:rPr>
                <w:rFonts w:eastAsia="Times New Roman" w:cs="Calibri"/>
                <w:color w:val="000000"/>
              </w:rPr>
            </w:pPr>
            <w:r>
              <w:rPr>
                <w:rFonts w:eastAsia="Times New Roman" w:cs="Calibri"/>
                <w:color w:val="000000"/>
              </w:rPr>
              <w:t>(7)</w:t>
            </w:r>
          </w:p>
        </w:tc>
      </w:tr>
      <w:tr w:rsidR="009E4C3E" w:rsidRPr="00AB2901" w14:paraId="48FDDD9E"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4FCF1783" w14:textId="77777777" w:rsidR="009E4C3E" w:rsidRPr="00AB2901" w:rsidRDefault="009E4C3E" w:rsidP="008C1344">
            <w:pPr>
              <w:rPr>
                <w:rFonts w:eastAsia="Times New Roman" w:cs="Calibri"/>
                <w:color w:val="000000"/>
              </w:rPr>
            </w:pPr>
            <w:r w:rsidRPr="00AB2901">
              <w:rPr>
                <w:rFonts w:eastAsia="Times New Roman" w:cs="Calibri"/>
                <w:color w:val="000000"/>
              </w:rPr>
              <w:t>1990 SSDI rate x</w:t>
            </w:r>
          </w:p>
        </w:tc>
        <w:tc>
          <w:tcPr>
            <w:tcW w:w="276" w:type="dxa"/>
            <w:tcBorders>
              <w:top w:val="nil"/>
              <w:left w:val="nil"/>
              <w:bottom w:val="nil"/>
              <w:right w:val="nil"/>
            </w:tcBorders>
            <w:shd w:val="clear" w:color="auto" w:fill="auto"/>
            <w:noWrap/>
            <w:vAlign w:val="bottom"/>
            <w:hideMark/>
          </w:tcPr>
          <w:p w14:paraId="56C5ED49" w14:textId="77777777" w:rsidR="009E4C3E" w:rsidRPr="00AB2901" w:rsidRDefault="009E4C3E" w:rsidP="008C1344">
            <w:pPr>
              <w:rPr>
                <w:rFonts w:eastAsia="Times New Roman" w:cs="Calibri"/>
                <w:color w:val="000000"/>
              </w:rPr>
            </w:pPr>
          </w:p>
        </w:tc>
        <w:tc>
          <w:tcPr>
            <w:tcW w:w="1008" w:type="dxa"/>
            <w:tcBorders>
              <w:top w:val="nil"/>
              <w:left w:val="nil"/>
              <w:bottom w:val="nil"/>
              <w:right w:val="nil"/>
            </w:tcBorders>
            <w:shd w:val="clear" w:color="auto" w:fill="auto"/>
            <w:noWrap/>
            <w:vAlign w:val="bottom"/>
            <w:hideMark/>
          </w:tcPr>
          <w:p w14:paraId="022CDB32" w14:textId="77777777" w:rsidR="009E4C3E" w:rsidRPr="00AB2901" w:rsidRDefault="009E4C3E" w:rsidP="008C1344">
            <w:pP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0DE1C032"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2896E608"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40037D4C" w14:textId="77777777" w:rsidR="009E4C3E" w:rsidRPr="00AB2901" w:rsidRDefault="009E4C3E" w:rsidP="008C1344">
            <w:pP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60EAB5E2" w14:textId="77777777" w:rsidR="009E4C3E" w:rsidRPr="00AB2901" w:rsidRDefault="009E4C3E" w:rsidP="008C1344">
            <w:pP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275080CF" w14:textId="77777777" w:rsidR="009E4C3E" w:rsidRPr="00AB2901" w:rsidRDefault="009E4C3E" w:rsidP="008C1344">
            <w:pP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566A59A4" w14:textId="77777777" w:rsidR="009E4C3E" w:rsidRPr="00AB2901" w:rsidRDefault="009E4C3E" w:rsidP="008C1344">
            <w:pPr>
              <w:rPr>
                <w:rFonts w:ascii="Times New Roman" w:eastAsia="Times New Roman" w:hAnsi="Times New Roman" w:cs="Times New Roman"/>
                <w:color w:val="auto"/>
                <w:sz w:val="20"/>
                <w:szCs w:val="20"/>
              </w:rPr>
            </w:pPr>
          </w:p>
        </w:tc>
      </w:tr>
      <w:tr w:rsidR="009E4C3E" w:rsidRPr="00AB2901" w14:paraId="7B4CFCFD"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4E2BC599" w14:textId="77777777" w:rsidR="009E4C3E" w:rsidRPr="00AB2901" w:rsidRDefault="009E4C3E" w:rsidP="008C1344">
            <w:pPr>
              <w:rPr>
                <w:rFonts w:eastAsia="Times New Roman" w:cs="Calibri"/>
                <w:color w:val="000000"/>
              </w:rPr>
            </w:pPr>
            <w:r>
              <w:rPr>
                <w:rFonts w:eastAsia="Times New Roman" w:cs="Calibri"/>
                <w:color w:val="000000"/>
              </w:rPr>
              <w:t xml:space="preserve">     </w:t>
            </w:r>
            <w:r w:rsidRPr="00AB2901">
              <w:rPr>
                <w:rFonts w:eastAsia="Times New Roman" w:cs="Calibri"/>
                <w:color w:val="000000"/>
              </w:rPr>
              <w:t>1996 - 2000</w:t>
            </w:r>
          </w:p>
        </w:tc>
        <w:tc>
          <w:tcPr>
            <w:tcW w:w="276" w:type="dxa"/>
            <w:tcBorders>
              <w:top w:val="nil"/>
              <w:left w:val="nil"/>
              <w:bottom w:val="nil"/>
              <w:right w:val="nil"/>
            </w:tcBorders>
            <w:shd w:val="clear" w:color="auto" w:fill="auto"/>
            <w:noWrap/>
            <w:vAlign w:val="bottom"/>
            <w:hideMark/>
          </w:tcPr>
          <w:p w14:paraId="00485833" w14:textId="77777777" w:rsidR="009E4C3E" w:rsidRPr="00AB2901" w:rsidRDefault="009E4C3E" w:rsidP="008C1344">
            <w:pPr>
              <w:rPr>
                <w:rFonts w:eastAsia="Times New Roman" w:cs="Calibri"/>
                <w:color w:val="000000"/>
              </w:rPr>
            </w:pPr>
          </w:p>
        </w:tc>
        <w:tc>
          <w:tcPr>
            <w:tcW w:w="1008" w:type="dxa"/>
            <w:tcBorders>
              <w:top w:val="nil"/>
              <w:left w:val="nil"/>
              <w:bottom w:val="nil"/>
              <w:right w:val="nil"/>
            </w:tcBorders>
            <w:shd w:val="clear" w:color="auto" w:fill="auto"/>
            <w:noWrap/>
            <w:vAlign w:val="bottom"/>
            <w:hideMark/>
          </w:tcPr>
          <w:p w14:paraId="726C594B"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0.23</w:t>
            </w:r>
          </w:p>
        </w:tc>
        <w:tc>
          <w:tcPr>
            <w:tcW w:w="1152" w:type="dxa"/>
            <w:tcBorders>
              <w:top w:val="nil"/>
              <w:left w:val="nil"/>
              <w:bottom w:val="nil"/>
              <w:right w:val="nil"/>
            </w:tcBorders>
            <w:shd w:val="clear" w:color="auto" w:fill="auto"/>
            <w:noWrap/>
            <w:vAlign w:val="bottom"/>
            <w:hideMark/>
          </w:tcPr>
          <w:p w14:paraId="41AA7800"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0.50</w:t>
            </w:r>
          </w:p>
        </w:tc>
        <w:tc>
          <w:tcPr>
            <w:tcW w:w="1008" w:type="dxa"/>
            <w:tcBorders>
              <w:top w:val="nil"/>
              <w:left w:val="nil"/>
              <w:bottom w:val="nil"/>
              <w:right w:val="nil"/>
            </w:tcBorders>
            <w:shd w:val="clear" w:color="auto" w:fill="auto"/>
            <w:noWrap/>
            <w:vAlign w:val="bottom"/>
            <w:hideMark/>
          </w:tcPr>
          <w:p w14:paraId="43CA737D"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0.22</w:t>
            </w:r>
          </w:p>
        </w:tc>
        <w:tc>
          <w:tcPr>
            <w:tcW w:w="1008" w:type="dxa"/>
            <w:tcBorders>
              <w:top w:val="nil"/>
              <w:left w:val="nil"/>
              <w:bottom w:val="nil"/>
              <w:right w:val="nil"/>
            </w:tcBorders>
            <w:shd w:val="clear" w:color="auto" w:fill="auto"/>
            <w:noWrap/>
            <w:vAlign w:val="bottom"/>
            <w:hideMark/>
          </w:tcPr>
          <w:p w14:paraId="48BD53E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-0.06</w:t>
            </w:r>
          </w:p>
        </w:tc>
        <w:tc>
          <w:tcPr>
            <w:tcW w:w="1152" w:type="dxa"/>
            <w:tcBorders>
              <w:top w:val="nil"/>
              <w:left w:val="nil"/>
              <w:bottom w:val="nil"/>
              <w:right w:val="nil"/>
            </w:tcBorders>
            <w:shd w:val="clear" w:color="auto" w:fill="auto"/>
            <w:noWrap/>
            <w:vAlign w:val="bottom"/>
            <w:hideMark/>
          </w:tcPr>
          <w:p w14:paraId="2249C34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1.03</w:t>
            </w:r>
          </w:p>
        </w:tc>
        <w:tc>
          <w:tcPr>
            <w:tcW w:w="1152" w:type="dxa"/>
            <w:tcBorders>
              <w:top w:val="nil"/>
              <w:left w:val="nil"/>
              <w:bottom w:val="nil"/>
              <w:right w:val="nil"/>
            </w:tcBorders>
            <w:shd w:val="clear" w:color="auto" w:fill="auto"/>
            <w:noWrap/>
            <w:vAlign w:val="bottom"/>
            <w:hideMark/>
          </w:tcPr>
          <w:p w14:paraId="02D5514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0.19</w:t>
            </w:r>
          </w:p>
        </w:tc>
        <w:tc>
          <w:tcPr>
            <w:tcW w:w="1152" w:type="dxa"/>
            <w:tcBorders>
              <w:top w:val="nil"/>
              <w:left w:val="nil"/>
              <w:bottom w:val="nil"/>
              <w:right w:val="nil"/>
            </w:tcBorders>
            <w:shd w:val="clear" w:color="auto" w:fill="auto"/>
            <w:noWrap/>
            <w:vAlign w:val="bottom"/>
            <w:hideMark/>
          </w:tcPr>
          <w:p w14:paraId="4C9B4258"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0.43</w:t>
            </w:r>
          </w:p>
        </w:tc>
      </w:tr>
      <w:tr w:rsidR="009E4C3E" w:rsidRPr="00AB2901" w14:paraId="0B1B05EF"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539270A4" w14:textId="77777777" w:rsidR="009E4C3E" w:rsidRPr="00AB2901" w:rsidRDefault="009E4C3E" w:rsidP="008C1344">
            <w:pPr>
              <w:jc w:val="center"/>
              <w:rPr>
                <w:rFonts w:eastAsia="Times New Roman" w:cs="Calibri"/>
                <w:color w:val="000000"/>
              </w:rPr>
            </w:pPr>
          </w:p>
        </w:tc>
        <w:tc>
          <w:tcPr>
            <w:tcW w:w="276" w:type="dxa"/>
            <w:tcBorders>
              <w:top w:val="nil"/>
              <w:left w:val="nil"/>
              <w:bottom w:val="nil"/>
              <w:right w:val="nil"/>
            </w:tcBorders>
            <w:shd w:val="clear" w:color="auto" w:fill="auto"/>
            <w:noWrap/>
            <w:vAlign w:val="bottom"/>
            <w:hideMark/>
          </w:tcPr>
          <w:p w14:paraId="33F831CC"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539B405E"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(0.28)</w:t>
            </w:r>
          </w:p>
        </w:tc>
        <w:tc>
          <w:tcPr>
            <w:tcW w:w="1152" w:type="dxa"/>
            <w:tcBorders>
              <w:top w:val="nil"/>
              <w:left w:val="nil"/>
              <w:bottom w:val="nil"/>
              <w:right w:val="nil"/>
            </w:tcBorders>
            <w:shd w:val="clear" w:color="auto" w:fill="auto"/>
            <w:noWrap/>
            <w:vAlign w:val="bottom"/>
            <w:hideMark/>
          </w:tcPr>
          <w:p w14:paraId="06012726"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(0.26)</w:t>
            </w:r>
          </w:p>
        </w:tc>
        <w:tc>
          <w:tcPr>
            <w:tcW w:w="1008" w:type="dxa"/>
            <w:tcBorders>
              <w:top w:val="nil"/>
              <w:left w:val="nil"/>
              <w:bottom w:val="nil"/>
              <w:right w:val="nil"/>
            </w:tcBorders>
            <w:shd w:val="clear" w:color="auto" w:fill="auto"/>
            <w:noWrap/>
            <w:vAlign w:val="bottom"/>
            <w:hideMark/>
          </w:tcPr>
          <w:p w14:paraId="75479DD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(0.27)</w:t>
            </w:r>
          </w:p>
        </w:tc>
        <w:tc>
          <w:tcPr>
            <w:tcW w:w="1008" w:type="dxa"/>
            <w:tcBorders>
              <w:top w:val="nil"/>
              <w:left w:val="nil"/>
              <w:bottom w:val="nil"/>
              <w:right w:val="nil"/>
            </w:tcBorders>
            <w:shd w:val="clear" w:color="auto" w:fill="auto"/>
            <w:noWrap/>
            <w:vAlign w:val="bottom"/>
            <w:hideMark/>
          </w:tcPr>
          <w:p w14:paraId="577F346B"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(0.13)</w:t>
            </w:r>
          </w:p>
        </w:tc>
        <w:tc>
          <w:tcPr>
            <w:tcW w:w="1152" w:type="dxa"/>
            <w:tcBorders>
              <w:top w:val="nil"/>
              <w:left w:val="nil"/>
              <w:bottom w:val="nil"/>
              <w:right w:val="nil"/>
            </w:tcBorders>
            <w:shd w:val="clear" w:color="auto" w:fill="auto"/>
            <w:noWrap/>
            <w:vAlign w:val="bottom"/>
            <w:hideMark/>
          </w:tcPr>
          <w:p w14:paraId="460ADBB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(0.40)</w:t>
            </w:r>
          </w:p>
        </w:tc>
        <w:tc>
          <w:tcPr>
            <w:tcW w:w="1152" w:type="dxa"/>
            <w:tcBorders>
              <w:top w:val="nil"/>
              <w:left w:val="nil"/>
              <w:bottom w:val="nil"/>
              <w:right w:val="nil"/>
            </w:tcBorders>
            <w:shd w:val="clear" w:color="auto" w:fill="auto"/>
            <w:noWrap/>
            <w:vAlign w:val="bottom"/>
            <w:hideMark/>
          </w:tcPr>
          <w:p w14:paraId="299AE19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(0.29)</w:t>
            </w:r>
          </w:p>
        </w:tc>
        <w:tc>
          <w:tcPr>
            <w:tcW w:w="1152" w:type="dxa"/>
            <w:tcBorders>
              <w:top w:val="nil"/>
              <w:left w:val="nil"/>
              <w:bottom w:val="nil"/>
              <w:right w:val="nil"/>
            </w:tcBorders>
            <w:shd w:val="clear" w:color="auto" w:fill="auto"/>
            <w:noWrap/>
            <w:vAlign w:val="bottom"/>
            <w:hideMark/>
          </w:tcPr>
          <w:p w14:paraId="35CCC129"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(0.28)</w:t>
            </w:r>
          </w:p>
        </w:tc>
      </w:tr>
      <w:tr w:rsidR="009E4C3E" w:rsidRPr="00AB2901" w14:paraId="0C94E896"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26BF529B" w14:textId="77777777" w:rsidR="009E4C3E" w:rsidRDefault="009E4C3E" w:rsidP="008C1344">
            <w:pPr>
              <w:rPr>
                <w:rFonts w:eastAsia="Times New Roman" w:cs="Calibri"/>
                <w:color w:val="000000"/>
              </w:rPr>
            </w:pPr>
            <w:r>
              <w:rPr>
                <w:rFonts w:eastAsia="Times New Roman" w:cs="Calibri"/>
                <w:color w:val="000000"/>
              </w:rPr>
              <w:t xml:space="preserve">     </w:t>
            </w:r>
          </w:p>
          <w:p w14:paraId="14D0C14E" w14:textId="77777777" w:rsidR="009E4C3E" w:rsidRPr="00AB2901" w:rsidRDefault="009E4C3E" w:rsidP="008C1344">
            <w:pPr>
              <w:rPr>
                <w:rFonts w:eastAsia="Times New Roman" w:cs="Calibri"/>
                <w:color w:val="000000"/>
              </w:rPr>
            </w:pPr>
            <w:r>
              <w:rPr>
                <w:rFonts w:eastAsia="Times New Roman" w:cs="Calibri"/>
                <w:color w:val="000000"/>
              </w:rPr>
              <w:t xml:space="preserve">     </w:t>
            </w:r>
            <w:r w:rsidRPr="00AB2901">
              <w:rPr>
                <w:rFonts w:eastAsia="Times New Roman" w:cs="Calibri"/>
                <w:color w:val="000000"/>
              </w:rPr>
              <w:t>2001 - 2005</w:t>
            </w:r>
          </w:p>
        </w:tc>
        <w:tc>
          <w:tcPr>
            <w:tcW w:w="276" w:type="dxa"/>
            <w:tcBorders>
              <w:top w:val="nil"/>
              <w:left w:val="nil"/>
              <w:bottom w:val="nil"/>
              <w:right w:val="nil"/>
            </w:tcBorders>
            <w:shd w:val="clear" w:color="auto" w:fill="auto"/>
            <w:noWrap/>
            <w:vAlign w:val="bottom"/>
            <w:hideMark/>
          </w:tcPr>
          <w:p w14:paraId="27947B45" w14:textId="77777777" w:rsidR="009E4C3E" w:rsidRPr="00AB2901" w:rsidRDefault="009E4C3E" w:rsidP="008C1344">
            <w:pPr>
              <w:rPr>
                <w:rFonts w:eastAsia="Times New Roman" w:cs="Calibri"/>
                <w:color w:val="000000"/>
              </w:rPr>
            </w:pPr>
          </w:p>
        </w:tc>
        <w:tc>
          <w:tcPr>
            <w:tcW w:w="1008" w:type="dxa"/>
            <w:tcBorders>
              <w:top w:val="nil"/>
              <w:left w:val="nil"/>
              <w:bottom w:val="nil"/>
              <w:right w:val="nil"/>
            </w:tcBorders>
            <w:shd w:val="clear" w:color="auto" w:fill="auto"/>
            <w:noWrap/>
            <w:vAlign w:val="bottom"/>
            <w:hideMark/>
          </w:tcPr>
          <w:p w14:paraId="0649C6C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2.44</w:t>
            </w:r>
          </w:p>
        </w:tc>
        <w:tc>
          <w:tcPr>
            <w:tcW w:w="1152" w:type="dxa"/>
            <w:tcBorders>
              <w:top w:val="nil"/>
              <w:left w:val="nil"/>
              <w:bottom w:val="nil"/>
              <w:right w:val="nil"/>
            </w:tcBorders>
            <w:shd w:val="clear" w:color="auto" w:fill="auto"/>
            <w:noWrap/>
            <w:vAlign w:val="bottom"/>
            <w:hideMark/>
          </w:tcPr>
          <w:p w14:paraId="575CA44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2.78</w:t>
            </w:r>
          </w:p>
        </w:tc>
        <w:tc>
          <w:tcPr>
            <w:tcW w:w="1008" w:type="dxa"/>
            <w:tcBorders>
              <w:top w:val="nil"/>
              <w:left w:val="nil"/>
              <w:bottom w:val="nil"/>
              <w:right w:val="nil"/>
            </w:tcBorders>
            <w:shd w:val="clear" w:color="auto" w:fill="auto"/>
            <w:noWrap/>
            <w:vAlign w:val="bottom"/>
            <w:hideMark/>
          </w:tcPr>
          <w:p w14:paraId="181710A9"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2.42</w:t>
            </w:r>
          </w:p>
        </w:tc>
        <w:tc>
          <w:tcPr>
            <w:tcW w:w="1008" w:type="dxa"/>
            <w:tcBorders>
              <w:top w:val="nil"/>
              <w:left w:val="nil"/>
              <w:bottom w:val="nil"/>
              <w:right w:val="nil"/>
            </w:tcBorders>
            <w:shd w:val="clear" w:color="auto" w:fill="auto"/>
            <w:noWrap/>
            <w:vAlign w:val="bottom"/>
            <w:hideMark/>
          </w:tcPr>
          <w:p w14:paraId="47E6E73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1.92</w:t>
            </w:r>
          </w:p>
        </w:tc>
        <w:tc>
          <w:tcPr>
            <w:tcW w:w="1152" w:type="dxa"/>
            <w:tcBorders>
              <w:top w:val="nil"/>
              <w:left w:val="nil"/>
              <w:bottom w:val="nil"/>
              <w:right w:val="nil"/>
            </w:tcBorders>
            <w:shd w:val="clear" w:color="auto" w:fill="auto"/>
            <w:noWrap/>
            <w:vAlign w:val="bottom"/>
            <w:hideMark/>
          </w:tcPr>
          <w:p w14:paraId="00409E7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2.57</w:t>
            </w:r>
          </w:p>
        </w:tc>
        <w:tc>
          <w:tcPr>
            <w:tcW w:w="1152" w:type="dxa"/>
            <w:tcBorders>
              <w:top w:val="nil"/>
              <w:left w:val="nil"/>
              <w:bottom w:val="nil"/>
              <w:right w:val="nil"/>
            </w:tcBorders>
            <w:shd w:val="clear" w:color="auto" w:fill="auto"/>
            <w:noWrap/>
            <w:vAlign w:val="bottom"/>
            <w:hideMark/>
          </w:tcPr>
          <w:p w14:paraId="4A0D112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2.43</w:t>
            </w:r>
          </w:p>
        </w:tc>
        <w:tc>
          <w:tcPr>
            <w:tcW w:w="1152" w:type="dxa"/>
            <w:tcBorders>
              <w:top w:val="nil"/>
              <w:left w:val="nil"/>
              <w:bottom w:val="nil"/>
              <w:right w:val="nil"/>
            </w:tcBorders>
            <w:shd w:val="clear" w:color="auto" w:fill="auto"/>
            <w:noWrap/>
            <w:vAlign w:val="bottom"/>
            <w:hideMark/>
          </w:tcPr>
          <w:p w14:paraId="7256F228" w14:textId="77777777" w:rsidR="009E4C3E" w:rsidRPr="00AB2901" w:rsidRDefault="009E4C3E" w:rsidP="008C1344">
            <w:pPr>
              <w:jc w:val="center"/>
              <w:rPr>
                <w:rFonts w:eastAsia="Times New Roman" w:cs="Calibri"/>
                <w:color w:val="000000"/>
              </w:rPr>
            </w:pPr>
            <w:r w:rsidRPr="00AB2901">
              <w:rPr>
                <w:rFonts w:eastAsia="Times New Roman" w:cs="Calibri"/>
                <w:color w:val="000000"/>
              </w:rPr>
              <w:t>2.67</w:t>
            </w:r>
          </w:p>
        </w:tc>
      </w:tr>
      <w:tr w:rsidR="009E4C3E" w:rsidRPr="00AB2901" w14:paraId="46C93E1D"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47AB864D" w14:textId="77777777" w:rsidR="009E4C3E" w:rsidRPr="00AB2901" w:rsidRDefault="009E4C3E" w:rsidP="008C1344">
            <w:pPr>
              <w:jc w:val="center"/>
              <w:rPr>
                <w:rFonts w:eastAsia="Times New Roman" w:cs="Calibri"/>
                <w:color w:val="000000"/>
              </w:rPr>
            </w:pPr>
          </w:p>
        </w:tc>
        <w:tc>
          <w:tcPr>
            <w:tcW w:w="276" w:type="dxa"/>
            <w:tcBorders>
              <w:top w:val="nil"/>
              <w:left w:val="nil"/>
              <w:bottom w:val="nil"/>
              <w:right w:val="nil"/>
            </w:tcBorders>
            <w:shd w:val="clear" w:color="auto" w:fill="auto"/>
            <w:noWrap/>
            <w:vAlign w:val="bottom"/>
            <w:hideMark/>
          </w:tcPr>
          <w:p w14:paraId="1A4C2093"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758A70C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(0.53)</w:t>
            </w:r>
          </w:p>
        </w:tc>
        <w:tc>
          <w:tcPr>
            <w:tcW w:w="1152" w:type="dxa"/>
            <w:tcBorders>
              <w:top w:val="nil"/>
              <w:left w:val="nil"/>
              <w:bottom w:val="nil"/>
              <w:right w:val="nil"/>
            </w:tcBorders>
            <w:shd w:val="clear" w:color="auto" w:fill="auto"/>
            <w:noWrap/>
            <w:vAlign w:val="bottom"/>
            <w:hideMark/>
          </w:tcPr>
          <w:p w14:paraId="5B1495A5"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(0.58)</w:t>
            </w:r>
          </w:p>
        </w:tc>
        <w:tc>
          <w:tcPr>
            <w:tcW w:w="1008" w:type="dxa"/>
            <w:tcBorders>
              <w:top w:val="nil"/>
              <w:left w:val="nil"/>
              <w:bottom w:val="nil"/>
              <w:right w:val="nil"/>
            </w:tcBorders>
            <w:shd w:val="clear" w:color="auto" w:fill="auto"/>
            <w:noWrap/>
            <w:vAlign w:val="bottom"/>
            <w:hideMark/>
          </w:tcPr>
          <w:p w14:paraId="3FBDCCC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(0.53)</w:t>
            </w:r>
          </w:p>
        </w:tc>
        <w:tc>
          <w:tcPr>
            <w:tcW w:w="1008" w:type="dxa"/>
            <w:tcBorders>
              <w:top w:val="nil"/>
              <w:left w:val="nil"/>
              <w:bottom w:val="nil"/>
              <w:right w:val="nil"/>
            </w:tcBorders>
            <w:shd w:val="clear" w:color="auto" w:fill="auto"/>
            <w:noWrap/>
            <w:vAlign w:val="bottom"/>
            <w:hideMark/>
          </w:tcPr>
          <w:p w14:paraId="6F6504F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(0.36)</w:t>
            </w:r>
          </w:p>
        </w:tc>
        <w:tc>
          <w:tcPr>
            <w:tcW w:w="1152" w:type="dxa"/>
            <w:tcBorders>
              <w:top w:val="nil"/>
              <w:left w:val="nil"/>
              <w:bottom w:val="nil"/>
              <w:right w:val="nil"/>
            </w:tcBorders>
            <w:shd w:val="clear" w:color="auto" w:fill="auto"/>
            <w:noWrap/>
            <w:vAlign w:val="bottom"/>
            <w:hideMark/>
          </w:tcPr>
          <w:p w14:paraId="117B82EC"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(0.42)</w:t>
            </w:r>
          </w:p>
        </w:tc>
        <w:tc>
          <w:tcPr>
            <w:tcW w:w="1152" w:type="dxa"/>
            <w:tcBorders>
              <w:top w:val="nil"/>
              <w:left w:val="nil"/>
              <w:bottom w:val="nil"/>
              <w:right w:val="nil"/>
            </w:tcBorders>
            <w:shd w:val="clear" w:color="auto" w:fill="auto"/>
            <w:noWrap/>
            <w:vAlign w:val="bottom"/>
            <w:hideMark/>
          </w:tcPr>
          <w:p w14:paraId="4A5A447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(0.58)</w:t>
            </w:r>
          </w:p>
        </w:tc>
        <w:tc>
          <w:tcPr>
            <w:tcW w:w="1152" w:type="dxa"/>
            <w:tcBorders>
              <w:top w:val="nil"/>
              <w:left w:val="nil"/>
              <w:bottom w:val="nil"/>
              <w:right w:val="nil"/>
            </w:tcBorders>
            <w:shd w:val="clear" w:color="auto" w:fill="auto"/>
            <w:noWrap/>
            <w:vAlign w:val="bottom"/>
            <w:hideMark/>
          </w:tcPr>
          <w:p w14:paraId="040173E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(0.53)</w:t>
            </w:r>
          </w:p>
        </w:tc>
      </w:tr>
      <w:tr w:rsidR="009E4C3E" w:rsidRPr="00AB2901" w14:paraId="47AAB4B7"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3160B168" w14:textId="77777777" w:rsidR="009E4C3E" w:rsidRDefault="009E4C3E" w:rsidP="008C1344">
            <w:pPr>
              <w:rPr>
                <w:rFonts w:eastAsia="Times New Roman" w:cs="Calibri"/>
                <w:color w:val="000000"/>
              </w:rPr>
            </w:pPr>
            <w:r>
              <w:rPr>
                <w:rFonts w:eastAsia="Times New Roman" w:cs="Calibri"/>
                <w:color w:val="000000"/>
              </w:rPr>
              <w:t xml:space="preserve">     </w:t>
            </w:r>
          </w:p>
          <w:p w14:paraId="6582B892" w14:textId="77777777" w:rsidR="009E4C3E" w:rsidRPr="00AB2901" w:rsidRDefault="009E4C3E" w:rsidP="008C1344">
            <w:pPr>
              <w:rPr>
                <w:rFonts w:eastAsia="Times New Roman" w:cs="Calibri"/>
                <w:color w:val="000000"/>
              </w:rPr>
            </w:pPr>
            <w:r>
              <w:rPr>
                <w:rFonts w:eastAsia="Times New Roman" w:cs="Calibri"/>
                <w:color w:val="000000"/>
              </w:rPr>
              <w:t xml:space="preserve">     </w:t>
            </w:r>
            <w:r w:rsidRPr="00AB2901">
              <w:rPr>
                <w:rFonts w:eastAsia="Times New Roman" w:cs="Calibri"/>
                <w:color w:val="000000"/>
              </w:rPr>
              <w:t>2006 - 2010</w:t>
            </w:r>
          </w:p>
        </w:tc>
        <w:tc>
          <w:tcPr>
            <w:tcW w:w="276" w:type="dxa"/>
            <w:tcBorders>
              <w:top w:val="nil"/>
              <w:left w:val="nil"/>
              <w:bottom w:val="nil"/>
              <w:right w:val="nil"/>
            </w:tcBorders>
            <w:shd w:val="clear" w:color="auto" w:fill="auto"/>
            <w:noWrap/>
            <w:vAlign w:val="bottom"/>
            <w:hideMark/>
          </w:tcPr>
          <w:p w14:paraId="62EFB86A" w14:textId="77777777" w:rsidR="009E4C3E" w:rsidRPr="00AB2901" w:rsidRDefault="009E4C3E" w:rsidP="008C1344">
            <w:pPr>
              <w:rPr>
                <w:rFonts w:eastAsia="Times New Roman" w:cs="Calibri"/>
                <w:color w:val="000000"/>
              </w:rPr>
            </w:pPr>
          </w:p>
        </w:tc>
        <w:tc>
          <w:tcPr>
            <w:tcW w:w="1008" w:type="dxa"/>
            <w:tcBorders>
              <w:top w:val="nil"/>
              <w:left w:val="nil"/>
              <w:bottom w:val="nil"/>
              <w:right w:val="nil"/>
            </w:tcBorders>
            <w:shd w:val="clear" w:color="auto" w:fill="auto"/>
            <w:noWrap/>
            <w:vAlign w:val="bottom"/>
            <w:hideMark/>
          </w:tcPr>
          <w:p w14:paraId="2182B29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4.48</w:t>
            </w:r>
          </w:p>
        </w:tc>
        <w:tc>
          <w:tcPr>
            <w:tcW w:w="1152" w:type="dxa"/>
            <w:tcBorders>
              <w:top w:val="nil"/>
              <w:left w:val="nil"/>
              <w:bottom w:val="nil"/>
              <w:right w:val="nil"/>
            </w:tcBorders>
            <w:shd w:val="clear" w:color="auto" w:fill="auto"/>
            <w:noWrap/>
            <w:vAlign w:val="bottom"/>
            <w:hideMark/>
          </w:tcPr>
          <w:p w14:paraId="2E0B37C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4.87</w:t>
            </w:r>
          </w:p>
        </w:tc>
        <w:tc>
          <w:tcPr>
            <w:tcW w:w="1008" w:type="dxa"/>
            <w:tcBorders>
              <w:top w:val="nil"/>
              <w:left w:val="nil"/>
              <w:bottom w:val="nil"/>
              <w:right w:val="nil"/>
            </w:tcBorders>
            <w:shd w:val="clear" w:color="auto" w:fill="auto"/>
            <w:noWrap/>
            <w:vAlign w:val="bottom"/>
            <w:hideMark/>
          </w:tcPr>
          <w:p w14:paraId="7F66D79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4.43</w:t>
            </w:r>
          </w:p>
        </w:tc>
        <w:tc>
          <w:tcPr>
            <w:tcW w:w="1008" w:type="dxa"/>
            <w:tcBorders>
              <w:top w:val="nil"/>
              <w:left w:val="nil"/>
              <w:bottom w:val="nil"/>
              <w:right w:val="nil"/>
            </w:tcBorders>
            <w:shd w:val="clear" w:color="auto" w:fill="auto"/>
            <w:noWrap/>
            <w:vAlign w:val="bottom"/>
            <w:hideMark/>
          </w:tcPr>
          <w:p w14:paraId="27693B4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3.68</w:t>
            </w:r>
          </w:p>
        </w:tc>
        <w:tc>
          <w:tcPr>
            <w:tcW w:w="1152" w:type="dxa"/>
            <w:tcBorders>
              <w:top w:val="nil"/>
              <w:left w:val="nil"/>
              <w:bottom w:val="nil"/>
              <w:right w:val="nil"/>
            </w:tcBorders>
            <w:shd w:val="clear" w:color="auto" w:fill="auto"/>
            <w:noWrap/>
            <w:vAlign w:val="bottom"/>
            <w:hideMark/>
          </w:tcPr>
          <w:p w14:paraId="0B131B70"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4.11</w:t>
            </w:r>
          </w:p>
        </w:tc>
        <w:tc>
          <w:tcPr>
            <w:tcW w:w="1152" w:type="dxa"/>
            <w:tcBorders>
              <w:top w:val="nil"/>
              <w:left w:val="nil"/>
              <w:bottom w:val="nil"/>
              <w:right w:val="nil"/>
            </w:tcBorders>
            <w:shd w:val="clear" w:color="auto" w:fill="auto"/>
            <w:noWrap/>
            <w:vAlign w:val="bottom"/>
            <w:hideMark/>
          </w:tcPr>
          <w:p w14:paraId="77103D99"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4.51</w:t>
            </w:r>
          </w:p>
        </w:tc>
        <w:tc>
          <w:tcPr>
            <w:tcW w:w="1152" w:type="dxa"/>
            <w:tcBorders>
              <w:top w:val="nil"/>
              <w:left w:val="nil"/>
              <w:bottom w:val="nil"/>
              <w:right w:val="nil"/>
            </w:tcBorders>
            <w:shd w:val="clear" w:color="auto" w:fill="auto"/>
            <w:noWrap/>
            <w:vAlign w:val="bottom"/>
            <w:hideMark/>
          </w:tcPr>
          <w:p w14:paraId="45181356"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4.63</w:t>
            </w:r>
          </w:p>
        </w:tc>
      </w:tr>
      <w:tr w:rsidR="009E4C3E" w:rsidRPr="00AB2901" w14:paraId="746F62CF"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7AE3AE96" w14:textId="77777777" w:rsidR="009E4C3E" w:rsidRPr="00AB2901" w:rsidRDefault="009E4C3E" w:rsidP="008C1344">
            <w:pPr>
              <w:jc w:val="center"/>
              <w:rPr>
                <w:rFonts w:eastAsia="Times New Roman" w:cs="Calibri"/>
                <w:color w:val="000000"/>
              </w:rPr>
            </w:pPr>
          </w:p>
        </w:tc>
        <w:tc>
          <w:tcPr>
            <w:tcW w:w="276" w:type="dxa"/>
            <w:tcBorders>
              <w:top w:val="nil"/>
              <w:left w:val="nil"/>
              <w:bottom w:val="nil"/>
              <w:right w:val="nil"/>
            </w:tcBorders>
            <w:shd w:val="clear" w:color="auto" w:fill="auto"/>
            <w:noWrap/>
            <w:vAlign w:val="bottom"/>
            <w:hideMark/>
          </w:tcPr>
          <w:p w14:paraId="0BADB618"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222F651A"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(0.69)</w:t>
            </w:r>
          </w:p>
        </w:tc>
        <w:tc>
          <w:tcPr>
            <w:tcW w:w="1152" w:type="dxa"/>
            <w:tcBorders>
              <w:top w:val="nil"/>
              <w:left w:val="nil"/>
              <w:bottom w:val="nil"/>
              <w:right w:val="nil"/>
            </w:tcBorders>
            <w:shd w:val="clear" w:color="auto" w:fill="auto"/>
            <w:noWrap/>
            <w:vAlign w:val="bottom"/>
            <w:hideMark/>
          </w:tcPr>
          <w:p w14:paraId="0F465AA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(0.74)</w:t>
            </w:r>
          </w:p>
        </w:tc>
        <w:tc>
          <w:tcPr>
            <w:tcW w:w="1008" w:type="dxa"/>
            <w:tcBorders>
              <w:top w:val="nil"/>
              <w:left w:val="nil"/>
              <w:bottom w:val="nil"/>
              <w:right w:val="nil"/>
            </w:tcBorders>
            <w:shd w:val="clear" w:color="auto" w:fill="auto"/>
            <w:noWrap/>
            <w:vAlign w:val="bottom"/>
            <w:hideMark/>
          </w:tcPr>
          <w:p w14:paraId="190FB79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(0.69)</w:t>
            </w:r>
          </w:p>
        </w:tc>
        <w:tc>
          <w:tcPr>
            <w:tcW w:w="1008" w:type="dxa"/>
            <w:tcBorders>
              <w:top w:val="nil"/>
              <w:left w:val="nil"/>
              <w:bottom w:val="nil"/>
              <w:right w:val="nil"/>
            </w:tcBorders>
            <w:shd w:val="clear" w:color="auto" w:fill="auto"/>
            <w:noWrap/>
            <w:vAlign w:val="bottom"/>
            <w:hideMark/>
          </w:tcPr>
          <w:p w14:paraId="0B0210CB"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(0.57)</w:t>
            </w:r>
          </w:p>
        </w:tc>
        <w:tc>
          <w:tcPr>
            <w:tcW w:w="1152" w:type="dxa"/>
            <w:tcBorders>
              <w:top w:val="nil"/>
              <w:left w:val="nil"/>
              <w:bottom w:val="nil"/>
              <w:right w:val="nil"/>
            </w:tcBorders>
            <w:shd w:val="clear" w:color="auto" w:fill="auto"/>
            <w:noWrap/>
            <w:vAlign w:val="bottom"/>
            <w:hideMark/>
          </w:tcPr>
          <w:p w14:paraId="694AEA6D"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(0.39)</w:t>
            </w:r>
          </w:p>
        </w:tc>
        <w:tc>
          <w:tcPr>
            <w:tcW w:w="1152" w:type="dxa"/>
            <w:tcBorders>
              <w:top w:val="nil"/>
              <w:left w:val="nil"/>
              <w:bottom w:val="nil"/>
              <w:right w:val="nil"/>
            </w:tcBorders>
            <w:shd w:val="clear" w:color="auto" w:fill="auto"/>
            <w:noWrap/>
            <w:vAlign w:val="bottom"/>
            <w:hideMark/>
          </w:tcPr>
          <w:p w14:paraId="7A1037A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(0.72)</w:t>
            </w:r>
          </w:p>
        </w:tc>
        <w:tc>
          <w:tcPr>
            <w:tcW w:w="1152" w:type="dxa"/>
            <w:tcBorders>
              <w:top w:val="nil"/>
              <w:left w:val="nil"/>
              <w:bottom w:val="nil"/>
              <w:right w:val="nil"/>
            </w:tcBorders>
            <w:shd w:val="clear" w:color="auto" w:fill="auto"/>
            <w:noWrap/>
            <w:vAlign w:val="bottom"/>
            <w:hideMark/>
          </w:tcPr>
          <w:p w14:paraId="5B33FCA0"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(0.73)</w:t>
            </w:r>
          </w:p>
        </w:tc>
      </w:tr>
      <w:tr w:rsidR="009E4C3E" w:rsidRPr="00AB2901" w14:paraId="5B8179E9"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702E937C" w14:textId="77777777" w:rsidR="009E4C3E" w:rsidRDefault="009E4C3E" w:rsidP="008C1344">
            <w:pPr>
              <w:rPr>
                <w:rFonts w:eastAsia="Times New Roman" w:cs="Calibri"/>
                <w:color w:val="000000"/>
              </w:rPr>
            </w:pPr>
            <w:r>
              <w:rPr>
                <w:rFonts w:eastAsia="Times New Roman" w:cs="Calibri"/>
                <w:color w:val="000000"/>
              </w:rPr>
              <w:t xml:space="preserve">     </w:t>
            </w:r>
          </w:p>
          <w:p w14:paraId="45DCF8A7" w14:textId="77777777" w:rsidR="009E4C3E" w:rsidRPr="00AB2901" w:rsidRDefault="009E4C3E" w:rsidP="008C1344">
            <w:pPr>
              <w:rPr>
                <w:rFonts w:eastAsia="Times New Roman" w:cs="Calibri"/>
                <w:color w:val="000000"/>
              </w:rPr>
            </w:pPr>
            <w:r>
              <w:rPr>
                <w:rFonts w:eastAsia="Times New Roman" w:cs="Calibri"/>
                <w:color w:val="000000"/>
              </w:rPr>
              <w:t xml:space="preserve">     </w:t>
            </w:r>
            <w:r w:rsidRPr="00AB2901">
              <w:rPr>
                <w:rFonts w:eastAsia="Times New Roman" w:cs="Calibri"/>
                <w:color w:val="000000"/>
              </w:rPr>
              <w:t>2011 - 2015</w:t>
            </w:r>
          </w:p>
        </w:tc>
        <w:tc>
          <w:tcPr>
            <w:tcW w:w="276" w:type="dxa"/>
            <w:tcBorders>
              <w:top w:val="nil"/>
              <w:left w:val="nil"/>
              <w:bottom w:val="nil"/>
              <w:right w:val="nil"/>
            </w:tcBorders>
            <w:shd w:val="clear" w:color="auto" w:fill="auto"/>
            <w:noWrap/>
            <w:vAlign w:val="bottom"/>
            <w:hideMark/>
          </w:tcPr>
          <w:p w14:paraId="493BFB34" w14:textId="77777777" w:rsidR="009E4C3E" w:rsidRPr="00AB2901" w:rsidRDefault="009E4C3E" w:rsidP="008C1344">
            <w:pPr>
              <w:rPr>
                <w:rFonts w:eastAsia="Times New Roman" w:cs="Calibri"/>
                <w:color w:val="000000"/>
              </w:rPr>
            </w:pPr>
          </w:p>
        </w:tc>
        <w:tc>
          <w:tcPr>
            <w:tcW w:w="1008" w:type="dxa"/>
            <w:tcBorders>
              <w:top w:val="nil"/>
              <w:left w:val="nil"/>
              <w:bottom w:val="nil"/>
              <w:right w:val="nil"/>
            </w:tcBorders>
            <w:shd w:val="clear" w:color="auto" w:fill="auto"/>
            <w:noWrap/>
            <w:vAlign w:val="bottom"/>
            <w:hideMark/>
          </w:tcPr>
          <w:p w14:paraId="1D20E03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4.92</w:t>
            </w:r>
          </w:p>
        </w:tc>
        <w:tc>
          <w:tcPr>
            <w:tcW w:w="1152" w:type="dxa"/>
            <w:tcBorders>
              <w:top w:val="nil"/>
              <w:left w:val="nil"/>
              <w:bottom w:val="nil"/>
              <w:right w:val="nil"/>
            </w:tcBorders>
            <w:shd w:val="clear" w:color="auto" w:fill="auto"/>
            <w:noWrap/>
            <w:vAlign w:val="bottom"/>
            <w:hideMark/>
          </w:tcPr>
          <w:p w14:paraId="11478903"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5.40</w:t>
            </w:r>
          </w:p>
        </w:tc>
        <w:tc>
          <w:tcPr>
            <w:tcW w:w="1008" w:type="dxa"/>
            <w:tcBorders>
              <w:top w:val="nil"/>
              <w:left w:val="nil"/>
              <w:bottom w:val="nil"/>
              <w:right w:val="nil"/>
            </w:tcBorders>
            <w:shd w:val="clear" w:color="auto" w:fill="auto"/>
            <w:noWrap/>
            <w:vAlign w:val="bottom"/>
            <w:hideMark/>
          </w:tcPr>
          <w:p w14:paraId="005FED7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4.86</w:t>
            </w:r>
          </w:p>
        </w:tc>
        <w:tc>
          <w:tcPr>
            <w:tcW w:w="1008" w:type="dxa"/>
            <w:tcBorders>
              <w:top w:val="nil"/>
              <w:left w:val="nil"/>
              <w:bottom w:val="nil"/>
              <w:right w:val="nil"/>
            </w:tcBorders>
            <w:shd w:val="clear" w:color="auto" w:fill="auto"/>
            <w:noWrap/>
            <w:vAlign w:val="bottom"/>
            <w:hideMark/>
          </w:tcPr>
          <w:p w14:paraId="7B24C81C" w14:textId="77777777" w:rsidR="009E4C3E" w:rsidRPr="00AB2901" w:rsidRDefault="009E4C3E" w:rsidP="008C1344">
            <w:pPr>
              <w:jc w:val="center"/>
              <w:rPr>
                <w:rFonts w:eastAsia="Times New Roman" w:cs="Calibri"/>
                <w:color w:val="000000"/>
              </w:rPr>
            </w:pPr>
            <w:r w:rsidRPr="00AB2901">
              <w:rPr>
                <w:rFonts w:eastAsia="Times New Roman" w:cs="Calibri"/>
                <w:color w:val="000000"/>
              </w:rPr>
              <w:t>3.76</w:t>
            </w:r>
          </w:p>
        </w:tc>
        <w:tc>
          <w:tcPr>
            <w:tcW w:w="1152" w:type="dxa"/>
            <w:tcBorders>
              <w:top w:val="nil"/>
              <w:left w:val="nil"/>
              <w:bottom w:val="nil"/>
              <w:right w:val="nil"/>
            </w:tcBorders>
            <w:shd w:val="clear" w:color="auto" w:fill="auto"/>
            <w:noWrap/>
            <w:vAlign w:val="bottom"/>
            <w:hideMark/>
          </w:tcPr>
          <w:p w14:paraId="4D1DE5FD"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4.58</w:t>
            </w:r>
          </w:p>
        </w:tc>
        <w:tc>
          <w:tcPr>
            <w:tcW w:w="1152" w:type="dxa"/>
            <w:tcBorders>
              <w:top w:val="nil"/>
              <w:left w:val="nil"/>
              <w:bottom w:val="nil"/>
              <w:right w:val="nil"/>
            </w:tcBorders>
            <w:shd w:val="clear" w:color="auto" w:fill="auto"/>
            <w:noWrap/>
            <w:vAlign w:val="bottom"/>
            <w:hideMark/>
          </w:tcPr>
          <w:p w14:paraId="0F0D00E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4.98</w:t>
            </w:r>
          </w:p>
        </w:tc>
        <w:tc>
          <w:tcPr>
            <w:tcW w:w="1152" w:type="dxa"/>
            <w:tcBorders>
              <w:top w:val="nil"/>
              <w:left w:val="nil"/>
              <w:bottom w:val="nil"/>
              <w:right w:val="nil"/>
            </w:tcBorders>
            <w:shd w:val="clear" w:color="auto" w:fill="auto"/>
            <w:noWrap/>
            <w:vAlign w:val="bottom"/>
            <w:hideMark/>
          </w:tcPr>
          <w:p w14:paraId="00E7E67A"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5.08</w:t>
            </w:r>
          </w:p>
        </w:tc>
      </w:tr>
      <w:tr w:rsidR="009E4C3E" w:rsidRPr="00AB2901" w14:paraId="18B12C48"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112EC434" w14:textId="77777777" w:rsidR="009E4C3E" w:rsidRPr="00AB2901" w:rsidRDefault="009E4C3E" w:rsidP="008C1344">
            <w:pPr>
              <w:jc w:val="center"/>
              <w:rPr>
                <w:rFonts w:eastAsia="Times New Roman" w:cs="Calibri"/>
                <w:color w:val="000000"/>
              </w:rPr>
            </w:pPr>
          </w:p>
        </w:tc>
        <w:tc>
          <w:tcPr>
            <w:tcW w:w="276" w:type="dxa"/>
            <w:tcBorders>
              <w:top w:val="nil"/>
              <w:left w:val="nil"/>
              <w:bottom w:val="nil"/>
              <w:right w:val="nil"/>
            </w:tcBorders>
            <w:shd w:val="clear" w:color="auto" w:fill="auto"/>
            <w:noWrap/>
            <w:vAlign w:val="bottom"/>
            <w:hideMark/>
          </w:tcPr>
          <w:p w14:paraId="4A29B4B0"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3D05ADD0"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(0.99)</w:t>
            </w:r>
          </w:p>
        </w:tc>
        <w:tc>
          <w:tcPr>
            <w:tcW w:w="1152" w:type="dxa"/>
            <w:tcBorders>
              <w:top w:val="nil"/>
              <w:left w:val="nil"/>
              <w:bottom w:val="nil"/>
              <w:right w:val="nil"/>
            </w:tcBorders>
            <w:shd w:val="clear" w:color="auto" w:fill="auto"/>
            <w:noWrap/>
            <w:vAlign w:val="bottom"/>
            <w:hideMark/>
          </w:tcPr>
          <w:p w14:paraId="1DE9D14B" w14:textId="77777777" w:rsidR="009E4C3E" w:rsidRPr="00AB2901" w:rsidRDefault="009E4C3E" w:rsidP="008C1344">
            <w:pPr>
              <w:jc w:val="center"/>
              <w:rPr>
                <w:rFonts w:eastAsia="Times New Roman" w:cs="Calibri"/>
                <w:color w:val="000000"/>
              </w:rPr>
            </w:pPr>
            <w:r w:rsidRPr="00AB2901">
              <w:rPr>
                <w:rFonts w:eastAsia="Times New Roman" w:cs="Calibri"/>
                <w:color w:val="000000"/>
              </w:rPr>
              <w:t>(1.06)</w:t>
            </w:r>
          </w:p>
        </w:tc>
        <w:tc>
          <w:tcPr>
            <w:tcW w:w="1008" w:type="dxa"/>
            <w:tcBorders>
              <w:top w:val="nil"/>
              <w:left w:val="nil"/>
              <w:bottom w:val="nil"/>
              <w:right w:val="nil"/>
            </w:tcBorders>
            <w:shd w:val="clear" w:color="auto" w:fill="auto"/>
            <w:noWrap/>
            <w:vAlign w:val="bottom"/>
            <w:hideMark/>
          </w:tcPr>
          <w:p w14:paraId="2E0EDDB9"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(0.97)</w:t>
            </w:r>
          </w:p>
        </w:tc>
        <w:tc>
          <w:tcPr>
            <w:tcW w:w="1008" w:type="dxa"/>
            <w:tcBorders>
              <w:top w:val="nil"/>
              <w:left w:val="nil"/>
              <w:bottom w:val="nil"/>
              <w:right w:val="nil"/>
            </w:tcBorders>
            <w:shd w:val="clear" w:color="auto" w:fill="auto"/>
            <w:noWrap/>
            <w:vAlign w:val="bottom"/>
            <w:hideMark/>
          </w:tcPr>
          <w:p w14:paraId="0B5CD3E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(0.87)</w:t>
            </w:r>
          </w:p>
        </w:tc>
        <w:tc>
          <w:tcPr>
            <w:tcW w:w="1152" w:type="dxa"/>
            <w:tcBorders>
              <w:top w:val="nil"/>
              <w:left w:val="nil"/>
              <w:bottom w:val="nil"/>
              <w:right w:val="nil"/>
            </w:tcBorders>
            <w:shd w:val="clear" w:color="auto" w:fill="auto"/>
            <w:noWrap/>
            <w:vAlign w:val="bottom"/>
            <w:hideMark/>
          </w:tcPr>
          <w:p w14:paraId="0339382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(0.55)</w:t>
            </w:r>
          </w:p>
        </w:tc>
        <w:tc>
          <w:tcPr>
            <w:tcW w:w="1152" w:type="dxa"/>
            <w:tcBorders>
              <w:top w:val="nil"/>
              <w:left w:val="nil"/>
              <w:bottom w:val="nil"/>
              <w:right w:val="nil"/>
            </w:tcBorders>
            <w:shd w:val="clear" w:color="auto" w:fill="auto"/>
            <w:noWrap/>
            <w:vAlign w:val="bottom"/>
            <w:hideMark/>
          </w:tcPr>
          <w:p w14:paraId="452B1837" w14:textId="77777777" w:rsidR="009E4C3E" w:rsidRPr="00AB2901" w:rsidRDefault="009E4C3E" w:rsidP="008C1344">
            <w:pPr>
              <w:jc w:val="center"/>
              <w:rPr>
                <w:rFonts w:eastAsia="Times New Roman" w:cs="Calibri"/>
                <w:color w:val="000000"/>
              </w:rPr>
            </w:pPr>
            <w:r w:rsidRPr="00AB2901">
              <w:rPr>
                <w:rFonts w:eastAsia="Times New Roman" w:cs="Calibri"/>
                <w:color w:val="000000"/>
              </w:rPr>
              <w:t>(1.03)</w:t>
            </w:r>
          </w:p>
        </w:tc>
        <w:tc>
          <w:tcPr>
            <w:tcW w:w="1152" w:type="dxa"/>
            <w:tcBorders>
              <w:top w:val="nil"/>
              <w:left w:val="nil"/>
              <w:bottom w:val="nil"/>
              <w:right w:val="nil"/>
            </w:tcBorders>
            <w:shd w:val="clear" w:color="auto" w:fill="auto"/>
            <w:noWrap/>
            <w:vAlign w:val="bottom"/>
            <w:hideMark/>
          </w:tcPr>
          <w:p w14:paraId="214CC1BD" w14:textId="77777777" w:rsidR="009E4C3E" w:rsidRPr="00AB2901" w:rsidRDefault="009E4C3E" w:rsidP="008C1344">
            <w:pPr>
              <w:jc w:val="center"/>
              <w:rPr>
                <w:rFonts w:eastAsia="Times New Roman" w:cs="Calibri"/>
                <w:color w:val="000000"/>
              </w:rPr>
            </w:pPr>
            <w:r w:rsidRPr="00AB2901">
              <w:rPr>
                <w:rFonts w:eastAsia="Times New Roman" w:cs="Calibri"/>
                <w:color w:val="000000"/>
              </w:rPr>
              <w:t>(1.04)</w:t>
            </w:r>
          </w:p>
        </w:tc>
      </w:tr>
      <w:tr w:rsidR="009E4C3E" w:rsidRPr="00AB2901" w14:paraId="35509DFE" w14:textId="77777777" w:rsidTr="008C1344">
        <w:trPr>
          <w:trHeight w:val="312"/>
          <w:jc w:val="center"/>
        </w:trPr>
        <w:tc>
          <w:tcPr>
            <w:tcW w:w="1820" w:type="dxa"/>
            <w:tcBorders>
              <w:top w:val="nil"/>
              <w:left w:val="nil"/>
              <w:bottom w:val="nil"/>
              <w:right w:val="nil"/>
            </w:tcBorders>
            <w:shd w:val="clear" w:color="auto" w:fill="auto"/>
            <w:noWrap/>
            <w:vAlign w:val="bottom"/>
            <w:hideMark/>
          </w:tcPr>
          <w:p w14:paraId="5FFC779B" w14:textId="77777777" w:rsidR="009E4C3E" w:rsidRPr="00AB2901" w:rsidRDefault="009E4C3E" w:rsidP="008C1344">
            <w:pPr>
              <w:jc w:val="center"/>
              <w:rPr>
                <w:rFonts w:eastAsia="Times New Roman" w:cs="Calibri"/>
                <w:color w:val="000000"/>
              </w:rPr>
            </w:pPr>
          </w:p>
        </w:tc>
        <w:tc>
          <w:tcPr>
            <w:tcW w:w="276" w:type="dxa"/>
            <w:tcBorders>
              <w:top w:val="nil"/>
              <w:left w:val="nil"/>
              <w:bottom w:val="nil"/>
              <w:right w:val="nil"/>
            </w:tcBorders>
            <w:shd w:val="clear" w:color="auto" w:fill="auto"/>
            <w:noWrap/>
            <w:vAlign w:val="bottom"/>
            <w:hideMark/>
          </w:tcPr>
          <w:p w14:paraId="73857103" w14:textId="77777777" w:rsidR="009E4C3E" w:rsidRPr="00AB2901" w:rsidRDefault="009E4C3E" w:rsidP="008C1344">
            <w:pP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614D7C05" w14:textId="77777777" w:rsidR="009E4C3E" w:rsidRPr="00AB2901" w:rsidRDefault="009E4C3E" w:rsidP="008C1344">
            <w:pP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749BB670" w14:textId="77777777" w:rsidR="009E4C3E" w:rsidRPr="00AB2901" w:rsidRDefault="009E4C3E" w:rsidP="008C1344">
            <w:pPr>
              <w:jc w:val="cente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14B2D2BD" w14:textId="77777777" w:rsidR="009E4C3E" w:rsidRPr="00AB2901" w:rsidRDefault="009E4C3E" w:rsidP="008C1344">
            <w:pPr>
              <w:jc w:val="center"/>
              <w:rPr>
                <w:rFonts w:ascii="Times New Roman" w:eastAsia="Times New Roman" w:hAnsi="Times New Roman" w:cs="Times New Roman"/>
                <w:color w:val="auto"/>
                <w:sz w:val="20"/>
                <w:szCs w:val="20"/>
              </w:rPr>
            </w:pPr>
          </w:p>
        </w:tc>
        <w:tc>
          <w:tcPr>
            <w:tcW w:w="1008" w:type="dxa"/>
            <w:tcBorders>
              <w:top w:val="nil"/>
              <w:left w:val="nil"/>
              <w:bottom w:val="nil"/>
              <w:right w:val="nil"/>
            </w:tcBorders>
            <w:shd w:val="clear" w:color="auto" w:fill="auto"/>
            <w:noWrap/>
            <w:vAlign w:val="bottom"/>
            <w:hideMark/>
          </w:tcPr>
          <w:p w14:paraId="2B4B4D71" w14:textId="77777777" w:rsidR="009E4C3E" w:rsidRPr="00AB2901" w:rsidRDefault="009E4C3E" w:rsidP="008C1344">
            <w:pPr>
              <w:jc w:val="cente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02E6A50C" w14:textId="77777777" w:rsidR="009E4C3E" w:rsidRPr="00AB2901" w:rsidRDefault="009E4C3E" w:rsidP="008C1344">
            <w:pPr>
              <w:jc w:val="cente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65566B4A" w14:textId="77777777" w:rsidR="009E4C3E" w:rsidRPr="00AB2901" w:rsidRDefault="009E4C3E" w:rsidP="008C1344">
            <w:pPr>
              <w:jc w:val="center"/>
              <w:rPr>
                <w:rFonts w:ascii="Times New Roman" w:eastAsia="Times New Roman" w:hAnsi="Times New Roman" w:cs="Times New Roman"/>
                <w:color w:val="auto"/>
                <w:sz w:val="20"/>
                <w:szCs w:val="20"/>
              </w:rPr>
            </w:pPr>
          </w:p>
        </w:tc>
        <w:tc>
          <w:tcPr>
            <w:tcW w:w="1152" w:type="dxa"/>
            <w:tcBorders>
              <w:top w:val="nil"/>
              <w:left w:val="nil"/>
              <w:bottom w:val="nil"/>
              <w:right w:val="nil"/>
            </w:tcBorders>
            <w:shd w:val="clear" w:color="auto" w:fill="auto"/>
            <w:noWrap/>
            <w:vAlign w:val="bottom"/>
            <w:hideMark/>
          </w:tcPr>
          <w:p w14:paraId="3F5EDCFD" w14:textId="77777777" w:rsidR="009E4C3E" w:rsidRPr="00AB2901" w:rsidRDefault="009E4C3E" w:rsidP="008C1344">
            <w:pPr>
              <w:jc w:val="center"/>
              <w:rPr>
                <w:rFonts w:ascii="Times New Roman" w:eastAsia="Times New Roman" w:hAnsi="Times New Roman" w:cs="Times New Roman"/>
                <w:color w:val="auto"/>
                <w:sz w:val="20"/>
                <w:szCs w:val="20"/>
              </w:rPr>
            </w:pPr>
          </w:p>
        </w:tc>
      </w:tr>
      <w:tr w:rsidR="009E4C3E" w:rsidRPr="00AB2901" w14:paraId="21053A22" w14:textId="77777777" w:rsidTr="008C1344">
        <w:trPr>
          <w:trHeight w:val="312"/>
          <w:jc w:val="center"/>
        </w:trPr>
        <w:tc>
          <w:tcPr>
            <w:tcW w:w="1820" w:type="dxa"/>
            <w:tcBorders>
              <w:top w:val="nil"/>
              <w:left w:val="nil"/>
              <w:right w:val="nil"/>
            </w:tcBorders>
            <w:shd w:val="clear" w:color="auto" w:fill="auto"/>
            <w:noWrap/>
            <w:vAlign w:val="bottom"/>
            <w:hideMark/>
          </w:tcPr>
          <w:p w14:paraId="70C9E912" w14:textId="77777777" w:rsidR="009E4C3E" w:rsidRPr="00AB2901" w:rsidRDefault="009E4C3E" w:rsidP="008C1344">
            <w:pPr>
              <w:rPr>
                <w:rFonts w:eastAsia="Times New Roman" w:cs="Calibri"/>
                <w:color w:val="000000"/>
              </w:rPr>
            </w:pPr>
            <w:r w:rsidRPr="00AB2901">
              <w:rPr>
                <w:rFonts w:eastAsia="Times New Roman" w:cs="Calibri"/>
                <w:color w:val="000000"/>
              </w:rPr>
              <w:t>F-test, all zero</w:t>
            </w:r>
          </w:p>
        </w:tc>
        <w:tc>
          <w:tcPr>
            <w:tcW w:w="276" w:type="dxa"/>
            <w:tcBorders>
              <w:top w:val="nil"/>
              <w:left w:val="nil"/>
              <w:right w:val="nil"/>
            </w:tcBorders>
            <w:shd w:val="clear" w:color="auto" w:fill="auto"/>
            <w:noWrap/>
            <w:vAlign w:val="bottom"/>
            <w:hideMark/>
          </w:tcPr>
          <w:p w14:paraId="0CFF428A" w14:textId="77777777" w:rsidR="009E4C3E" w:rsidRPr="00AB2901" w:rsidRDefault="009E4C3E" w:rsidP="008C1344">
            <w:pPr>
              <w:rPr>
                <w:rFonts w:eastAsia="Times New Roman" w:cs="Calibri"/>
                <w:color w:val="000000"/>
              </w:rPr>
            </w:pPr>
          </w:p>
        </w:tc>
        <w:tc>
          <w:tcPr>
            <w:tcW w:w="1008" w:type="dxa"/>
            <w:tcBorders>
              <w:top w:val="nil"/>
              <w:left w:val="nil"/>
              <w:right w:val="nil"/>
            </w:tcBorders>
            <w:shd w:val="clear" w:color="auto" w:fill="auto"/>
            <w:noWrap/>
            <w:vAlign w:val="bottom"/>
            <w:hideMark/>
          </w:tcPr>
          <w:p w14:paraId="37A86A4C"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152" w:type="dxa"/>
            <w:tcBorders>
              <w:top w:val="nil"/>
              <w:left w:val="nil"/>
              <w:right w:val="nil"/>
            </w:tcBorders>
            <w:shd w:val="clear" w:color="auto" w:fill="auto"/>
            <w:noWrap/>
            <w:vAlign w:val="bottom"/>
            <w:hideMark/>
          </w:tcPr>
          <w:p w14:paraId="5302A7FF"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008" w:type="dxa"/>
            <w:tcBorders>
              <w:top w:val="nil"/>
              <w:left w:val="nil"/>
              <w:right w:val="nil"/>
            </w:tcBorders>
            <w:shd w:val="clear" w:color="auto" w:fill="auto"/>
            <w:noWrap/>
            <w:vAlign w:val="bottom"/>
            <w:hideMark/>
          </w:tcPr>
          <w:p w14:paraId="27F3B8EE"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008" w:type="dxa"/>
            <w:tcBorders>
              <w:top w:val="nil"/>
              <w:left w:val="nil"/>
              <w:right w:val="nil"/>
            </w:tcBorders>
            <w:shd w:val="clear" w:color="auto" w:fill="auto"/>
            <w:noWrap/>
            <w:vAlign w:val="bottom"/>
            <w:hideMark/>
          </w:tcPr>
          <w:p w14:paraId="4C0A4D6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152" w:type="dxa"/>
            <w:tcBorders>
              <w:top w:val="nil"/>
              <w:left w:val="nil"/>
              <w:right w:val="nil"/>
            </w:tcBorders>
            <w:shd w:val="clear" w:color="auto" w:fill="auto"/>
            <w:noWrap/>
            <w:vAlign w:val="bottom"/>
            <w:hideMark/>
          </w:tcPr>
          <w:p w14:paraId="4247C161"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152" w:type="dxa"/>
            <w:tcBorders>
              <w:top w:val="nil"/>
              <w:left w:val="nil"/>
              <w:right w:val="nil"/>
            </w:tcBorders>
            <w:shd w:val="clear" w:color="auto" w:fill="auto"/>
            <w:noWrap/>
            <w:vAlign w:val="bottom"/>
            <w:hideMark/>
          </w:tcPr>
          <w:p w14:paraId="55D28E16"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c>
          <w:tcPr>
            <w:tcW w:w="1152" w:type="dxa"/>
            <w:tcBorders>
              <w:top w:val="nil"/>
              <w:left w:val="nil"/>
              <w:right w:val="nil"/>
            </w:tcBorders>
            <w:shd w:val="clear" w:color="auto" w:fill="auto"/>
            <w:noWrap/>
            <w:vAlign w:val="bottom"/>
            <w:hideMark/>
          </w:tcPr>
          <w:p w14:paraId="09A1D8C2" w14:textId="77777777" w:rsidR="009E4C3E" w:rsidRPr="00AB2901" w:rsidRDefault="009E4C3E" w:rsidP="008C1344">
            <w:pPr>
              <w:jc w:val="center"/>
              <w:rPr>
                <w:rFonts w:eastAsia="Times New Roman" w:cs="Calibri"/>
                <w:color w:val="000000"/>
              </w:rPr>
            </w:pPr>
            <w:r w:rsidRPr="00AB2901">
              <w:rPr>
                <w:rFonts w:eastAsia="Times New Roman" w:cs="Calibri"/>
                <w:color w:val="000000"/>
              </w:rPr>
              <w:t>&lt;0.001</w:t>
            </w:r>
          </w:p>
        </w:tc>
      </w:tr>
      <w:tr w:rsidR="009E4C3E" w:rsidRPr="00AB2901" w14:paraId="512ABC2C" w14:textId="77777777" w:rsidTr="008C1344">
        <w:trPr>
          <w:trHeight w:val="312"/>
          <w:jc w:val="center"/>
        </w:trPr>
        <w:tc>
          <w:tcPr>
            <w:tcW w:w="1820" w:type="dxa"/>
            <w:tcBorders>
              <w:top w:val="nil"/>
              <w:left w:val="nil"/>
              <w:bottom w:val="double" w:sz="4" w:space="0" w:color="auto"/>
              <w:right w:val="nil"/>
            </w:tcBorders>
            <w:shd w:val="clear" w:color="auto" w:fill="auto"/>
            <w:noWrap/>
            <w:vAlign w:val="bottom"/>
            <w:hideMark/>
          </w:tcPr>
          <w:p w14:paraId="6093F1E8" w14:textId="77777777" w:rsidR="009E4C3E" w:rsidRPr="00AB2901" w:rsidRDefault="009E4C3E" w:rsidP="008C1344">
            <w:pPr>
              <w:rPr>
                <w:rFonts w:eastAsia="Times New Roman" w:cs="Calibri"/>
                <w:color w:val="000000"/>
              </w:rPr>
            </w:pPr>
            <w:r w:rsidRPr="00AB2901">
              <w:rPr>
                <w:rFonts w:eastAsia="Times New Roman" w:cs="Calibri"/>
                <w:color w:val="000000"/>
              </w:rPr>
              <w:t>Mean, 1990-1994</w:t>
            </w:r>
          </w:p>
        </w:tc>
        <w:tc>
          <w:tcPr>
            <w:tcW w:w="276" w:type="dxa"/>
            <w:tcBorders>
              <w:top w:val="nil"/>
              <w:left w:val="nil"/>
              <w:bottom w:val="double" w:sz="4" w:space="0" w:color="auto"/>
              <w:right w:val="nil"/>
            </w:tcBorders>
            <w:shd w:val="clear" w:color="auto" w:fill="auto"/>
            <w:noWrap/>
            <w:vAlign w:val="bottom"/>
            <w:hideMark/>
          </w:tcPr>
          <w:p w14:paraId="26B43D08" w14:textId="77777777" w:rsidR="009E4C3E" w:rsidRPr="00AB2901" w:rsidRDefault="009E4C3E" w:rsidP="008C1344">
            <w:pPr>
              <w:rPr>
                <w:rFonts w:eastAsia="Times New Roman" w:cs="Calibri"/>
                <w:color w:val="000000"/>
              </w:rPr>
            </w:pPr>
            <w:r w:rsidRPr="00AB2901">
              <w:rPr>
                <w:rFonts w:eastAsia="Times New Roman" w:cs="Calibri"/>
                <w:color w:val="000000"/>
              </w:rPr>
              <w:t> </w:t>
            </w:r>
          </w:p>
        </w:tc>
        <w:tc>
          <w:tcPr>
            <w:tcW w:w="1008" w:type="dxa"/>
            <w:tcBorders>
              <w:top w:val="nil"/>
              <w:left w:val="nil"/>
              <w:bottom w:val="double" w:sz="4" w:space="0" w:color="auto"/>
              <w:right w:val="nil"/>
            </w:tcBorders>
            <w:shd w:val="clear" w:color="auto" w:fill="auto"/>
            <w:noWrap/>
            <w:vAlign w:val="bottom"/>
            <w:hideMark/>
          </w:tcPr>
          <w:p w14:paraId="6B961706"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152" w:type="dxa"/>
            <w:tcBorders>
              <w:top w:val="nil"/>
              <w:left w:val="nil"/>
              <w:bottom w:val="double" w:sz="4" w:space="0" w:color="auto"/>
              <w:right w:val="nil"/>
            </w:tcBorders>
            <w:shd w:val="clear" w:color="auto" w:fill="auto"/>
            <w:noWrap/>
            <w:vAlign w:val="bottom"/>
            <w:hideMark/>
          </w:tcPr>
          <w:p w14:paraId="77FE2714"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008" w:type="dxa"/>
            <w:tcBorders>
              <w:top w:val="nil"/>
              <w:left w:val="nil"/>
              <w:bottom w:val="double" w:sz="4" w:space="0" w:color="auto"/>
              <w:right w:val="nil"/>
            </w:tcBorders>
            <w:shd w:val="clear" w:color="auto" w:fill="auto"/>
            <w:noWrap/>
            <w:vAlign w:val="bottom"/>
            <w:hideMark/>
          </w:tcPr>
          <w:p w14:paraId="6C2E2BAA"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008" w:type="dxa"/>
            <w:tcBorders>
              <w:top w:val="nil"/>
              <w:left w:val="nil"/>
              <w:bottom w:val="double" w:sz="4" w:space="0" w:color="auto"/>
              <w:right w:val="nil"/>
            </w:tcBorders>
            <w:shd w:val="clear" w:color="auto" w:fill="auto"/>
            <w:noWrap/>
            <w:vAlign w:val="bottom"/>
            <w:hideMark/>
          </w:tcPr>
          <w:p w14:paraId="424E0D46"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152" w:type="dxa"/>
            <w:tcBorders>
              <w:top w:val="nil"/>
              <w:left w:val="nil"/>
              <w:bottom w:val="double" w:sz="4" w:space="0" w:color="auto"/>
              <w:right w:val="nil"/>
            </w:tcBorders>
            <w:shd w:val="clear" w:color="auto" w:fill="auto"/>
            <w:noWrap/>
            <w:vAlign w:val="bottom"/>
            <w:hideMark/>
          </w:tcPr>
          <w:p w14:paraId="475FFB4A"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152" w:type="dxa"/>
            <w:tcBorders>
              <w:top w:val="nil"/>
              <w:left w:val="nil"/>
              <w:bottom w:val="double" w:sz="4" w:space="0" w:color="auto"/>
              <w:right w:val="nil"/>
            </w:tcBorders>
            <w:shd w:val="clear" w:color="auto" w:fill="auto"/>
            <w:noWrap/>
            <w:vAlign w:val="bottom"/>
            <w:hideMark/>
          </w:tcPr>
          <w:p w14:paraId="48381CF3"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c>
          <w:tcPr>
            <w:tcW w:w="1152" w:type="dxa"/>
            <w:tcBorders>
              <w:top w:val="nil"/>
              <w:left w:val="nil"/>
              <w:bottom w:val="double" w:sz="4" w:space="0" w:color="auto"/>
              <w:right w:val="nil"/>
            </w:tcBorders>
            <w:shd w:val="clear" w:color="auto" w:fill="auto"/>
            <w:noWrap/>
            <w:vAlign w:val="bottom"/>
            <w:hideMark/>
          </w:tcPr>
          <w:p w14:paraId="2BBB72AA" w14:textId="77777777" w:rsidR="009E4C3E" w:rsidRPr="00AB2901" w:rsidRDefault="009E4C3E" w:rsidP="008C1344">
            <w:pPr>
              <w:jc w:val="center"/>
              <w:rPr>
                <w:rFonts w:eastAsia="Times New Roman" w:cs="Calibri"/>
                <w:color w:val="000000"/>
              </w:rPr>
            </w:pPr>
            <w:r w:rsidRPr="00AB2901">
              <w:rPr>
                <w:rFonts w:eastAsia="Times New Roman" w:cs="Calibri"/>
                <w:color w:val="000000"/>
              </w:rPr>
              <w:t>5.8</w:t>
            </w:r>
          </w:p>
        </w:tc>
      </w:tr>
    </w:tbl>
    <w:p w14:paraId="6F81CAB5" w14:textId="77777777" w:rsidR="009E4C3E" w:rsidRDefault="009E4C3E" w:rsidP="00014678">
      <w:pPr>
        <w:ind w:left="720" w:right="648"/>
        <w:jc w:val="both"/>
        <w:rPr>
          <w:sz w:val="20"/>
          <w:szCs w:val="20"/>
        </w:rPr>
      </w:pPr>
      <w:r w:rsidRPr="00381F87">
        <w:rPr>
          <w:sz w:val="20"/>
          <w:szCs w:val="20"/>
        </w:rPr>
        <w:t>Notes:  Standard errors in parentheses are clustered at the state level. All models include year and county fixed effects plus the fraction female, fraction black, fraction other race, fraction Hispanic, and the fraction in age groups 24-34, 35-44, 45-54, 55-64, 65-74, 85-84, and 85 and above. All models weighted by the adult population in the county. There are data for 33 years from 3,106 counties and 102,498 observations in total.</w:t>
      </w:r>
    </w:p>
    <w:p w14:paraId="614A8314" w14:textId="77777777" w:rsidR="009E4C3E" w:rsidRDefault="009E4C3E" w:rsidP="009E4C3E">
      <w:pPr>
        <w:ind w:left="630" w:right="648"/>
        <w:jc w:val="both"/>
        <w:rPr>
          <w:sz w:val="20"/>
          <w:szCs w:val="20"/>
        </w:rPr>
      </w:pPr>
    </w:p>
    <w:bookmarkEnd w:id="0"/>
    <w:p w14:paraId="1133DDA1" w14:textId="77777777" w:rsidR="008C7377" w:rsidRDefault="008C7377" w:rsidP="008C7377">
      <w:pPr>
        <w:ind w:firstLine="720"/>
        <w:jc w:val="center"/>
      </w:pPr>
    </w:p>
    <w:sectPr w:rsidR="008C7377" w:rsidSect="00014678">
      <w:footerReference w:type="default" r:id="rId34"/>
      <w:pgSz w:w="15840" w:h="12240" w:orient="landscape"/>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9862" w14:textId="77777777" w:rsidR="0006032C" w:rsidRDefault="0006032C" w:rsidP="000067FA">
      <w:r>
        <w:separator/>
      </w:r>
    </w:p>
  </w:endnote>
  <w:endnote w:type="continuationSeparator" w:id="0">
    <w:p w14:paraId="57B5BF9B" w14:textId="77777777" w:rsidR="0006032C" w:rsidRDefault="0006032C" w:rsidP="0000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F484" w14:textId="7278F0F8" w:rsidR="008C1344" w:rsidRDefault="008C1344">
    <w:pPr>
      <w:pStyle w:val="Footer"/>
      <w:jc w:val="center"/>
    </w:pPr>
    <w:r>
      <w:t>A</w:t>
    </w:r>
    <w:sdt>
      <w:sdtPr>
        <w:id w:val="10784794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562F">
          <w:rPr>
            <w:noProof/>
          </w:rPr>
          <w:t>14</w:t>
        </w:r>
        <w:r>
          <w:rPr>
            <w:noProof/>
          </w:rPr>
          <w:fldChar w:fldCharType="end"/>
        </w:r>
      </w:sdtContent>
    </w:sdt>
  </w:p>
  <w:p w14:paraId="2FFA547B" w14:textId="77777777" w:rsidR="008C1344" w:rsidRDefault="008C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64D0" w14:textId="28F12483" w:rsidR="008C1344" w:rsidRDefault="0006032C">
    <w:pPr>
      <w:pStyle w:val="Footer"/>
      <w:jc w:val="center"/>
    </w:pPr>
    <w:sdt>
      <w:sdtPr>
        <w:id w:val="-1522468064"/>
        <w:docPartObj>
          <w:docPartGallery w:val="Page Numbers (Bottom of Page)"/>
          <w:docPartUnique/>
        </w:docPartObj>
      </w:sdtPr>
      <w:sdtEndPr>
        <w:rPr>
          <w:noProof/>
        </w:rPr>
      </w:sdtEndPr>
      <w:sdtContent>
        <w:r w:rsidR="008C1344">
          <w:fldChar w:fldCharType="begin"/>
        </w:r>
        <w:r w:rsidR="008C1344">
          <w:instrText xml:space="preserve"> PAGE   \* MERGEFORMAT </w:instrText>
        </w:r>
        <w:r w:rsidR="008C1344">
          <w:fldChar w:fldCharType="separate"/>
        </w:r>
        <w:r w:rsidR="00DE562F">
          <w:rPr>
            <w:noProof/>
          </w:rPr>
          <w:t>15</w:t>
        </w:r>
        <w:r w:rsidR="008C1344">
          <w:rPr>
            <w:noProof/>
          </w:rPr>
          <w:fldChar w:fldCharType="end"/>
        </w:r>
      </w:sdtContent>
    </w:sdt>
  </w:p>
  <w:p w14:paraId="4C658443" w14:textId="77777777" w:rsidR="008C1344" w:rsidRDefault="008C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F8B32" w14:textId="77777777" w:rsidR="0006032C" w:rsidRDefault="0006032C" w:rsidP="000067FA">
      <w:r>
        <w:separator/>
      </w:r>
    </w:p>
  </w:footnote>
  <w:footnote w:type="continuationSeparator" w:id="0">
    <w:p w14:paraId="64182806" w14:textId="77777777" w:rsidR="0006032C" w:rsidRDefault="0006032C" w:rsidP="000067FA">
      <w:r>
        <w:continuationSeparator/>
      </w:r>
    </w:p>
  </w:footnote>
  <w:footnote w:id="1">
    <w:p w14:paraId="3686DF28" w14:textId="77777777" w:rsidR="008C1344" w:rsidRDefault="008C1344" w:rsidP="00140DA5">
      <w:pPr>
        <w:pStyle w:val="FootnoteText"/>
      </w:pPr>
      <w:r>
        <w:rPr>
          <w:rStyle w:val="FootnoteReference"/>
        </w:rPr>
        <w:footnoteRef/>
      </w:r>
      <w:r>
        <w:t xml:space="preserve"> The ones we excluded from this classification were associated with the ICD-10 system. We did not use P04.3 as that is a code for alcohol and newborns. We did not include codes G62.1 (alcohol polyneuropathy) and R78.0 (traces of alcohol in blood) as deaths from these were only recoded in a small number of years.</w:t>
      </w:r>
    </w:p>
  </w:footnote>
  <w:footnote w:id="2">
    <w:p w14:paraId="6F2BDD17" w14:textId="77777777" w:rsidR="008C1344" w:rsidRDefault="008C1344" w:rsidP="00140DA5">
      <w:pPr>
        <w:pStyle w:val="FootnoteText"/>
      </w:pPr>
      <w:r>
        <w:rPr>
          <w:rStyle w:val="FootnoteReference"/>
        </w:rPr>
        <w:footnoteRef/>
      </w:r>
      <w:r>
        <w:t xml:space="preserve"> </w:t>
      </w:r>
      <w:r w:rsidRPr="001A4899">
        <w:t>https://seer.cancer.gov/popdata/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964"/>
    <w:multiLevelType w:val="hybridMultilevel"/>
    <w:tmpl w:val="E9B2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603"/>
    <w:multiLevelType w:val="hybridMultilevel"/>
    <w:tmpl w:val="4540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905E0"/>
    <w:multiLevelType w:val="hybridMultilevel"/>
    <w:tmpl w:val="085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008D0"/>
    <w:multiLevelType w:val="hybridMultilevel"/>
    <w:tmpl w:val="38A8E2D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A1D50"/>
    <w:multiLevelType w:val="hybridMultilevel"/>
    <w:tmpl w:val="0360C43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176762"/>
    <w:multiLevelType w:val="hybridMultilevel"/>
    <w:tmpl w:val="59022D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1740C0"/>
    <w:multiLevelType w:val="hybridMultilevel"/>
    <w:tmpl w:val="62C6C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D5320"/>
    <w:multiLevelType w:val="hybridMultilevel"/>
    <w:tmpl w:val="141A84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C77E97"/>
    <w:multiLevelType w:val="hybridMultilevel"/>
    <w:tmpl w:val="581E0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2"/>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E0"/>
    <w:rsid w:val="0000376F"/>
    <w:rsid w:val="000042C5"/>
    <w:rsid w:val="000067FA"/>
    <w:rsid w:val="000116E7"/>
    <w:rsid w:val="00012764"/>
    <w:rsid w:val="000138C4"/>
    <w:rsid w:val="00014678"/>
    <w:rsid w:val="00015245"/>
    <w:rsid w:val="00015907"/>
    <w:rsid w:val="00017008"/>
    <w:rsid w:val="000220F8"/>
    <w:rsid w:val="0002353B"/>
    <w:rsid w:val="00024454"/>
    <w:rsid w:val="00024578"/>
    <w:rsid w:val="0002646F"/>
    <w:rsid w:val="00026604"/>
    <w:rsid w:val="00030FA6"/>
    <w:rsid w:val="0003362B"/>
    <w:rsid w:val="000347E4"/>
    <w:rsid w:val="000375BD"/>
    <w:rsid w:val="00044DF9"/>
    <w:rsid w:val="00046407"/>
    <w:rsid w:val="0005196A"/>
    <w:rsid w:val="00056328"/>
    <w:rsid w:val="000569D3"/>
    <w:rsid w:val="0006032C"/>
    <w:rsid w:val="00064D89"/>
    <w:rsid w:val="000658BC"/>
    <w:rsid w:val="00072DE0"/>
    <w:rsid w:val="0007311D"/>
    <w:rsid w:val="00075177"/>
    <w:rsid w:val="0008505F"/>
    <w:rsid w:val="00085462"/>
    <w:rsid w:val="00090528"/>
    <w:rsid w:val="00090C6E"/>
    <w:rsid w:val="00091671"/>
    <w:rsid w:val="00093D90"/>
    <w:rsid w:val="000A0429"/>
    <w:rsid w:val="000A1465"/>
    <w:rsid w:val="000A2699"/>
    <w:rsid w:val="000A4AD6"/>
    <w:rsid w:val="000A59B3"/>
    <w:rsid w:val="000A7ACC"/>
    <w:rsid w:val="000B094A"/>
    <w:rsid w:val="000B126B"/>
    <w:rsid w:val="000B1BE7"/>
    <w:rsid w:val="000B3CC4"/>
    <w:rsid w:val="000B75D6"/>
    <w:rsid w:val="000C338A"/>
    <w:rsid w:val="000C3521"/>
    <w:rsid w:val="000C36E8"/>
    <w:rsid w:val="000C37E2"/>
    <w:rsid w:val="000C4693"/>
    <w:rsid w:val="000C5150"/>
    <w:rsid w:val="000C51D2"/>
    <w:rsid w:val="000C7979"/>
    <w:rsid w:val="000D2A05"/>
    <w:rsid w:val="000D320E"/>
    <w:rsid w:val="000D4E86"/>
    <w:rsid w:val="000D5481"/>
    <w:rsid w:val="000D5605"/>
    <w:rsid w:val="000D7784"/>
    <w:rsid w:val="000E0E01"/>
    <w:rsid w:val="000E134A"/>
    <w:rsid w:val="000E1F3F"/>
    <w:rsid w:val="000E2496"/>
    <w:rsid w:val="000E4112"/>
    <w:rsid w:val="000F3431"/>
    <w:rsid w:val="000F344B"/>
    <w:rsid w:val="000F3E5D"/>
    <w:rsid w:val="000F4E99"/>
    <w:rsid w:val="000F4F24"/>
    <w:rsid w:val="000F6342"/>
    <w:rsid w:val="000F725C"/>
    <w:rsid w:val="001021B8"/>
    <w:rsid w:val="00102B88"/>
    <w:rsid w:val="001045B8"/>
    <w:rsid w:val="0010495E"/>
    <w:rsid w:val="001056C2"/>
    <w:rsid w:val="001068BB"/>
    <w:rsid w:val="00107222"/>
    <w:rsid w:val="0010791B"/>
    <w:rsid w:val="00110681"/>
    <w:rsid w:val="00120A86"/>
    <w:rsid w:val="00124CA1"/>
    <w:rsid w:val="001260D4"/>
    <w:rsid w:val="001305AA"/>
    <w:rsid w:val="001327C5"/>
    <w:rsid w:val="001329BE"/>
    <w:rsid w:val="00133181"/>
    <w:rsid w:val="001337B9"/>
    <w:rsid w:val="00140DA5"/>
    <w:rsid w:val="00140EBD"/>
    <w:rsid w:val="00142832"/>
    <w:rsid w:val="001443D3"/>
    <w:rsid w:val="0014497E"/>
    <w:rsid w:val="00150622"/>
    <w:rsid w:val="001525FA"/>
    <w:rsid w:val="00153584"/>
    <w:rsid w:val="00155C38"/>
    <w:rsid w:val="00155FB9"/>
    <w:rsid w:val="001579B6"/>
    <w:rsid w:val="00157A08"/>
    <w:rsid w:val="00160227"/>
    <w:rsid w:val="001629E5"/>
    <w:rsid w:val="001640F0"/>
    <w:rsid w:val="00165D22"/>
    <w:rsid w:val="0016705A"/>
    <w:rsid w:val="001671E5"/>
    <w:rsid w:val="00173856"/>
    <w:rsid w:val="001756C2"/>
    <w:rsid w:val="00176C28"/>
    <w:rsid w:val="0018112F"/>
    <w:rsid w:val="001812D9"/>
    <w:rsid w:val="00182FE5"/>
    <w:rsid w:val="001851FB"/>
    <w:rsid w:val="00186CD0"/>
    <w:rsid w:val="00187958"/>
    <w:rsid w:val="00190F9D"/>
    <w:rsid w:val="00192F5A"/>
    <w:rsid w:val="00193900"/>
    <w:rsid w:val="001940D0"/>
    <w:rsid w:val="0019566C"/>
    <w:rsid w:val="001957B0"/>
    <w:rsid w:val="00196817"/>
    <w:rsid w:val="001A0045"/>
    <w:rsid w:val="001A0FE7"/>
    <w:rsid w:val="001A1371"/>
    <w:rsid w:val="001A549F"/>
    <w:rsid w:val="001A5F07"/>
    <w:rsid w:val="001A6364"/>
    <w:rsid w:val="001A67D9"/>
    <w:rsid w:val="001A7E34"/>
    <w:rsid w:val="001B0FAF"/>
    <w:rsid w:val="001B38ED"/>
    <w:rsid w:val="001C3417"/>
    <w:rsid w:val="001D787F"/>
    <w:rsid w:val="001E117E"/>
    <w:rsid w:val="001E1F0E"/>
    <w:rsid w:val="001E44F3"/>
    <w:rsid w:val="001E58AD"/>
    <w:rsid w:val="001F1696"/>
    <w:rsid w:val="001F1E50"/>
    <w:rsid w:val="001F2BA4"/>
    <w:rsid w:val="001F2EB9"/>
    <w:rsid w:val="001F54AB"/>
    <w:rsid w:val="001F7DB5"/>
    <w:rsid w:val="002009B0"/>
    <w:rsid w:val="00200DA5"/>
    <w:rsid w:val="00202350"/>
    <w:rsid w:val="00202531"/>
    <w:rsid w:val="002071C8"/>
    <w:rsid w:val="00211A4E"/>
    <w:rsid w:val="00214437"/>
    <w:rsid w:val="00214731"/>
    <w:rsid w:val="00217EB4"/>
    <w:rsid w:val="00222206"/>
    <w:rsid w:val="00242F00"/>
    <w:rsid w:val="00244D52"/>
    <w:rsid w:val="00245733"/>
    <w:rsid w:val="00255D25"/>
    <w:rsid w:val="002561E1"/>
    <w:rsid w:val="002610C5"/>
    <w:rsid w:val="002647AA"/>
    <w:rsid w:val="002648EA"/>
    <w:rsid w:val="00265168"/>
    <w:rsid w:val="00270FAC"/>
    <w:rsid w:val="00271BE5"/>
    <w:rsid w:val="00273229"/>
    <w:rsid w:val="00274E7B"/>
    <w:rsid w:val="002758EA"/>
    <w:rsid w:val="00275977"/>
    <w:rsid w:val="002823F9"/>
    <w:rsid w:val="002838F2"/>
    <w:rsid w:val="00285420"/>
    <w:rsid w:val="00285432"/>
    <w:rsid w:val="00285E46"/>
    <w:rsid w:val="00286761"/>
    <w:rsid w:val="002872C6"/>
    <w:rsid w:val="00287FAC"/>
    <w:rsid w:val="00290453"/>
    <w:rsid w:val="00290F51"/>
    <w:rsid w:val="00293312"/>
    <w:rsid w:val="00293DF8"/>
    <w:rsid w:val="00294B91"/>
    <w:rsid w:val="00295D85"/>
    <w:rsid w:val="00296660"/>
    <w:rsid w:val="0029678F"/>
    <w:rsid w:val="00296A56"/>
    <w:rsid w:val="002A3C18"/>
    <w:rsid w:val="002A5F16"/>
    <w:rsid w:val="002A7271"/>
    <w:rsid w:val="002B0148"/>
    <w:rsid w:val="002B5978"/>
    <w:rsid w:val="002B6222"/>
    <w:rsid w:val="002B6E9C"/>
    <w:rsid w:val="002C00BC"/>
    <w:rsid w:val="002C7297"/>
    <w:rsid w:val="002D2264"/>
    <w:rsid w:val="002D37A6"/>
    <w:rsid w:val="002D3875"/>
    <w:rsid w:val="002D4AD9"/>
    <w:rsid w:val="002D65DB"/>
    <w:rsid w:val="002D7A2A"/>
    <w:rsid w:val="002E0957"/>
    <w:rsid w:val="002E1933"/>
    <w:rsid w:val="002E29E3"/>
    <w:rsid w:val="002E4564"/>
    <w:rsid w:val="002F29D5"/>
    <w:rsid w:val="002F2EA1"/>
    <w:rsid w:val="002F3BB9"/>
    <w:rsid w:val="00300EE6"/>
    <w:rsid w:val="00303784"/>
    <w:rsid w:val="00303790"/>
    <w:rsid w:val="00303C2D"/>
    <w:rsid w:val="00303E93"/>
    <w:rsid w:val="00304D71"/>
    <w:rsid w:val="00305E54"/>
    <w:rsid w:val="0030656B"/>
    <w:rsid w:val="00311EC2"/>
    <w:rsid w:val="00312503"/>
    <w:rsid w:val="0031592B"/>
    <w:rsid w:val="0031744E"/>
    <w:rsid w:val="00317D69"/>
    <w:rsid w:val="00320FE2"/>
    <w:rsid w:val="00323A57"/>
    <w:rsid w:val="0032450D"/>
    <w:rsid w:val="003247FC"/>
    <w:rsid w:val="00325907"/>
    <w:rsid w:val="00325D94"/>
    <w:rsid w:val="003263DE"/>
    <w:rsid w:val="00327C76"/>
    <w:rsid w:val="00330072"/>
    <w:rsid w:val="00330775"/>
    <w:rsid w:val="003309DE"/>
    <w:rsid w:val="00335C8E"/>
    <w:rsid w:val="003409C4"/>
    <w:rsid w:val="003432EB"/>
    <w:rsid w:val="0034444A"/>
    <w:rsid w:val="00344AA9"/>
    <w:rsid w:val="00345B6A"/>
    <w:rsid w:val="00345CBD"/>
    <w:rsid w:val="00346131"/>
    <w:rsid w:val="00350061"/>
    <w:rsid w:val="003500A8"/>
    <w:rsid w:val="003506C8"/>
    <w:rsid w:val="00354F7F"/>
    <w:rsid w:val="0035758B"/>
    <w:rsid w:val="003644AC"/>
    <w:rsid w:val="00366614"/>
    <w:rsid w:val="003703EB"/>
    <w:rsid w:val="00373C6E"/>
    <w:rsid w:val="0037415F"/>
    <w:rsid w:val="003741B7"/>
    <w:rsid w:val="00374847"/>
    <w:rsid w:val="00375D1F"/>
    <w:rsid w:val="00376E36"/>
    <w:rsid w:val="00377647"/>
    <w:rsid w:val="00380A2F"/>
    <w:rsid w:val="00380CC3"/>
    <w:rsid w:val="003828E9"/>
    <w:rsid w:val="0038589A"/>
    <w:rsid w:val="00390183"/>
    <w:rsid w:val="00391396"/>
    <w:rsid w:val="00391718"/>
    <w:rsid w:val="00391954"/>
    <w:rsid w:val="00394C83"/>
    <w:rsid w:val="00395716"/>
    <w:rsid w:val="00395BB3"/>
    <w:rsid w:val="003A1C2E"/>
    <w:rsid w:val="003A3C08"/>
    <w:rsid w:val="003A4963"/>
    <w:rsid w:val="003A774E"/>
    <w:rsid w:val="003B6166"/>
    <w:rsid w:val="003B6474"/>
    <w:rsid w:val="003C2562"/>
    <w:rsid w:val="003C3305"/>
    <w:rsid w:val="003C5FCC"/>
    <w:rsid w:val="003D08AF"/>
    <w:rsid w:val="003D1AB4"/>
    <w:rsid w:val="003D2A65"/>
    <w:rsid w:val="003D3260"/>
    <w:rsid w:val="003D40A3"/>
    <w:rsid w:val="003D48A6"/>
    <w:rsid w:val="003D656E"/>
    <w:rsid w:val="003E1F6F"/>
    <w:rsid w:val="003F0009"/>
    <w:rsid w:val="003F0BC4"/>
    <w:rsid w:val="003F5E1A"/>
    <w:rsid w:val="0040015B"/>
    <w:rsid w:val="004017AF"/>
    <w:rsid w:val="00401A0E"/>
    <w:rsid w:val="004024F4"/>
    <w:rsid w:val="00405FD3"/>
    <w:rsid w:val="004070BC"/>
    <w:rsid w:val="00411DF2"/>
    <w:rsid w:val="004129C9"/>
    <w:rsid w:val="0041338D"/>
    <w:rsid w:val="00415021"/>
    <w:rsid w:val="00415D79"/>
    <w:rsid w:val="0042241F"/>
    <w:rsid w:val="0042382A"/>
    <w:rsid w:val="00424D2B"/>
    <w:rsid w:val="004263B5"/>
    <w:rsid w:val="004320DF"/>
    <w:rsid w:val="0043232E"/>
    <w:rsid w:val="00442885"/>
    <w:rsid w:val="00450725"/>
    <w:rsid w:val="00450FE6"/>
    <w:rsid w:val="004516C9"/>
    <w:rsid w:val="004546D7"/>
    <w:rsid w:val="004554CF"/>
    <w:rsid w:val="00455983"/>
    <w:rsid w:val="00460E99"/>
    <w:rsid w:val="00461BB9"/>
    <w:rsid w:val="00462120"/>
    <w:rsid w:val="004625F8"/>
    <w:rsid w:val="00463625"/>
    <w:rsid w:val="00467347"/>
    <w:rsid w:val="00471061"/>
    <w:rsid w:val="004715B4"/>
    <w:rsid w:val="00473722"/>
    <w:rsid w:val="0048055D"/>
    <w:rsid w:val="00484076"/>
    <w:rsid w:val="00484CE9"/>
    <w:rsid w:val="00492794"/>
    <w:rsid w:val="00496C1E"/>
    <w:rsid w:val="004A02DA"/>
    <w:rsid w:val="004A1C04"/>
    <w:rsid w:val="004A2FB2"/>
    <w:rsid w:val="004A40DD"/>
    <w:rsid w:val="004A6EB6"/>
    <w:rsid w:val="004B08BA"/>
    <w:rsid w:val="004B1987"/>
    <w:rsid w:val="004B3492"/>
    <w:rsid w:val="004B70A5"/>
    <w:rsid w:val="004B721A"/>
    <w:rsid w:val="004C113A"/>
    <w:rsid w:val="004C36CC"/>
    <w:rsid w:val="004C4A25"/>
    <w:rsid w:val="004C4CDD"/>
    <w:rsid w:val="004C6837"/>
    <w:rsid w:val="004D19D6"/>
    <w:rsid w:val="004D246E"/>
    <w:rsid w:val="004D3ECD"/>
    <w:rsid w:val="004D4292"/>
    <w:rsid w:val="004D5D26"/>
    <w:rsid w:val="004D62F4"/>
    <w:rsid w:val="004D7790"/>
    <w:rsid w:val="004E0426"/>
    <w:rsid w:val="004E0A7C"/>
    <w:rsid w:val="004E2462"/>
    <w:rsid w:val="004E2D6A"/>
    <w:rsid w:val="004E339E"/>
    <w:rsid w:val="004E57D6"/>
    <w:rsid w:val="004E7FC9"/>
    <w:rsid w:val="004F0A53"/>
    <w:rsid w:val="004F0B32"/>
    <w:rsid w:val="004F13C1"/>
    <w:rsid w:val="004F21B1"/>
    <w:rsid w:val="004F5D85"/>
    <w:rsid w:val="004F7CA3"/>
    <w:rsid w:val="00501B18"/>
    <w:rsid w:val="00504667"/>
    <w:rsid w:val="00510955"/>
    <w:rsid w:val="00510C99"/>
    <w:rsid w:val="00510CA6"/>
    <w:rsid w:val="00510DBA"/>
    <w:rsid w:val="005114A6"/>
    <w:rsid w:val="0051166B"/>
    <w:rsid w:val="00517341"/>
    <w:rsid w:val="00521AB4"/>
    <w:rsid w:val="00522063"/>
    <w:rsid w:val="00522B11"/>
    <w:rsid w:val="0053181E"/>
    <w:rsid w:val="00532275"/>
    <w:rsid w:val="00535C97"/>
    <w:rsid w:val="005367A6"/>
    <w:rsid w:val="00536896"/>
    <w:rsid w:val="00540DB2"/>
    <w:rsid w:val="00542A4B"/>
    <w:rsid w:val="00543D14"/>
    <w:rsid w:val="0054431C"/>
    <w:rsid w:val="0054542B"/>
    <w:rsid w:val="00546C09"/>
    <w:rsid w:val="00547B2E"/>
    <w:rsid w:val="0055335B"/>
    <w:rsid w:val="00553F66"/>
    <w:rsid w:val="00554406"/>
    <w:rsid w:val="00554941"/>
    <w:rsid w:val="005571D7"/>
    <w:rsid w:val="005641F6"/>
    <w:rsid w:val="00564FD3"/>
    <w:rsid w:val="005651C4"/>
    <w:rsid w:val="00565A5F"/>
    <w:rsid w:val="00565FDA"/>
    <w:rsid w:val="005666BF"/>
    <w:rsid w:val="00566BB2"/>
    <w:rsid w:val="00567750"/>
    <w:rsid w:val="00570E48"/>
    <w:rsid w:val="00571C18"/>
    <w:rsid w:val="00572073"/>
    <w:rsid w:val="0057714E"/>
    <w:rsid w:val="0057794B"/>
    <w:rsid w:val="00580160"/>
    <w:rsid w:val="00580C45"/>
    <w:rsid w:val="0058317A"/>
    <w:rsid w:val="00584200"/>
    <w:rsid w:val="00584991"/>
    <w:rsid w:val="00584C08"/>
    <w:rsid w:val="00585723"/>
    <w:rsid w:val="00585C9B"/>
    <w:rsid w:val="005876A0"/>
    <w:rsid w:val="005939D8"/>
    <w:rsid w:val="00594998"/>
    <w:rsid w:val="005957B3"/>
    <w:rsid w:val="00597BFE"/>
    <w:rsid w:val="00597FD2"/>
    <w:rsid w:val="005A0619"/>
    <w:rsid w:val="005A2D79"/>
    <w:rsid w:val="005A3E0D"/>
    <w:rsid w:val="005A705E"/>
    <w:rsid w:val="005B233A"/>
    <w:rsid w:val="005B2746"/>
    <w:rsid w:val="005B33A3"/>
    <w:rsid w:val="005B76F3"/>
    <w:rsid w:val="005C4663"/>
    <w:rsid w:val="005C5C24"/>
    <w:rsid w:val="005C7BBD"/>
    <w:rsid w:val="005D0A04"/>
    <w:rsid w:val="005D126F"/>
    <w:rsid w:val="005D30EF"/>
    <w:rsid w:val="005D34CC"/>
    <w:rsid w:val="005D3E0B"/>
    <w:rsid w:val="005D586A"/>
    <w:rsid w:val="005D6703"/>
    <w:rsid w:val="005F0BF2"/>
    <w:rsid w:val="005F152C"/>
    <w:rsid w:val="005F2EF5"/>
    <w:rsid w:val="005F2F47"/>
    <w:rsid w:val="005F73BE"/>
    <w:rsid w:val="006008E7"/>
    <w:rsid w:val="0060182C"/>
    <w:rsid w:val="00603EAD"/>
    <w:rsid w:val="006043D9"/>
    <w:rsid w:val="00605244"/>
    <w:rsid w:val="00606567"/>
    <w:rsid w:val="00607325"/>
    <w:rsid w:val="00610E43"/>
    <w:rsid w:val="00612D64"/>
    <w:rsid w:val="0061407C"/>
    <w:rsid w:val="00620029"/>
    <w:rsid w:val="006217A7"/>
    <w:rsid w:val="00623CAE"/>
    <w:rsid w:val="006271DF"/>
    <w:rsid w:val="00627754"/>
    <w:rsid w:val="00627BF9"/>
    <w:rsid w:val="0063015A"/>
    <w:rsid w:val="00632946"/>
    <w:rsid w:val="00632E37"/>
    <w:rsid w:val="006368D7"/>
    <w:rsid w:val="006444C5"/>
    <w:rsid w:val="00646D06"/>
    <w:rsid w:val="0064793B"/>
    <w:rsid w:val="0065116E"/>
    <w:rsid w:val="006524DD"/>
    <w:rsid w:val="006545D1"/>
    <w:rsid w:val="0065621E"/>
    <w:rsid w:val="00662B89"/>
    <w:rsid w:val="0066320D"/>
    <w:rsid w:val="006640E1"/>
    <w:rsid w:val="00666414"/>
    <w:rsid w:val="00674FB2"/>
    <w:rsid w:val="00682687"/>
    <w:rsid w:val="0068486C"/>
    <w:rsid w:val="00685D0E"/>
    <w:rsid w:val="00686B02"/>
    <w:rsid w:val="006878EE"/>
    <w:rsid w:val="0069059A"/>
    <w:rsid w:val="00697464"/>
    <w:rsid w:val="006A0601"/>
    <w:rsid w:val="006A0BC8"/>
    <w:rsid w:val="006A1298"/>
    <w:rsid w:val="006A2A26"/>
    <w:rsid w:val="006A2D13"/>
    <w:rsid w:val="006A4C5B"/>
    <w:rsid w:val="006A55DB"/>
    <w:rsid w:val="006A5D7F"/>
    <w:rsid w:val="006A69CC"/>
    <w:rsid w:val="006A7048"/>
    <w:rsid w:val="006B2197"/>
    <w:rsid w:val="006B262D"/>
    <w:rsid w:val="006B2673"/>
    <w:rsid w:val="006B4457"/>
    <w:rsid w:val="006B5732"/>
    <w:rsid w:val="006C0454"/>
    <w:rsid w:val="006C5176"/>
    <w:rsid w:val="006C5840"/>
    <w:rsid w:val="006D25B3"/>
    <w:rsid w:val="006D4470"/>
    <w:rsid w:val="006D4489"/>
    <w:rsid w:val="006D6E1F"/>
    <w:rsid w:val="006D6EE3"/>
    <w:rsid w:val="006E47B2"/>
    <w:rsid w:val="006E7CF0"/>
    <w:rsid w:val="006F0F58"/>
    <w:rsid w:val="006F1AB0"/>
    <w:rsid w:val="006F5702"/>
    <w:rsid w:val="006F6145"/>
    <w:rsid w:val="006F7F9D"/>
    <w:rsid w:val="00701E90"/>
    <w:rsid w:val="0070522C"/>
    <w:rsid w:val="0070597E"/>
    <w:rsid w:val="00706ED6"/>
    <w:rsid w:val="00710671"/>
    <w:rsid w:val="00712770"/>
    <w:rsid w:val="0071453D"/>
    <w:rsid w:val="0071521C"/>
    <w:rsid w:val="00721A3D"/>
    <w:rsid w:val="00721FFE"/>
    <w:rsid w:val="007257B5"/>
    <w:rsid w:val="007261E5"/>
    <w:rsid w:val="00726C92"/>
    <w:rsid w:val="00732117"/>
    <w:rsid w:val="00732C59"/>
    <w:rsid w:val="00734F99"/>
    <w:rsid w:val="00736330"/>
    <w:rsid w:val="007410D7"/>
    <w:rsid w:val="0074214D"/>
    <w:rsid w:val="007431DF"/>
    <w:rsid w:val="00743C3E"/>
    <w:rsid w:val="007444C3"/>
    <w:rsid w:val="00745F05"/>
    <w:rsid w:val="0075259C"/>
    <w:rsid w:val="00752E39"/>
    <w:rsid w:val="00752FD4"/>
    <w:rsid w:val="0076018A"/>
    <w:rsid w:val="007616B9"/>
    <w:rsid w:val="00762F2A"/>
    <w:rsid w:val="007708E0"/>
    <w:rsid w:val="007722D4"/>
    <w:rsid w:val="00773392"/>
    <w:rsid w:val="007741C0"/>
    <w:rsid w:val="007745E9"/>
    <w:rsid w:val="0077651A"/>
    <w:rsid w:val="007771C4"/>
    <w:rsid w:val="007826B1"/>
    <w:rsid w:val="00782A94"/>
    <w:rsid w:val="007833D3"/>
    <w:rsid w:val="00786780"/>
    <w:rsid w:val="00792687"/>
    <w:rsid w:val="0079585B"/>
    <w:rsid w:val="007A1475"/>
    <w:rsid w:val="007A1C80"/>
    <w:rsid w:val="007A25A3"/>
    <w:rsid w:val="007A3411"/>
    <w:rsid w:val="007A6E55"/>
    <w:rsid w:val="007A7CCF"/>
    <w:rsid w:val="007B2E7E"/>
    <w:rsid w:val="007B5994"/>
    <w:rsid w:val="007B68C8"/>
    <w:rsid w:val="007C3DCC"/>
    <w:rsid w:val="007C6427"/>
    <w:rsid w:val="007C6C57"/>
    <w:rsid w:val="007C6D09"/>
    <w:rsid w:val="007C6FFE"/>
    <w:rsid w:val="007C7B94"/>
    <w:rsid w:val="007D06B4"/>
    <w:rsid w:val="007D41AA"/>
    <w:rsid w:val="007D6567"/>
    <w:rsid w:val="007D6C1F"/>
    <w:rsid w:val="007E039B"/>
    <w:rsid w:val="007E079C"/>
    <w:rsid w:val="007E0C7B"/>
    <w:rsid w:val="007E2176"/>
    <w:rsid w:val="007E2C2F"/>
    <w:rsid w:val="007E3D1A"/>
    <w:rsid w:val="007E4E87"/>
    <w:rsid w:val="007E5FE8"/>
    <w:rsid w:val="007E7065"/>
    <w:rsid w:val="007F014C"/>
    <w:rsid w:val="007F1942"/>
    <w:rsid w:val="00801561"/>
    <w:rsid w:val="00803D7E"/>
    <w:rsid w:val="008049AB"/>
    <w:rsid w:val="008049D7"/>
    <w:rsid w:val="00805336"/>
    <w:rsid w:val="00811D21"/>
    <w:rsid w:val="008134DD"/>
    <w:rsid w:val="00815C8B"/>
    <w:rsid w:val="008163DF"/>
    <w:rsid w:val="008174D3"/>
    <w:rsid w:val="008239F9"/>
    <w:rsid w:val="00823E23"/>
    <w:rsid w:val="00825500"/>
    <w:rsid w:val="00825CA8"/>
    <w:rsid w:val="0083255B"/>
    <w:rsid w:val="0083596D"/>
    <w:rsid w:val="00840D19"/>
    <w:rsid w:val="00847A9D"/>
    <w:rsid w:val="0085156E"/>
    <w:rsid w:val="0085294B"/>
    <w:rsid w:val="00854EE4"/>
    <w:rsid w:val="00860F09"/>
    <w:rsid w:val="008628C7"/>
    <w:rsid w:val="00862DFD"/>
    <w:rsid w:val="00863045"/>
    <w:rsid w:val="00863AF0"/>
    <w:rsid w:val="00863B7F"/>
    <w:rsid w:val="008719D2"/>
    <w:rsid w:val="0087384A"/>
    <w:rsid w:val="00874706"/>
    <w:rsid w:val="00875319"/>
    <w:rsid w:val="008769F7"/>
    <w:rsid w:val="00877A7F"/>
    <w:rsid w:val="00880DF4"/>
    <w:rsid w:val="008837C3"/>
    <w:rsid w:val="00883E69"/>
    <w:rsid w:val="00885AFB"/>
    <w:rsid w:val="00892E48"/>
    <w:rsid w:val="00894223"/>
    <w:rsid w:val="008A0502"/>
    <w:rsid w:val="008A0B9C"/>
    <w:rsid w:val="008A10C3"/>
    <w:rsid w:val="008A1932"/>
    <w:rsid w:val="008A1A5D"/>
    <w:rsid w:val="008A2CB9"/>
    <w:rsid w:val="008A4BFF"/>
    <w:rsid w:val="008A74B7"/>
    <w:rsid w:val="008A7CAF"/>
    <w:rsid w:val="008B092D"/>
    <w:rsid w:val="008B1E7A"/>
    <w:rsid w:val="008B23D9"/>
    <w:rsid w:val="008B57CE"/>
    <w:rsid w:val="008B5F2D"/>
    <w:rsid w:val="008B63F0"/>
    <w:rsid w:val="008B71D6"/>
    <w:rsid w:val="008C1344"/>
    <w:rsid w:val="008C25EA"/>
    <w:rsid w:val="008C7377"/>
    <w:rsid w:val="008D03EF"/>
    <w:rsid w:val="008D2878"/>
    <w:rsid w:val="008D6D7E"/>
    <w:rsid w:val="008D73C9"/>
    <w:rsid w:val="008E2E34"/>
    <w:rsid w:val="008E4341"/>
    <w:rsid w:val="008E7B22"/>
    <w:rsid w:val="008E7C2D"/>
    <w:rsid w:val="008F0D33"/>
    <w:rsid w:val="008F144B"/>
    <w:rsid w:val="008F2E59"/>
    <w:rsid w:val="008F490E"/>
    <w:rsid w:val="009007F3"/>
    <w:rsid w:val="00900D31"/>
    <w:rsid w:val="00902EAC"/>
    <w:rsid w:val="0091038F"/>
    <w:rsid w:val="00911194"/>
    <w:rsid w:val="0091160F"/>
    <w:rsid w:val="00911921"/>
    <w:rsid w:val="00915C0A"/>
    <w:rsid w:val="00917701"/>
    <w:rsid w:val="00920221"/>
    <w:rsid w:val="00922CDA"/>
    <w:rsid w:val="00923275"/>
    <w:rsid w:val="009234F8"/>
    <w:rsid w:val="00924D8A"/>
    <w:rsid w:val="009250C2"/>
    <w:rsid w:val="009252F2"/>
    <w:rsid w:val="009261F4"/>
    <w:rsid w:val="00931D91"/>
    <w:rsid w:val="00932C0F"/>
    <w:rsid w:val="00935123"/>
    <w:rsid w:val="0094117F"/>
    <w:rsid w:val="00941194"/>
    <w:rsid w:val="009414CE"/>
    <w:rsid w:val="00941C79"/>
    <w:rsid w:val="009426BA"/>
    <w:rsid w:val="00943A32"/>
    <w:rsid w:val="00946311"/>
    <w:rsid w:val="00951450"/>
    <w:rsid w:val="00951D41"/>
    <w:rsid w:val="00953941"/>
    <w:rsid w:val="00957AA7"/>
    <w:rsid w:val="00960756"/>
    <w:rsid w:val="009614EC"/>
    <w:rsid w:val="00966069"/>
    <w:rsid w:val="00973EFE"/>
    <w:rsid w:val="00973FE2"/>
    <w:rsid w:val="009761A2"/>
    <w:rsid w:val="00982F8C"/>
    <w:rsid w:val="009856F5"/>
    <w:rsid w:val="009878F5"/>
    <w:rsid w:val="00990051"/>
    <w:rsid w:val="009909D2"/>
    <w:rsid w:val="00992356"/>
    <w:rsid w:val="00993515"/>
    <w:rsid w:val="009939A5"/>
    <w:rsid w:val="009976AC"/>
    <w:rsid w:val="009A26E9"/>
    <w:rsid w:val="009A535D"/>
    <w:rsid w:val="009A5A5C"/>
    <w:rsid w:val="009A6023"/>
    <w:rsid w:val="009A679D"/>
    <w:rsid w:val="009A7A45"/>
    <w:rsid w:val="009A7FF9"/>
    <w:rsid w:val="009B04EB"/>
    <w:rsid w:val="009B064A"/>
    <w:rsid w:val="009B083A"/>
    <w:rsid w:val="009B16C4"/>
    <w:rsid w:val="009B5918"/>
    <w:rsid w:val="009B672B"/>
    <w:rsid w:val="009B68CB"/>
    <w:rsid w:val="009B7111"/>
    <w:rsid w:val="009C02E1"/>
    <w:rsid w:val="009C302B"/>
    <w:rsid w:val="009C31EA"/>
    <w:rsid w:val="009C539E"/>
    <w:rsid w:val="009C54C6"/>
    <w:rsid w:val="009C579A"/>
    <w:rsid w:val="009D072F"/>
    <w:rsid w:val="009D6CE1"/>
    <w:rsid w:val="009E28B3"/>
    <w:rsid w:val="009E3867"/>
    <w:rsid w:val="009E4C3E"/>
    <w:rsid w:val="009E7501"/>
    <w:rsid w:val="009F131E"/>
    <w:rsid w:val="009F1B7D"/>
    <w:rsid w:val="009F1DDA"/>
    <w:rsid w:val="009F1EF1"/>
    <w:rsid w:val="009F4365"/>
    <w:rsid w:val="009F7811"/>
    <w:rsid w:val="00A00157"/>
    <w:rsid w:val="00A02589"/>
    <w:rsid w:val="00A029D4"/>
    <w:rsid w:val="00A036CA"/>
    <w:rsid w:val="00A036EA"/>
    <w:rsid w:val="00A04171"/>
    <w:rsid w:val="00A07032"/>
    <w:rsid w:val="00A1260B"/>
    <w:rsid w:val="00A13C58"/>
    <w:rsid w:val="00A213FA"/>
    <w:rsid w:val="00A21FAD"/>
    <w:rsid w:val="00A23971"/>
    <w:rsid w:val="00A2421E"/>
    <w:rsid w:val="00A35C37"/>
    <w:rsid w:val="00A370C1"/>
    <w:rsid w:val="00A42107"/>
    <w:rsid w:val="00A42DCB"/>
    <w:rsid w:val="00A444DC"/>
    <w:rsid w:val="00A46ACB"/>
    <w:rsid w:val="00A53DE6"/>
    <w:rsid w:val="00A55D3C"/>
    <w:rsid w:val="00A56433"/>
    <w:rsid w:val="00A56D7C"/>
    <w:rsid w:val="00A56E6B"/>
    <w:rsid w:val="00A672C7"/>
    <w:rsid w:val="00A67788"/>
    <w:rsid w:val="00A67B49"/>
    <w:rsid w:val="00A731C1"/>
    <w:rsid w:val="00A743C9"/>
    <w:rsid w:val="00A75F07"/>
    <w:rsid w:val="00A76692"/>
    <w:rsid w:val="00A76B08"/>
    <w:rsid w:val="00A77DBF"/>
    <w:rsid w:val="00A77EA8"/>
    <w:rsid w:val="00A824BB"/>
    <w:rsid w:val="00A825B2"/>
    <w:rsid w:val="00A82E67"/>
    <w:rsid w:val="00A82ECC"/>
    <w:rsid w:val="00A879E4"/>
    <w:rsid w:val="00A9149D"/>
    <w:rsid w:val="00A9170F"/>
    <w:rsid w:val="00A924E1"/>
    <w:rsid w:val="00A930DA"/>
    <w:rsid w:val="00A9383D"/>
    <w:rsid w:val="00A93EFF"/>
    <w:rsid w:val="00A94366"/>
    <w:rsid w:val="00A94B12"/>
    <w:rsid w:val="00A94D1F"/>
    <w:rsid w:val="00A97ADB"/>
    <w:rsid w:val="00AA1937"/>
    <w:rsid w:val="00AA2297"/>
    <w:rsid w:val="00AA3227"/>
    <w:rsid w:val="00AA4D7D"/>
    <w:rsid w:val="00AA54D8"/>
    <w:rsid w:val="00AA6344"/>
    <w:rsid w:val="00AA6545"/>
    <w:rsid w:val="00AA7094"/>
    <w:rsid w:val="00AA76F7"/>
    <w:rsid w:val="00AB0418"/>
    <w:rsid w:val="00AB091A"/>
    <w:rsid w:val="00AB2901"/>
    <w:rsid w:val="00AB32A1"/>
    <w:rsid w:val="00AB3C9F"/>
    <w:rsid w:val="00AC0959"/>
    <w:rsid w:val="00AC37DD"/>
    <w:rsid w:val="00AC3CE5"/>
    <w:rsid w:val="00AC5233"/>
    <w:rsid w:val="00AC5999"/>
    <w:rsid w:val="00AC6381"/>
    <w:rsid w:val="00AC66CD"/>
    <w:rsid w:val="00AC72C2"/>
    <w:rsid w:val="00AD1556"/>
    <w:rsid w:val="00AD1882"/>
    <w:rsid w:val="00AD5DE3"/>
    <w:rsid w:val="00AE16F0"/>
    <w:rsid w:val="00AE30F7"/>
    <w:rsid w:val="00AE3B1A"/>
    <w:rsid w:val="00AE6291"/>
    <w:rsid w:val="00AE79FE"/>
    <w:rsid w:val="00AF037A"/>
    <w:rsid w:val="00AF373C"/>
    <w:rsid w:val="00AF7906"/>
    <w:rsid w:val="00AF7D8D"/>
    <w:rsid w:val="00B00863"/>
    <w:rsid w:val="00B01639"/>
    <w:rsid w:val="00B107FF"/>
    <w:rsid w:val="00B15354"/>
    <w:rsid w:val="00B1772D"/>
    <w:rsid w:val="00B20926"/>
    <w:rsid w:val="00B24EC0"/>
    <w:rsid w:val="00B30081"/>
    <w:rsid w:val="00B35FD4"/>
    <w:rsid w:val="00B37084"/>
    <w:rsid w:val="00B439DB"/>
    <w:rsid w:val="00B44735"/>
    <w:rsid w:val="00B453F2"/>
    <w:rsid w:val="00B4619D"/>
    <w:rsid w:val="00B541EA"/>
    <w:rsid w:val="00B552B6"/>
    <w:rsid w:val="00B5594D"/>
    <w:rsid w:val="00B55E8F"/>
    <w:rsid w:val="00B564D4"/>
    <w:rsid w:val="00B57CA1"/>
    <w:rsid w:val="00B57D36"/>
    <w:rsid w:val="00B6066A"/>
    <w:rsid w:val="00B71374"/>
    <w:rsid w:val="00B71A89"/>
    <w:rsid w:val="00B72782"/>
    <w:rsid w:val="00B73F12"/>
    <w:rsid w:val="00B74346"/>
    <w:rsid w:val="00B7620F"/>
    <w:rsid w:val="00B82A2A"/>
    <w:rsid w:val="00B84BB9"/>
    <w:rsid w:val="00B850E4"/>
    <w:rsid w:val="00B857B6"/>
    <w:rsid w:val="00B859CB"/>
    <w:rsid w:val="00B90C28"/>
    <w:rsid w:val="00B90EEE"/>
    <w:rsid w:val="00B9195B"/>
    <w:rsid w:val="00B91FB5"/>
    <w:rsid w:val="00B92813"/>
    <w:rsid w:val="00B92F67"/>
    <w:rsid w:val="00B940C4"/>
    <w:rsid w:val="00B94B94"/>
    <w:rsid w:val="00B95212"/>
    <w:rsid w:val="00BA09B6"/>
    <w:rsid w:val="00BA3A60"/>
    <w:rsid w:val="00BA473B"/>
    <w:rsid w:val="00BA4B83"/>
    <w:rsid w:val="00BB097E"/>
    <w:rsid w:val="00BB6A65"/>
    <w:rsid w:val="00BC1A06"/>
    <w:rsid w:val="00BC1B50"/>
    <w:rsid w:val="00BC22E7"/>
    <w:rsid w:val="00BC244F"/>
    <w:rsid w:val="00BC3B53"/>
    <w:rsid w:val="00BC4E86"/>
    <w:rsid w:val="00BC5CAA"/>
    <w:rsid w:val="00BC6DA0"/>
    <w:rsid w:val="00BC7A3E"/>
    <w:rsid w:val="00BD5AE0"/>
    <w:rsid w:val="00BD60A0"/>
    <w:rsid w:val="00BE1D8A"/>
    <w:rsid w:val="00BE2007"/>
    <w:rsid w:val="00BE425C"/>
    <w:rsid w:val="00BE4835"/>
    <w:rsid w:val="00BE539E"/>
    <w:rsid w:val="00BE699B"/>
    <w:rsid w:val="00BF1336"/>
    <w:rsid w:val="00BF2F30"/>
    <w:rsid w:val="00BF3C15"/>
    <w:rsid w:val="00BF6E9A"/>
    <w:rsid w:val="00C003D4"/>
    <w:rsid w:val="00C05FD5"/>
    <w:rsid w:val="00C06CAB"/>
    <w:rsid w:val="00C07A45"/>
    <w:rsid w:val="00C11A4F"/>
    <w:rsid w:val="00C12F3F"/>
    <w:rsid w:val="00C140AA"/>
    <w:rsid w:val="00C14EA8"/>
    <w:rsid w:val="00C16F75"/>
    <w:rsid w:val="00C249BF"/>
    <w:rsid w:val="00C255BE"/>
    <w:rsid w:val="00C26ADB"/>
    <w:rsid w:val="00C30AF9"/>
    <w:rsid w:val="00C32EC7"/>
    <w:rsid w:val="00C36F34"/>
    <w:rsid w:val="00C37941"/>
    <w:rsid w:val="00C37CA5"/>
    <w:rsid w:val="00C41CD6"/>
    <w:rsid w:val="00C46321"/>
    <w:rsid w:val="00C47B30"/>
    <w:rsid w:val="00C529CA"/>
    <w:rsid w:val="00C539FC"/>
    <w:rsid w:val="00C540E1"/>
    <w:rsid w:val="00C5452F"/>
    <w:rsid w:val="00C55255"/>
    <w:rsid w:val="00C55842"/>
    <w:rsid w:val="00C62F3C"/>
    <w:rsid w:val="00C643D2"/>
    <w:rsid w:val="00C65347"/>
    <w:rsid w:val="00C6592D"/>
    <w:rsid w:val="00C65BF3"/>
    <w:rsid w:val="00C67A94"/>
    <w:rsid w:val="00C70DEC"/>
    <w:rsid w:val="00C71392"/>
    <w:rsid w:val="00C719F2"/>
    <w:rsid w:val="00C720F9"/>
    <w:rsid w:val="00C81C57"/>
    <w:rsid w:val="00C845AF"/>
    <w:rsid w:val="00C84FB3"/>
    <w:rsid w:val="00C870FC"/>
    <w:rsid w:val="00C877B6"/>
    <w:rsid w:val="00C977B6"/>
    <w:rsid w:val="00CA0D51"/>
    <w:rsid w:val="00CA1528"/>
    <w:rsid w:val="00CA293B"/>
    <w:rsid w:val="00CB1AA9"/>
    <w:rsid w:val="00CB4941"/>
    <w:rsid w:val="00CB64FD"/>
    <w:rsid w:val="00CB77B9"/>
    <w:rsid w:val="00CC029D"/>
    <w:rsid w:val="00CC2D2A"/>
    <w:rsid w:val="00CC6CC1"/>
    <w:rsid w:val="00CC6F91"/>
    <w:rsid w:val="00CD5CE1"/>
    <w:rsid w:val="00CE18E0"/>
    <w:rsid w:val="00CE76C6"/>
    <w:rsid w:val="00CF2093"/>
    <w:rsid w:val="00CF43EB"/>
    <w:rsid w:val="00D00C14"/>
    <w:rsid w:val="00D01273"/>
    <w:rsid w:val="00D0481E"/>
    <w:rsid w:val="00D0797D"/>
    <w:rsid w:val="00D119EA"/>
    <w:rsid w:val="00D156EF"/>
    <w:rsid w:val="00D15C19"/>
    <w:rsid w:val="00D20386"/>
    <w:rsid w:val="00D22B08"/>
    <w:rsid w:val="00D2381E"/>
    <w:rsid w:val="00D26447"/>
    <w:rsid w:val="00D271E8"/>
    <w:rsid w:val="00D30883"/>
    <w:rsid w:val="00D3158B"/>
    <w:rsid w:val="00D32851"/>
    <w:rsid w:val="00D34E89"/>
    <w:rsid w:val="00D358A4"/>
    <w:rsid w:val="00D36F19"/>
    <w:rsid w:val="00D4432B"/>
    <w:rsid w:val="00D47609"/>
    <w:rsid w:val="00D5368C"/>
    <w:rsid w:val="00D54C1A"/>
    <w:rsid w:val="00D60C44"/>
    <w:rsid w:val="00D61414"/>
    <w:rsid w:val="00D61CA6"/>
    <w:rsid w:val="00D62999"/>
    <w:rsid w:val="00D67586"/>
    <w:rsid w:val="00D67EA0"/>
    <w:rsid w:val="00D67FAA"/>
    <w:rsid w:val="00D71595"/>
    <w:rsid w:val="00D71CDD"/>
    <w:rsid w:val="00D73DFC"/>
    <w:rsid w:val="00D75F27"/>
    <w:rsid w:val="00D82987"/>
    <w:rsid w:val="00D8337B"/>
    <w:rsid w:val="00D84816"/>
    <w:rsid w:val="00D8596D"/>
    <w:rsid w:val="00D8646C"/>
    <w:rsid w:val="00D86F00"/>
    <w:rsid w:val="00D91D58"/>
    <w:rsid w:val="00D932C9"/>
    <w:rsid w:val="00D95979"/>
    <w:rsid w:val="00DA0742"/>
    <w:rsid w:val="00DA1AD4"/>
    <w:rsid w:val="00DA30FA"/>
    <w:rsid w:val="00DA497F"/>
    <w:rsid w:val="00DA4AF2"/>
    <w:rsid w:val="00DB2EC2"/>
    <w:rsid w:val="00DB35FC"/>
    <w:rsid w:val="00DB4F04"/>
    <w:rsid w:val="00DB5738"/>
    <w:rsid w:val="00DB5EFD"/>
    <w:rsid w:val="00DC09D5"/>
    <w:rsid w:val="00DC526C"/>
    <w:rsid w:val="00DC5684"/>
    <w:rsid w:val="00DC7430"/>
    <w:rsid w:val="00DC7ED5"/>
    <w:rsid w:val="00DC7F38"/>
    <w:rsid w:val="00DD0409"/>
    <w:rsid w:val="00DD289D"/>
    <w:rsid w:val="00DD467C"/>
    <w:rsid w:val="00DE2FB6"/>
    <w:rsid w:val="00DE562F"/>
    <w:rsid w:val="00DF0C98"/>
    <w:rsid w:val="00DF335D"/>
    <w:rsid w:val="00DF44F0"/>
    <w:rsid w:val="00DF4DE0"/>
    <w:rsid w:val="00E00FD6"/>
    <w:rsid w:val="00E017E5"/>
    <w:rsid w:val="00E05FD2"/>
    <w:rsid w:val="00E1073F"/>
    <w:rsid w:val="00E10A14"/>
    <w:rsid w:val="00E14074"/>
    <w:rsid w:val="00E16E5F"/>
    <w:rsid w:val="00E1724F"/>
    <w:rsid w:val="00E17EF0"/>
    <w:rsid w:val="00E205AF"/>
    <w:rsid w:val="00E235A8"/>
    <w:rsid w:val="00E2393E"/>
    <w:rsid w:val="00E25FA9"/>
    <w:rsid w:val="00E26BE5"/>
    <w:rsid w:val="00E321D0"/>
    <w:rsid w:val="00E33A13"/>
    <w:rsid w:val="00E34550"/>
    <w:rsid w:val="00E35C36"/>
    <w:rsid w:val="00E36B46"/>
    <w:rsid w:val="00E378C8"/>
    <w:rsid w:val="00E37AD7"/>
    <w:rsid w:val="00E40FA3"/>
    <w:rsid w:val="00E41ABE"/>
    <w:rsid w:val="00E445D0"/>
    <w:rsid w:val="00E44663"/>
    <w:rsid w:val="00E45EA8"/>
    <w:rsid w:val="00E465D8"/>
    <w:rsid w:val="00E54FD5"/>
    <w:rsid w:val="00E56948"/>
    <w:rsid w:val="00E578F1"/>
    <w:rsid w:val="00E6161F"/>
    <w:rsid w:val="00E70235"/>
    <w:rsid w:val="00E70332"/>
    <w:rsid w:val="00E7156C"/>
    <w:rsid w:val="00E71CB7"/>
    <w:rsid w:val="00E7680B"/>
    <w:rsid w:val="00E774AE"/>
    <w:rsid w:val="00E8184D"/>
    <w:rsid w:val="00E81C7A"/>
    <w:rsid w:val="00E8346A"/>
    <w:rsid w:val="00E87180"/>
    <w:rsid w:val="00E90E34"/>
    <w:rsid w:val="00E95E3C"/>
    <w:rsid w:val="00E97E24"/>
    <w:rsid w:val="00E97F82"/>
    <w:rsid w:val="00EA39AB"/>
    <w:rsid w:val="00EA3F92"/>
    <w:rsid w:val="00EA5E68"/>
    <w:rsid w:val="00EB15BD"/>
    <w:rsid w:val="00EB2CA3"/>
    <w:rsid w:val="00EB327B"/>
    <w:rsid w:val="00EB6F52"/>
    <w:rsid w:val="00EB776E"/>
    <w:rsid w:val="00EC1393"/>
    <w:rsid w:val="00EC2545"/>
    <w:rsid w:val="00EC2BC5"/>
    <w:rsid w:val="00EC584D"/>
    <w:rsid w:val="00EC6F34"/>
    <w:rsid w:val="00ED0CFB"/>
    <w:rsid w:val="00ED1E01"/>
    <w:rsid w:val="00ED265D"/>
    <w:rsid w:val="00ED2DDA"/>
    <w:rsid w:val="00ED5732"/>
    <w:rsid w:val="00ED5EB4"/>
    <w:rsid w:val="00ED6314"/>
    <w:rsid w:val="00ED778F"/>
    <w:rsid w:val="00EE4629"/>
    <w:rsid w:val="00EE66C2"/>
    <w:rsid w:val="00EE6D0D"/>
    <w:rsid w:val="00EF0808"/>
    <w:rsid w:val="00EF22F3"/>
    <w:rsid w:val="00EF3D94"/>
    <w:rsid w:val="00F02114"/>
    <w:rsid w:val="00F04E82"/>
    <w:rsid w:val="00F054E4"/>
    <w:rsid w:val="00F101AB"/>
    <w:rsid w:val="00F10533"/>
    <w:rsid w:val="00F11E91"/>
    <w:rsid w:val="00F13D08"/>
    <w:rsid w:val="00F236E9"/>
    <w:rsid w:val="00F243AE"/>
    <w:rsid w:val="00F31366"/>
    <w:rsid w:val="00F3575E"/>
    <w:rsid w:val="00F359E7"/>
    <w:rsid w:val="00F364F3"/>
    <w:rsid w:val="00F36813"/>
    <w:rsid w:val="00F371F8"/>
    <w:rsid w:val="00F37308"/>
    <w:rsid w:val="00F37F86"/>
    <w:rsid w:val="00F44EF1"/>
    <w:rsid w:val="00F45EE4"/>
    <w:rsid w:val="00F47EA1"/>
    <w:rsid w:val="00F51D5E"/>
    <w:rsid w:val="00F52C7B"/>
    <w:rsid w:val="00F56F33"/>
    <w:rsid w:val="00F614CC"/>
    <w:rsid w:val="00F62DBE"/>
    <w:rsid w:val="00F64533"/>
    <w:rsid w:val="00F6463F"/>
    <w:rsid w:val="00F649FF"/>
    <w:rsid w:val="00F672BF"/>
    <w:rsid w:val="00F72F47"/>
    <w:rsid w:val="00F75F8A"/>
    <w:rsid w:val="00F7717F"/>
    <w:rsid w:val="00F8699F"/>
    <w:rsid w:val="00F87873"/>
    <w:rsid w:val="00F91032"/>
    <w:rsid w:val="00F914E4"/>
    <w:rsid w:val="00F95236"/>
    <w:rsid w:val="00FB06BD"/>
    <w:rsid w:val="00FB3DAC"/>
    <w:rsid w:val="00FB6F9C"/>
    <w:rsid w:val="00FC0C80"/>
    <w:rsid w:val="00FC16BE"/>
    <w:rsid w:val="00FC6277"/>
    <w:rsid w:val="00FC681C"/>
    <w:rsid w:val="00FC7D7B"/>
    <w:rsid w:val="00FD079A"/>
    <w:rsid w:val="00FD1624"/>
    <w:rsid w:val="00FD5254"/>
    <w:rsid w:val="00FE0235"/>
    <w:rsid w:val="00FE08AB"/>
    <w:rsid w:val="00FE14EE"/>
    <w:rsid w:val="00FE2FFD"/>
    <w:rsid w:val="00FE3D51"/>
    <w:rsid w:val="00FE4E34"/>
    <w:rsid w:val="00FE7034"/>
    <w:rsid w:val="00FF00BE"/>
    <w:rsid w:val="00FF29D2"/>
    <w:rsid w:val="00FF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A6A1F"/>
  <w15:chartTrackingRefBased/>
  <w15:docId w15:val="{A006B1B1-DD81-4A00-A1E9-AFD32FDA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067FA"/>
    <w:rPr>
      <w:sz w:val="20"/>
      <w:szCs w:val="20"/>
    </w:rPr>
  </w:style>
  <w:style w:type="character" w:customStyle="1" w:styleId="EndnoteTextChar">
    <w:name w:val="Endnote Text Char"/>
    <w:basedOn w:val="DefaultParagraphFont"/>
    <w:link w:val="EndnoteText"/>
    <w:uiPriority w:val="99"/>
    <w:semiHidden/>
    <w:rsid w:val="000067FA"/>
    <w:rPr>
      <w:sz w:val="20"/>
      <w:szCs w:val="20"/>
    </w:rPr>
  </w:style>
  <w:style w:type="character" w:styleId="EndnoteReference">
    <w:name w:val="endnote reference"/>
    <w:basedOn w:val="DefaultParagraphFont"/>
    <w:uiPriority w:val="99"/>
    <w:semiHidden/>
    <w:unhideWhenUsed/>
    <w:rsid w:val="000067FA"/>
    <w:rPr>
      <w:vertAlign w:val="superscript"/>
    </w:rPr>
  </w:style>
  <w:style w:type="paragraph" w:styleId="FootnoteText">
    <w:name w:val="footnote text"/>
    <w:basedOn w:val="Normal"/>
    <w:link w:val="FootnoteTextChar"/>
    <w:uiPriority w:val="99"/>
    <w:unhideWhenUsed/>
    <w:rsid w:val="000067FA"/>
    <w:rPr>
      <w:sz w:val="20"/>
      <w:szCs w:val="20"/>
    </w:rPr>
  </w:style>
  <w:style w:type="character" w:customStyle="1" w:styleId="FootnoteTextChar">
    <w:name w:val="Footnote Text Char"/>
    <w:basedOn w:val="DefaultParagraphFont"/>
    <w:link w:val="FootnoteText"/>
    <w:uiPriority w:val="99"/>
    <w:rsid w:val="000067FA"/>
    <w:rPr>
      <w:sz w:val="20"/>
      <w:szCs w:val="20"/>
    </w:rPr>
  </w:style>
  <w:style w:type="character" w:styleId="FootnoteReference">
    <w:name w:val="footnote reference"/>
    <w:basedOn w:val="DefaultParagraphFont"/>
    <w:uiPriority w:val="99"/>
    <w:semiHidden/>
    <w:unhideWhenUsed/>
    <w:rsid w:val="000067FA"/>
    <w:rPr>
      <w:vertAlign w:val="superscript"/>
    </w:rPr>
  </w:style>
  <w:style w:type="character" w:styleId="Hyperlink">
    <w:name w:val="Hyperlink"/>
    <w:basedOn w:val="DefaultParagraphFont"/>
    <w:uiPriority w:val="99"/>
    <w:unhideWhenUsed/>
    <w:rsid w:val="004E57D6"/>
    <w:rPr>
      <w:color w:val="0563C1" w:themeColor="hyperlink"/>
      <w:u w:val="single"/>
    </w:rPr>
  </w:style>
  <w:style w:type="character" w:styleId="Strong">
    <w:name w:val="Strong"/>
    <w:basedOn w:val="DefaultParagraphFont"/>
    <w:uiPriority w:val="22"/>
    <w:qFormat/>
    <w:rsid w:val="00296660"/>
    <w:rPr>
      <w:b/>
      <w:bCs/>
    </w:rPr>
  </w:style>
  <w:style w:type="paragraph" w:styleId="ListParagraph">
    <w:name w:val="List Paragraph"/>
    <w:basedOn w:val="Normal"/>
    <w:uiPriority w:val="34"/>
    <w:qFormat/>
    <w:rsid w:val="00C529CA"/>
    <w:pPr>
      <w:ind w:left="720"/>
      <w:contextualSpacing/>
    </w:pPr>
  </w:style>
  <w:style w:type="paragraph" w:styleId="Header">
    <w:name w:val="header"/>
    <w:basedOn w:val="Normal"/>
    <w:link w:val="HeaderChar"/>
    <w:uiPriority w:val="99"/>
    <w:unhideWhenUsed/>
    <w:rsid w:val="000375BD"/>
    <w:pPr>
      <w:tabs>
        <w:tab w:val="center" w:pos="4680"/>
        <w:tab w:val="right" w:pos="9360"/>
      </w:tabs>
    </w:pPr>
  </w:style>
  <w:style w:type="character" w:customStyle="1" w:styleId="HeaderChar">
    <w:name w:val="Header Char"/>
    <w:basedOn w:val="DefaultParagraphFont"/>
    <w:link w:val="Header"/>
    <w:uiPriority w:val="99"/>
    <w:rsid w:val="000375BD"/>
  </w:style>
  <w:style w:type="paragraph" w:styleId="Footer">
    <w:name w:val="footer"/>
    <w:basedOn w:val="Normal"/>
    <w:link w:val="FooterChar"/>
    <w:uiPriority w:val="99"/>
    <w:unhideWhenUsed/>
    <w:rsid w:val="000375BD"/>
    <w:pPr>
      <w:tabs>
        <w:tab w:val="center" w:pos="4680"/>
        <w:tab w:val="right" w:pos="9360"/>
      </w:tabs>
    </w:pPr>
  </w:style>
  <w:style w:type="character" w:customStyle="1" w:styleId="FooterChar">
    <w:name w:val="Footer Char"/>
    <w:basedOn w:val="DefaultParagraphFont"/>
    <w:link w:val="Footer"/>
    <w:uiPriority w:val="99"/>
    <w:rsid w:val="000375BD"/>
  </w:style>
  <w:style w:type="character" w:customStyle="1" w:styleId="UnresolvedMention1">
    <w:name w:val="Unresolved Mention1"/>
    <w:basedOn w:val="DefaultParagraphFont"/>
    <w:uiPriority w:val="99"/>
    <w:semiHidden/>
    <w:unhideWhenUsed/>
    <w:rsid w:val="00F87873"/>
    <w:rPr>
      <w:color w:val="605E5C"/>
      <w:shd w:val="clear" w:color="auto" w:fill="E1DFDD"/>
    </w:rPr>
  </w:style>
  <w:style w:type="table" w:styleId="TableGrid">
    <w:name w:val="Table Grid"/>
    <w:basedOn w:val="TableNormal"/>
    <w:uiPriority w:val="39"/>
    <w:rsid w:val="004C6837"/>
    <w:rPr>
      <w:rFonts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1032"/>
    <w:rPr>
      <w:sz w:val="16"/>
      <w:szCs w:val="16"/>
    </w:rPr>
  </w:style>
  <w:style w:type="paragraph" w:styleId="CommentText">
    <w:name w:val="annotation text"/>
    <w:basedOn w:val="Normal"/>
    <w:link w:val="CommentTextChar"/>
    <w:uiPriority w:val="99"/>
    <w:unhideWhenUsed/>
    <w:rsid w:val="00F91032"/>
    <w:rPr>
      <w:sz w:val="20"/>
      <w:szCs w:val="20"/>
    </w:rPr>
  </w:style>
  <w:style w:type="character" w:customStyle="1" w:styleId="CommentTextChar">
    <w:name w:val="Comment Text Char"/>
    <w:basedOn w:val="DefaultParagraphFont"/>
    <w:link w:val="CommentText"/>
    <w:uiPriority w:val="99"/>
    <w:rsid w:val="00F91032"/>
    <w:rPr>
      <w:sz w:val="20"/>
      <w:szCs w:val="20"/>
    </w:rPr>
  </w:style>
  <w:style w:type="paragraph" w:styleId="CommentSubject">
    <w:name w:val="annotation subject"/>
    <w:basedOn w:val="CommentText"/>
    <w:next w:val="CommentText"/>
    <w:link w:val="CommentSubjectChar"/>
    <w:uiPriority w:val="99"/>
    <w:semiHidden/>
    <w:unhideWhenUsed/>
    <w:rsid w:val="00F91032"/>
    <w:rPr>
      <w:b/>
      <w:bCs/>
    </w:rPr>
  </w:style>
  <w:style w:type="character" w:customStyle="1" w:styleId="CommentSubjectChar">
    <w:name w:val="Comment Subject Char"/>
    <w:basedOn w:val="CommentTextChar"/>
    <w:link w:val="CommentSubject"/>
    <w:uiPriority w:val="99"/>
    <w:semiHidden/>
    <w:rsid w:val="00F91032"/>
    <w:rPr>
      <w:b/>
      <w:bCs/>
      <w:sz w:val="20"/>
      <w:szCs w:val="20"/>
    </w:rPr>
  </w:style>
  <w:style w:type="paragraph" w:styleId="BalloonText">
    <w:name w:val="Balloon Text"/>
    <w:basedOn w:val="Normal"/>
    <w:link w:val="BalloonTextChar"/>
    <w:uiPriority w:val="99"/>
    <w:semiHidden/>
    <w:unhideWhenUsed/>
    <w:rsid w:val="00F91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032"/>
    <w:rPr>
      <w:rFonts w:ascii="Segoe UI" w:hAnsi="Segoe UI" w:cs="Segoe UI"/>
      <w:sz w:val="18"/>
      <w:szCs w:val="18"/>
    </w:rPr>
  </w:style>
  <w:style w:type="paragraph" w:styleId="Revision">
    <w:name w:val="Revision"/>
    <w:hidden/>
    <w:uiPriority w:val="99"/>
    <w:semiHidden/>
    <w:rsid w:val="00274E7B"/>
  </w:style>
  <w:style w:type="character" w:customStyle="1" w:styleId="em">
    <w:name w:val="em"/>
    <w:basedOn w:val="DefaultParagraphFont"/>
    <w:rsid w:val="00373C6E"/>
  </w:style>
  <w:style w:type="character" w:customStyle="1" w:styleId="UnresolvedMention2">
    <w:name w:val="Unresolved Mention2"/>
    <w:basedOn w:val="DefaultParagraphFont"/>
    <w:uiPriority w:val="99"/>
    <w:semiHidden/>
    <w:unhideWhenUsed/>
    <w:rsid w:val="00A04171"/>
    <w:rPr>
      <w:color w:val="605E5C"/>
      <w:shd w:val="clear" w:color="auto" w:fill="E1DFDD"/>
    </w:rPr>
  </w:style>
  <w:style w:type="character" w:customStyle="1" w:styleId="UnresolvedMention3">
    <w:name w:val="Unresolved Mention3"/>
    <w:basedOn w:val="DefaultParagraphFont"/>
    <w:uiPriority w:val="99"/>
    <w:semiHidden/>
    <w:unhideWhenUsed/>
    <w:rsid w:val="006A4C5B"/>
    <w:rPr>
      <w:color w:val="605E5C"/>
      <w:shd w:val="clear" w:color="auto" w:fill="E1DFDD"/>
    </w:rPr>
  </w:style>
  <w:style w:type="character" w:styleId="FollowedHyperlink">
    <w:name w:val="FollowedHyperlink"/>
    <w:basedOn w:val="DefaultParagraphFont"/>
    <w:uiPriority w:val="99"/>
    <w:semiHidden/>
    <w:unhideWhenUsed/>
    <w:rsid w:val="00F11E91"/>
    <w:rPr>
      <w:color w:val="954F72" w:themeColor="followedHyperlink"/>
      <w:u w:val="single"/>
    </w:rPr>
  </w:style>
  <w:style w:type="character" w:customStyle="1" w:styleId="UnresolvedMention4">
    <w:name w:val="Unresolved Mention4"/>
    <w:basedOn w:val="DefaultParagraphFont"/>
    <w:uiPriority w:val="99"/>
    <w:semiHidden/>
    <w:unhideWhenUsed/>
    <w:rsid w:val="00F1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1703">
      <w:bodyDiv w:val="1"/>
      <w:marLeft w:val="0"/>
      <w:marRight w:val="0"/>
      <w:marTop w:val="0"/>
      <w:marBottom w:val="0"/>
      <w:divBdr>
        <w:top w:val="none" w:sz="0" w:space="0" w:color="auto"/>
        <w:left w:val="none" w:sz="0" w:space="0" w:color="auto"/>
        <w:bottom w:val="none" w:sz="0" w:space="0" w:color="auto"/>
        <w:right w:val="none" w:sz="0" w:space="0" w:color="auto"/>
      </w:divBdr>
    </w:div>
    <w:div w:id="108741293">
      <w:bodyDiv w:val="1"/>
      <w:marLeft w:val="0"/>
      <w:marRight w:val="0"/>
      <w:marTop w:val="0"/>
      <w:marBottom w:val="0"/>
      <w:divBdr>
        <w:top w:val="none" w:sz="0" w:space="0" w:color="auto"/>
        <w:left w:val="none" w:sz="0" w:space="0" w:color="auto"/>
        <w:bottom w:val="none" w:sz="0" w:space="0" w:color="auto"/>
        <w:right w:val="none" w:sz="0" w:space="0" w:color="auto"/>
      </w:divBdr>
    </w:div>
    <w:div w:id="189689556">
      <w:bodyDiv w:val="1"/>
      <w:marLeft w:val="0"/>
      <w:marRight w:val="0"/>
      <w:marTop w:val="0"/>
      <w:marBottom w:val="0"/>
      <w:divBdr>
        <w:top w:val="none" w:sz="0" w:space="0" w:color="auto"/>
        <w:left w:val="none" w:sz="0" w:space="0" w:color="auto"/>
        <w:bottom w:val="none" w:sz="0" w:space="0" w:color="auto"/>
        <w:right w:val="none" w:sz="0" w:space="0" w:color="auto"/>
      </w:divBdr>
    </w:div>
    <w:div w:id="261379090">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484200813">
      <w:bodyDiv w:val="1"/>
      <w:marLeft w:val="0"/>
      <w:marRight w:val="0"/>
      <w:marTop w:val="0"/>
      <w:marBottom w:val="0"/>
      <w:divBdr>
        <w:top w:val="none" w:sz="0" w:space="0" w:color="auto"/>
        <w:left w:val="none" w:sz="0" w:space="0" w:color="auto"/>
        <w:bottom w:val="none" w:sz="0" w:space="0" w:color="auto"/>
        <w:right w:val="none" w:sz="0" w:space="0" w:color="auto"/>
      </w:divBdr>
    </w:div>
    <w:div w:id="2028480469">
      <w:bodyDiv w:val="1"/>
      <w:marLeft w:val="0"/>
      <w:marRight w:val="0"/>
      <w:marTop w:val="0"/>
      <w:marBottom w:val="0"/>
      <w:divBdr>
        <w:top w:val="none" w:sz="0" w:space="0" w:color="auto"/>
        <w:left w:val="none" w:sz="0" w:space="0" w:color="auto"/>
        <w:bottom w:val="none" w:sz="0" w:space="0" w:color="auto"/>
        <w:right w:val="none" w:sz="0" w:space="0" w:color="auto"/>
      </w:divBdr>
    </w:div>
    <w:div w:id="21122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7.emf"/><Relationship Id="rId33"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4C2A-CD50-47E1-9E0F-737062A2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Evans</dc:creator>
  <cp:keywords/>
  <dc:description/>
  <cp:lastModifiedBy>Ethan Lieber</cp:lastModifiedBy>
  <cp:revision>11</cp:revision>
  <cp:lastPrinted>2025-01-13T22:20:00Z</cp:lastPrinted>
  <dcterms:created xsi:type="dcterms:W3CDTF">2025-08-11T12:23:00Z</dcterms:created>
  <dcterms:modified xsi:type="dcterms:W3CDTF">2025-09-10T16:18:00Z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